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nc-20260630.htm"/>
      <w:bookmarkStart w:id="1" w:name="ksssnc20260630"/>
      <w:bookmarkEnd w:id="0"/>
      <w:bookmarkEnd w:id="1"/>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001-34675</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0955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133475"/>
                    </a:xfrm>
                    <a:prstGeom prst="rect">
                      <a:avLst/>
                    </a:prstGeom>
                  </pic:spPr>
                </pic:pic>
              </a:graphicData>
            </a:graphic>
          </wp:inline>
        </w:drawing>
      </w:r>
    </w:p>
    <w:p>
      <w:pPr>
        <w:pStyle w:val="TextBody"/>
        <w:bidi w:val="0"/>
        <w:spacing w:before="120" w:after="283"/>
        <w:jc w:val="center"/>
        <w:rPr>
          <w:rFonts w:ascii="Times New Roman" w:hAnsi="Times New Roman"/>
          <w:b/>
          <w:color w:val="000000"/>
          <w:sz w:val="47"/>
        </w:rPr>
      </w:pPr>
      <w:r>
        <w:rPr>
          <w:rFonts w:ascii="Times New Roman" w:hAnsi="Times New Roman"/>
          <w:b/>
          <w:color w:val="000000"/>
          <w:sz w:val="47"/>
        </w:rPr>
        <w:t>SS&amp;C TECHNOLOGIES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2961" w:type="dxa"/>
        <w:jc w:val="left"/>
        <w:tblInd w:w="0" w:type="dxa"/>
        <w:tblLayout w:type="fixed"/>
        <w:tblCellMar>
          <w:top w:w="28" w:type="dxa"/>
          <w:left w:w="28" w:type="dxa"/>
          <w:bottom w:w="28" w:type="dxa"/>
          <w:right w:w="28" w:type="dxa"/>
        </w:tblCellMar>
      </w:tblPr>
      <w:tblGrid>
        <w:gridCol w:w="1696"/>
        <w:gridCol w:w="109"/>
        <w:gridCol w:w="115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6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No.)</w:t>
            </w:r>
          </w:p>
        </w:tc>
      </w:tr>
    </w:tbl>
    <w:p>
      <w:pPr>
        <w:pStyle w:val="TextBody"/>
        <w:bidi w:val="0"/>
        <w:jc w:val="center"/>
        <w:rPr>
          <w:rFonts w:ascii="Times New Roman" w:hAnsi="Times New Roman"/>
          <w:b/>
          <w:color w:val="000000"/>
          <w:sz w:val="16"/>
        </w:rPr>
      </w:pPr>
      <w:r>
        <w:rPr>
          <w:rFonts w:ascii="Times New Roman" w:hAnsi="Times New Roman"/>
          <w:b/>
          <w:color w:val="000000"/>
          <w:sz w:val="16"/>
        </w:rPr>
        <w:t>80 Lamberton Road</w:t>
      </w:r>
    </w:p>
    <w:p>
      <w:pPr>
        <w:pStyle w:val="TextBody"/>
        <w:bidi w:val="0"/>
        <w:jc w:val="center"/>
        <w:rPr>
          <w:rFonts w:ascii="Times New Roman" w:hAnsi="Times New Roman"/>
          <w:sz w:val="20"/>
        </w:rPr>
      </w:pPr>
      <w:r>
        <w:rPr>
          <w:rFonts w:ascii="Times New Roman" w:hAnsi="Times New Roman"/>
          <w:b/>
          <w:color w:val="000000"/>
          <w:sz w:val="16"/>
        </w:rPr>
        <w:t>Windsor, CT</w:t>
      </w:r>
      <w:r>
        <w:rPr>
          <w:rFonts w:ascii="Times New Roman" w:hAnsi="Times New Roman"/>
          <w:color w:val="000000"/>
          <w:sz w:val="20"/>
        </w:rPr>
        <w:t xml:space="preserve"> </w:t>
      </w:r>
      <w:r>
        <w:rPr>
          <w:rFonts w:ascii="Times New Roman" w:hAnsi="Times New Roman"/>
          <w:b/>
          <w:color w:val="000000"/>
          <w:sz w:val="16"/>
        </w:rPr>
        <w:t>06095</w:t>
      </w:r>
    </w:p>
    <w:p>
      <w:pPr>
        <w:pStyle w:val="TextBody"/>
        <w:bidi w:val="0"/>
        <w:jc w:val="center"/>
        <w:rPr>
          <w:rFonts w:ascii="Times New Roman" w:hAnsi="Times New Roman"/>
          <w:b/>
          <w:color w:val="000000"/>
          <w:sz w:val="12"/>
        </w:rPr>
      </w:pPr>
      <w:r>
        <w:rPr>
          <w:rFonts w:ascii="Times New Roman" w:hAnsi="Times New Roman"/>
          <w:b/>
          <w:color w:val="000000"/>
          <w:sz w:val="12"/>
        </w:rPr>
        <w:t>(Address of principal executive offices, including zip code)</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860-298-4500</w:t>
      </w:r>
    </w:p>
    <w:p>
      <w:pPr>
        <w:pStyle w:val="TextBody"/>
        <w:bidi w:val="0"/>
        <w:jc w:val="center"/>
        <w:rPr>
          <w:rFonts w:ascii="Times New Roman" w:hAnsi="Times New Roman"/>
          <w:b/>
          <w:color w:val="000000"/>
          <w:sz w:val="12"/>
        </w:rPr>
      </w:pPr>
      <w:r>
        <w:rPr>
          <w:rFonts w:ascii="Times New Roman" w:hAnsi="Times New Roman"/>
          <w:b/>
          <w:color w:val="000000"/>
          <w:sz w:val="12"/>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666"/>
        <w:gridCol w:w="146"/>
        <w:gridCol w:w="37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503" w:type="dxa"/>
        <w:jc w:val="left"/>
        <w:tblInd w:w="0" w:type="dxa"/>
        <w:tblLayout w:type="fixed"/>
        <w:tblCellMar>
          <w:top w:w="28" w:type="dxa"/>
          <w:left w:w="28" w:type="dxa"/>
          <w:bottom w:w="28" w:type="dxa"/>
          <w:right w:w="28" w:type="dxa"/>
        </w:tblCellMar>
      </w:tblPr>
      <w:tblGrid>
        <w:gridCol w:w="3031"/>
        <w:gridCol w:w="1246"/>
        <w:gridCol w:w="322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Trading Symbol</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Name of each exchange on which registered</w:t>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SSNC</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100" w:after="283"/>
        <w:jc w:val="left"/>
        <w:rPr>
          <w:rFonts w:ascii="Times New Roman" w:hAnsi="Times New Roman"/>
          <w:sz w:val="20"/>
        </w:rPr>
      </w:pPr>
      <w:r>
        <w:rPr>
          <w:rFonts w:ascii="Times New Roman" w:hAnsi="Times New Roman"/>
          <w:color w:val="000000"/>
          <w:sz w:val="16"/>
        </w:rPr>
        <w:t>There were 234,654,996</w:t>
      </w:r>
      <w:r>
        <w:rPr>
          <w:rFonts w:ascii="Times New Roman" w:hAnsi="Times New Roman"/>
          <w:color w:val="000000"/>
          <w:sz w:val="20"/>
        </w:rPr>
        <w:t xml:space="preserve"> </w:t>
      </w:r>
      <w:r>
        <w:rPr>
          <w:rFonts w:ascii="Times New Roman" w:hAnsi="Times New Roman"/>
          <w:color w:val="000000"/>
          <w:sz w:val="16"/>
        </w:rPr>
        <w:t>shares of the registrant’s common stock outstanding as of July 23, 2026.</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323"/>
        <w:gridCol w:w="146"/>
        <w:gridCol w:w="736"/>
      </w:tblGrid>
      <w:tr>
        <w:trPr/>
        <w:tc>
          <w:tcPr>
            <w:tcW w:w="9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br/>
              <w:t>Number</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balance_sheets">
              <w:r>
                <w:rPr>
                  <w:rStyle w:val="InternetLink"/>
                  <w:rFonts w:ascii="Times New Roman" w:hAnsi="Times New Roman"/>
                  <w:color w:val="0000FF"/>
                  <w:sz w:val="20"/>
                  <w:u w:val="single"/>
                </w:rPr>
                <w:t>Condensed Consolidated Balance Sheets at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ompre">
              <w:r>
                <w:rPr>
                  <w:rStyle w:val="InternetLink"/>
                  <w:rFonts w:ascii="Times New Roman" w:hAnsi="Times New Roman"/>
                  <w:color w:val="0000FF"/>
                  <w:sz w:val="20"/>
                  <w:u w:val="single"/>
                </w:rPr>
                <w:t>Condensed Consolidated Statements of Comprehensive Income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equity_statement">
              <w:r>
                <w:rPr>
                  <w:rStyle w:val="InternetLink"/>
                  <w:rFonts w:ascii="Times New Roman" w:hAnsi="Times New Roman"/>
                  <w:color w:val="0000FF"/>
                  <w:sz w:val="20"/>
                  <w:u w:val="single"/>
                </w:rPr>
                <w:t>Condensed Consolidated Statements of Stockholders’ Equity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exhibit_index">
              <w:r>
                <w:rPr>
                  <w:rStyle w:val="InternetLink"/>
                  <w:rFonts w:ascii="Times New Roman" w:hAnsi="Times New Roman"/>
                  <w:b/>
                  <w:color w:val="0000FF"/>
                  <w:sz w:val="20"/>
                  <w:u w:val="single"/>
                </w:rPr>
                <w:t>EXHIBIT INDEX</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27</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signature">
              <w:r>
                <w:rPr>
                  <w:rStyle w:val="InternetLink"/>
                  <w:rFonts w:ascii="Times New Roman" w:hAnsi="Times New Roman"/>
                  <w:b/>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2025, filed with the Securities and Exchange Commission on February 26, 2026, among others, could cause actual results to differ materially from those indicated by forward-looking statements made herein and presented elsewhere by management from time to time. We do not undertake an obligation to update our forward-looking statements to reflect future events or circumstances. </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9"/>
        <w:gridCol w:w="146"/>
        <w:gridCol w:w="196"/>
        <w:gridCol w:w="736"/>
        <w:gridCol w:w="166"/>
        <w:gridCol w:w="146"/>
        <w:gridCol w:w="198"/>
        <w:gridCol w:w="745"/>
        <w:gridCol w:w="413"/>
      </w:tblGrid>
      <w:tr>
        <w:trPr/>
        <w:tc>
          <w:tcPr>
            <w:tcW w:w="7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$37.2</w:t>
            </w:r>
            <w:r>
              <w:rPr>
                <w:rFonts w:ascii="Times New Roman" w:hAnsi="Times New Roman"/>
                <w:color w:val="000000"/>
                <w:sz w:val="20"/>
              </w:rPr>
              <w:t> </w:t>
            </w:r>
            <w:r>
              <w:rPr>
                <w:rFonts w:ascii="Times New Roman" w:hAnsi="Times New Roman"/>
                <w:color w:val="000000"/>
                <w:sz w:val="16"/>
              </w:rPr>
              <w:t>and $34.9,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5,487.7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Unconsolidated affiliates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9,991.3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Intangible and other assets, net of accumulated amortization of $5,645.6</w:t>
            </w:r>
            <w:r>
              <w:rPr>
                <w:rFonts w:ascii="Times New Roman" w:hAnsi="Times New Roman"/>
                <w:color w:val="000000"/>
                <w:sz w:val="20"/>
              </w:rPr>
              <w:t> </w:t>
            </w:r>
            <w:r>
              <w:rPr>
                <w:rFonts w:ascii="Times New Roman" w:hAnsi="Times New Roman"/>
                <w:color w:val="000000"/>
                <w:sz w:val="16"/>
              </w:rPr>
              <w:t>and $5,330.0,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4,094.7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20,711.7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5,111.3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portion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7,408.4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13,769.9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non-voting common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w:t>
              <w:br/>
              <w:t>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per share, 400.0</w:t>
            </w:r>
            <w:r>
              <w:rPr>
                <w:rFonts w:ascii="Times New Roman" w:hAnsi="Times New Roman"/>
                <w:color w:val="000000"/>
                <w:sz w:val="20"/>
              </w:rPr>
              <w:t> </w:t>
            </w:r>
            <w:r>
              <w:rPr>
                <w:rFonts w:ascii="Times New Roman" w:hAnsi="Times New Roman"/>
                <w:color w:val="000000"/>
                <w:sz w:val="16"/>
              </w:rPr>
              <w:t>million shares authorized; 295.5</w:t>
            </w:r>
            <w:r>
              <w:rPr>
                <w:rFonts w:ascii="Times New Roman" w:hAnsi="Times New Roman"/>
                <w:color w:val="000000"/>
                <w:sz w:val="20"/>
              </w:rPr>
              <w:t> </w:t>
            </w:r>
            <w:r>
              <w:rPr>
                <w:rFonts w:ascii="Times New Roman" w:hAnsi="Times New Roman"/>
                <w:color w:val="000000"/>
                <w:sz w:val="16"/>
              </w:rPr>
              <w:t>million shares and 293.6</w:t>
            </w:r>
            <w:r>
              <w:rPr>
                <w:rFonts w:ascii="Times New Roman" w:hAnsi="Times New Roman"/>
                <w:color w:val="000000"/>
                <w:sz w:val="20"/>
              </w:rPr>
              <w:t> </w:t>
            </w:r>
            <w:r>
              <w:rPr>
                <w:rFonts w:ascii="Times New Roman" w:hAnsi="Times New Roman"/>
                <w:color w:val="000000"/>
                <w:sz w:val="16"/>
              </w:rPr>
              <w:t>million shares issued, respectively, and 234.6</w:t>
            </w:r>
            <w:r>
              <w:rPr>
                <w:rFonts w:ascii="Times New Roman" w:hAnsi="Times New Roman"/>
                <w:color w:val="000000"/>
                <w:sz w:val="20"/>
              </w:rPr>
              <w:t> </w:t>
            </w:r>
            <w:r>
              <w:rPr>
                <w:rFonts w:ascii="Times New Roman" w:hAnsi="Times New Roman"/>
                <w:color w:val="000000"/>
                <w:sz w:val="16"/>
              </w:rPr>
              <w:t>million shares and 241.4</w:t>
            </w:r>
            <w:r>
              <w:rPr>
                <w:rFonts w:ascii="Times New Roman" w:hAnsi="Times New Roman"/>
                <w:color w:val="000000"/>
                <w:sz w:val="20"/>
              </w:rPr>
              <w:t> </w:t>
            </w:r>
            <w:r>
              <w:rPr>
                <w:rFonts w:ascii="Times New Roman" w:hAnsi="Times New Roman"/>
                <w:color w:val="000000"/>
                <w:sz w:val="16"/>
              </w:rPr>
              <w:t>million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6,507.4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4,179.2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Cost of common stock in treasury, 61.0</w:t>
            </w:r>
            <w:r>
              <w:rPr>
                <w:rFonts w:ascii="Times New Roman" w:hAnsi="Times New Roman"/>
                <w:color w:val="000000"/>
                <w:sz w:val="20"/>
              </w:rPr>
              <w:t> </w:t>
            </w:r>
            <w:r>
              <w:rPr>
                <w:rFonts w:ascii="Times New Roman" w:hAnsi="Times New Roman"/>
                <w:color w:val="000000"/>
                <w:sz w:val="16"/>
              </w:rPr>
              <w:t>and 52.2</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(3,507.7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6,887.6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6,941.8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20,711.7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COMPREHENSIVE INCOME</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34"/>
        <w:gridCol w:w="146"/>
        <w:gridCol w:w="213"/>
        <w:gridCol w:w="704"/>
        <w:gridCol w:w="180"/>
        <w:gridCol w:w="158"/>
        <w:gridCol w:w="213"/>
        <w:gridCol w:w="704"/>
        <w:gridCol w:w="166"/>
        <w:gridCol w:w="146"/>
        <w:gridCol w:w="200"/>
        <w:gridCol w:w="662"/>
        <w:gridCol w:w="170"/>
        <w:gridCol w:w="149"/>
        <w:gridCol w:w="200"/>
        <w:gridCol w:w="662"/>
        <w:gridCol w:w="598"/>
      </w:tblGrid>
      <w:tr>
        <w:trPr/>
        <w:tc>
          <w:tcPr>
            <w:tcW w:w="4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2,537.6</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1,695.7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3,342.8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3,050.7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818.3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1,620.1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1,484.0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781.6</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702.4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500.8</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460.9</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393.8</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394.3</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defined benefit pension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386.4</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694.1</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tbl>
      <w:tblPr>
        <w:tblW w:w="10205" w:type="dxa"/>
        <w:jc w:val="left"/>
        <w:tblInd w:w="0" w:type="dxa"/>
        <w:tblLayout w:type="fixed"/>
        <w:tblCellMar>
          <w:top w:w="28" w:type="dxa"/>
          <w:left w:w="28" w:type="dxa"/>
          <w:bottom w:w="28" w:type="dxa"/>
          <w:right w:w="28" w:type="dxa"/>
        </w:tblCellMar>
      </w:tblPr>
      <w:tblGrid>
        <w:gridCol w:w="7181"/>
        <w:gridCol w:w="146"/>
        <w:gridCol w:w="202"/>
        <w:gridCol w:w="669"/>
        <w:gridCol w:w="171"/>
        <w:gridCol w:w="150"/>
        <w:gridCol w:w="202"/>
        <w:gridCol w:w="669"/>
        <w:gridCol w:w="815"/>
      </w:tblGrid>
      <w:tr>
        <w:trPr/>
        <w:tc>
          <w:tcPr>
            <w:tcW w:w="7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net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sale or disposition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excluding effects from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prepaid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716.4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645.1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sales /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(contributions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received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decrease in client funds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Withholding taxes paid related to equity award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common stock for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(736.1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(987.8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3,573.8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3,370.5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3,412.2</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2,891.4</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 included in funds receivable and funds held on behalf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2,975.1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2,408.5</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3,412.2</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2,891.4</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7" w:name="condensed_consolidated_equity_statement"/>
      <w:bookmarkEnd w:id="7"/>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87" w:type="dxa"/>
        <w:jc w:val="left"/>
        <w:tblInd w:w="0" w:type="dxa"/>
        <w:tblLayout w:type="fixed"/>
        <w:tblCellMar>
          <w:top w:w="28" w:type="dxa"/>
          <w:left w:w="28" w:type="dxa"/>
          <w:bottom w:w="28" w:type="dxa"/>
          <w:right w:w="28" w:type="dxa"/>
        </w:tblCellMar>
      </w:tblPr>
      <w:tblGrid>
        <w:gridCol w:w="1256"/>
        <w:gridCol w:w="146"/>
        <w:gridCol w:w="205"/>
        <w:gridCol w:w="486"/>
        <w:gridCol w:w="146"/>
        <w:gridCol w:w="146"/>
        <w:gridCol w:w="249"/>
        <w:gridCol w:w="442"/>
        <w:gridCol w:w="146"/>
        <w:gridCol w:w="146"/>
        <w:gridCol w:w="202"/>
        <w:gridCol w:w="669"/>
        <w:gridCol w:w="16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6,897.5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defined benefit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Withholding taxes related to equity award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declared - $0.27</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6,710.5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122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6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6,859.8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Withholding taxes related to equity award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declared - $0.25</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7,009.3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87" w:type="dxa"/>
        <w:jc w:val="left"/>
        <w:tblInd w:w="0" w:type="dxa"/>
        <w:tblLayout w:type="fixed"/>
        <w:tblCellMar>
          <w:top w:w="28" w:type="dxa"/>
          <w:left w:w="28" w:type="dxa"/>
          <w:bottom w:w="28" w:type="dxa"/>
          <w:right w:w="28" w:type="dxa"/>
        </w:tblCellMar>
      </w:tblPr>
      <w:tblGrid>
        <w:gridCol w:w="1256"/>
        <w:gridCol w:w="146"/>
        <w:gridCol w:w="153"/>
        <w:gridCol w:w="538"/>
        <w:gridCol w:w="146"/>
        <w:gridCol w:w="146"/>
        <w:gridCol w:w="249"/>
        <w:gridCol w:w="442"/>
        <w:gridCol w:w="146"/>
        <w:gridCol w:w="146"/>
        <w:gridCol w:w="202"/>
        <w:gridCol w:w="669"/>
        <w:gridCol w:w="16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defined benefit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Withholding taxes related to equity award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declared - $0.54</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6,710.5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227" w:type="dxa"/>
        <w:jc w:val="left"/>
        <w:tblInd w:w="0" w:type="dxa"/>
        <w:tblLayout w:type="fixed"/>
        <w:tblCellMar>
          <w:top w:w="28" w:type="dxa"/>
          <w:left w:w="28" w:type="dxa"/>
          <w:bottom w:w="28" w:type="dxa"/>
          <w:right w:w="28" w:type="dxa"/>
        </w:tblCellMar>
      </w:tblPr>
      <w:tblGrid>
        <w:gridCol w:w="1196"/>
        <w:gridCol w:w="146"/>
        <w:gridCol w:w="153"/>
        <w:gridCol w:w="538"/>
        <w:gridCol w:w="146"/>
        <w:gridCol w:w="146"/>
        <w:gridCol w:w="249"/>
        <w:gridCol w:w="442"/>
        <w:gridCol w:w="146"/>
        <w:gridCol w:w="146"/>
        <w:gridCol w:w="202"/>
        <w:gridCol w:w="669"/>
        <w:gridCol w:w="16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6,609.1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Withholding taxes related to equity award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declared - $0.50</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7,009.3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sz w:val="20"/>
        </w:rPr>
      </w:pPr>
      <w:bookmarkStart w:id="8" w:name="notes_to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2025, filed with the Securities and Exchange Commission (the “SEC”) on February 26, 2026 (the “2025 Form 10-K”). In the opinion of management, the accompanying unaudited Condensed Consolidated Financial Statements contain all adjustments (consisting of only normal recurring adjustments, except as noted elsewhere in the notes to the unaudited Condensed Consolidated Financial Statements) necessary for a fair statement of our financial position as of June 30, 2026, the results of our operations for the three and six months ended June 30, 2026 and 2025, and our cash flows for the six months ended June 30, 2026 and 2025. The unaudited Condensed Consolidated Financial Statements do not include all of the information and footnotes required by GAAP for annual financial statements and should be read in conjunction with the audited Consolidated Financial Statements and footnotes as of and for the year ended December 31, 2025, which were included in the 2025 Form 10-K. The December 31, 2025 Consolidated Balance Sheet data were derived from audited financial statements but do not include all disclosures required by GAAP for annual financial statements. The results of operations for the three and six months ended June 30, 2026 are not necessarily indicative of the expected results for any subsequent quarters or the full year. Prior to the first quarter of 2026, line items presented as “technology-enabled services” were previously presented as “software-enabled services” in the unaudited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operate in one operating segment and one reportable segment. Our Chief Operating Decision Maker (“CODM”) is our president and chief operating officer, who reviews financial information presented on a consolidated basis. Our CODM uses consolidated net income as the sole measure of segment profit or loss and to decide how to make resource allocation decisions. Significant segment expenses include cost of technology-enabled services revenues, cost of license, maintenance and related revenues, selling and marketing, research and development, and general and administrative expenses. For these significant and other segment expenses incurred during the three and six months ended June 30, 2026 and 2025 refer to our unaudited Condensed Consolidated Statements of Comprehensive Income.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This standard provides all entities with a practical expedient to assume that current conditions as of the balance sheet date do not change for the remaining life of the current accounts receivable and current contract assets. We have adopted ASU 2025-05 and the adoption of this standard did not have a material impact on our financial position, results of operations or cash flows.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on a prospective basis with early adoption permitted. We are currently evaluating the potential impact the standard will have on our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We are currently evaluating the impact of adopting ASU 2025-06.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2—Property, Plant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plant and equipment and the related accumulated depreciation are as follows (in millions):</w:t>
      </w:r>
    </w:p>
    <w:tbl>
      <w:tblPr>
        <w:tblW w:w="6293" w:type="dxa"/>
        <w:jc w:val="left"/>
        <w:tblInd w:w="0" w:type="dxa"/>
        <w:tblLayout w:type="fixed"/>
        <w:tblCellMar>
          <w:top w:w="28" w:type="dxa"/>
          <w:left w:w="28" w:type="dxa"/>
          <w:bottom w:w="28" w:type="dxa"/>
          <w:right w:w="28" w:type="dxa"/>
        </w:tblCellMar>
      </w:tblPr>
      <w:tblGrid>
        <w:gridCol w:w="3541"/>
        <w:gridCol w:w="146"/>
        <w:gridCol w:w="211"/>
        <w:gridCol w:w="631"/>
        <w:gridCol w:w="166"/>
        <w:gridCol w:w="146"/>
        <w:gridCol w:w="274"/>
        <w:gridCol w:w="821"/>
        <w:gridCol w:w="16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and six months ended June 30, 2026 was $17.5 million and $35.7 million, respectively. Depreciation expense for the three and six months ended June 30, 2025 was $17.9 million and $35.7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unpaid property, plant and equipment additions totaling $21.6 million and $23.7 million, respectively, are included in accounts payable and other accrued expenses, in our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related to capitalized software development costs for the three and six months ended June 30, 2026 was $41.1 million and $81.8 million, respectively. Amortization expense related to capitalized software development costs for the three and six months ended June 30, 2025 was $36.7 million and $71.0 million, respectively. Capitalized software is included in intangible and other assets, net, in our unaudited Condensed Consolidated Balance Sheets. </w:t>
      </w:r>
    </w:p>
    <w:p>
      <w:pPr>
        <w:pStyle w:val="TextBody"/>
        <w:bidi w:val="0"/>
        <w:spacing w:before="12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are as follows (in millions):</w:t>
      </w:r>
    </w:p>
    <w:tbl>
      <w:tblPr>
        <w:tblW w:w="6252" w:type="dxa"/>
        <w:jc w:val="left"/>
        <w:tblInd w:w="0" w:type="dxa"/>
        <w:tblLayout w:type="fixed"/>
        <w:tblCellMar>
          <w:top w:w="28" w:type="dxa"/>
          <w:left w:w="28" w:type="dxa"/>
          <w:bottom w:w="28" w:type="dxa"/>
          <w:right w:w="28" w:type="dxa"/>
        </w:tblCellMar>
      </w:tblPr>
      <w:tblGrid>
        <w:gridCol w:w="3646"/>
        <w:gridCol w:w="146"/>
        <w:gridCol w:w="211"/>
        <w:gridCol w:w="571"/>
        <w:gridCol w:w="146"/>
        <w:gridCol w:w="146"/>
        <w:gridCol w:w="294"/>
        <w:gridCol w:w="80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interests in private equity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Realized and unrealized gains and losses for our equity securities are as follows (in millions):</w:t>
      </w:r>
    </w:p>
    <w:tbl>
      <w:tblPr>
        <w:tblW w:w="10205" w:type="dxa"/>
        <w:jc w:val="left"/>
        <w:tblInd w:w="0" w:type="dxa"/>
        <w:tblLayout w:type="fixed"/>
        <w:tblCellMar>
          <w:top w:w="28" w:type="dxa"/>
          <w:left w:w="28" w:type="dxa"/>
          <w:bottom w:w="28" w:type="dxa"/>
          <w:right w:w="28" w:type="dxa"/>
        </w:tblCellMar>
      </w:tblPr>
      <w:tblGrid>
        <w:gridCol w:w="5364"/>
        <w:gridCol w:w="146"/>
        <w:gridCol w:w="299"/>
        <w:gridCol w:w="512"/>
        <w:gridCol w:w="207"/>
        <w:gridCol w:w="207"/>
        <w:gridCol w:w="299"/>
        <w:gridCol w:w="598"/>
        <w:gridCol w:w="166"/>
        <w:gridCol w:w="146"/>
        <w:gridCol w:w="277"/>
        <w:gridCol w:w="474"/>
        <w:gridCol w:w="191"/>
        <w:gridCol w:w="191"/>
        <w:gridCol w:w="277"/>
        <w:gridCol w:w="553"/>
        <w:gridCol w:w="298"/>
      </w:tblGrid>
      <w:tr>
        <w:trPr/>
        <w:tc>
          <w:tcPr>
            <w:tcW w:w="5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equity securities held as of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 for equity securities sold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gains (losses) recognized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compensation liabilities that are credited with deemed gains or losses of the underlying hypothetical investments, primarily equity securities, have been classified as Level 1 in the tables below. The fair values of cash, accounts receivable, net, short-term borrowings, and accounts payable approximate the carrying amounts due to the short-term maturities of these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911"/>
        <w:gridCol w:w="146"/>
        <w:gridCol w:w="226"/>
        <w:gridCol w:w="774"/>
        <w:gridCol w:w="166"/>
        <w:gridCol w:w="146"/>
        <w:gridCol w:w="503"/>
        <w:gridCol w:w="1718"/>
        <w:gridCol w:w="190"/>
        <w:gridCol w:w="168"/>
        <w:gridCol w:w="686"/>
        <w:gridCol w:w="1129"/>
        <w:gridCol w:w="168"/>
        <w:gridCol w:w="168"/>
        <w:gridCol w:w="685"/>
        <w:gridCol w:w="1124"/>
        <w:gridCol w:w="297"/>
      </w:tblGrid>
      <w:tr>
        <w:trPr/>
        <w:tc>
          <w:tcPr>
            <w:tcW w:w="1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2,765.3</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2,795.8</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sans-serif" w:hAnsi="sans-serif"/>
          <w:sz w:val="22"/>
        </w:rPr>
      </w:pPr>
      <w:r>
        <w:rPr>
          <w:rFonts w:ascii="Times New Roman" w:hAnsi="Times New Roman"/>
          <w:color w:val="000000"/>
          <w:sz w:val="20"/>
        </w:rPr>
        <w:t>As of June 30, 2026, included</w:t>
      </w:r>
      <w:r>
        <w:rPr>
          <w:rFonts w:ascii="sans-serif" w:hAnsi="sans-serif"/>
          <w:color w:val="000000"/>
          <w:sz w:val="22"/>
        </w:rPr>
        <w:t xml:space="preserve"> </w:t>
      </w:r>
      <w:r>
        <w:rPr>
          <w:rFonts w:ascii="Times New Roman" w:hAnsi="Times New Roman"/>
          <w:color w:val="000000"/>
          <w:sz w:val="20"/>
        </w:rPr>
        <w:t>$61.6</w:t>
      </w:r>
      <w:r>
        <w:rPr>
          <w:rFonts w:ascii="sans-serif" w:hAnsi="sans-serif"/>
          <w:color w:val="000000"/>
          <w:sz w:val="22"/>
        </w:rPr>
        <w:t xml:space="preserve"> </w:t>
      </w:r>
      <w:r>
        <w:rPr>
          <w:rFonts w:ascii="Times New Roman" w:hAnsi="Times New Roman"/>
          <w:color w:val="000000"/>
          <w:sz w:val="20"/>
        </w:rPr>
        <w:t>million of cash and cash equivalents, $1.2</w:t>
      </w:r>
      <w:r>
        <w:rPr>
          <w:rFonts w:ascii="sans-serif" w:hAnsi="sans-serif"/>
          <w:color w:val="000000"/>
          <w:sz w:val="22"/>
        </w:rPr>
        <w:t xml:space="preserve"> </w:t>
      </w:r>
      <w:r>
        <w:rPr>
          <w:rFonts w:ascii="Times New Roman" w:hAnsi="Times New Roman"/>
          <w:color w:val="000000"/>
          <w:sz w:val="20"/>
        </w:rPr>
        <w:t>million of restricted cash and $2,663.5</w:t>
      </w:r>
      <w:r>
        <w:rPr>
          <w:rFonts w:ascii="sans-serif" w:hAnsi="sans-serif"/>
          <w:color w:val="000000"/>
          <w:sz w:val="22"/>
        </w:rPr>
        <w:t xml:space="preserve"> </w:t>
      </w:r>
      <w:r>
        <w:rPr>
          <w:rFonts w:ascii="Times New Roman" w:hAnsi="Times New Roman"/>
          <w:color w:val="000000"/>
          <w:sz w:val="20"/>
        </w:rPr>
        <w:t>million of funds receivable and funds held on behalf of clients on the unaudited Condensed Consolidated Balance Sheets. As of December 31, 2025, included $76.6</w:t>
      </w:r>
      <w:r>
        <w:rPr>
          <w:rFonts w:ascii="sans-serif" w:hAnsi="sans-serif"/>
          <w:color w:val="000000"/>
          <w:sz w:val="22"/>
        </w:rPr>
        <w:t xml:space="preserve"> </w:t>
      </w:r>
      <w:r>
        <w:rPr>
          <w:rFonts w:ascii="Times New Roman" w:hAnsi="Times New Roman"/>
          <w:color w:val="000000"/>
          <w:sz w:val="20"/>
        </w:rPr>
        <w:t>million of cash and cash equivalents, $1.3</w:t>
      </w:r>
      <w:r>
        <w:rPr>
          <w:rFonts w:ascii="sans-serif" w:hAnsi="sans-serif"/>
          <w:color w:val="000000"/>
          <w:sz w:val="22"/>
        </w:rPr>
        <w:t xml:space="preserve"> </w:t>
      </w:r>
      <w:r>
        <w:rPr>
          <w:rFonts w:ascii="Times New Roman" w:hAnsi="Times New Roman"/>
          <w:color w:val="000000"/>
          <w:sz w:val="20"/>
        </w:rPr>
        <w:t>million of restricted cash and $2,681.3</w:t>
      </w:r>
      <w:r>
        <w:rPr>
          <w:rFonts w:ascii="sans-serif" w:hAnsi="sans-serif"/>
          <w:color w:val="000000"/>
          <w:sz w:val="22"/>
        </w:rPr>
        <w:t xml:space="preserve"> </w:t>
      </w:r>
      <w:r>
        <w:rPr>
          <w:rFonts w:ascii="Times New Roman" w:hAnsi="Times New Roman"/>
          <w:color w:val="000000"/>
          <w:sz w:val="20"/>
        </w:rPr>
        <w:t xml:space="preserve">million of funds receivable and funds held on behalf of clients on the unaudited Condensed Consolidated Balance Sheets.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investments on the unaudited Condensed Consolidated Balance Sheets.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other long-term liabilities on the unaudited Condensed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partnership interests in various private equity funds that are not included in the tables above. Our investments in private equity funds were $3.0 million and $4.3 million at June 30, 2026 and December 31, 2025, respectively, of which $2.8 million and $3.1 million, respectively, were measured using net asset value as a practical expedient for fair value and $0.2 million and $1.2 million, respectively, were accounted for under the equity method of accounting. The investments in private equity funds represent underlying investments in domestic and international markets across various industry sectors.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our investments in private equity funds are non-transferable or are subject to long holding periods, and withdrawals from the private equity funds are typically not permitted. The maximum risk of loss related to our private equity funds is limited to the carrying value.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4—Unconsolidated Affiliates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57"/>
        <w:gridCol w:w="146"/>
        <w:gridCol w:w="1133"/>
        <w:gridCol w:w="146"/>
        <w:gridCol w:w="236"/>
        <w:gridCol w:w="638"/>
        <w:gridCol w:w="146"/>
        <w:gridCol w:w="146"/>
        <w:gridCol w:w="622"/>
        <w:gridCol w:w="1380"/>
        <w:gridCol w:w="146"/>
        <w:gridCol w:w="146"/>
        <w:gridCol w:w="236"/>
        <w:gridCol w:w="638"/>
        <w:gridCol w:w="146"/>
        <w:gridCol w:w="146"/>
        <w:gridCol w:w="538"/>
        <w:gridCol w:w="1463"/>
        <w:gridCol w:w="296"/>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103.0</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Ownership percentage is as of June 30, 2026 and December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unaudited Condensed Consolidated Statements of Comprehensive Income. During the six months ended June 30, 2026, we received a distribution of $16.9 million from Orbit Private Investment L.P. which reduced our investment in the affiliate. We recorded the distribution as an operating cash inflow in our unaudited Condensed Consolidated Statements of Cash Flows due to the nature of the distribution.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unconsolidated affiliates, net are as follows (in millions):</w:t>
      </w:r>
    </w:p>
    <w:tbl>
      <w:tblPr>
        <w:tblW w:w="8832" w:type="dxa"/>
        <w:jc w:val="left"/>
        <w:tblInd w:w="0" w:type="dxa"/>
        <w:tblLayout w:type="fixed"/>
        <w:tblCellMar>
          <w:top w:w="28" w:type="dxa"/>
          <w:left w:w="28" w:type="dxa"/>
          <w:bottom w:w="28" w:type="dxa"/>
          <w:right w:w="28" w:type="dxa"/>
        </w:tblCellMar>
      </w:tblPr>
      <w:tblGrid>
        <w:gridCol w:w="3751"/>
        <w:gridCol w:w="146"/>
        <w:gridCol w:w="303"/>
        <w:gridCol w:w="605"/>
        <w:gridCol w:w="238"/>
        <w:gridCol w:w="209"/>
        <w:gridCol w:w="303"/>
        <w:gridCol w:w="605"/>
        <w:gridCol w:w="166"/>
        <w:gridCol w:w="146"/>
        <w:gridCol w:w="277"/>
        <w:gridCol w:w="553"/>
        <w:gridCol w:w="218"/>
        <w:gridCol w:w="191"/>
        <w:gridCol w:w="277"/>
        <w:gridCol w:w="553"/>
        <w:gridCol w:w="2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change in carrying value of goodwill as of and for the six months ended June 30, 2026 is as follows (in millions):</w:t>
      </w:r>
    </w:p>
    <w:tbl>
      <w:tblPr>
        <w:tblW w:w="4595" w:type="dxa"/>
        <w:jc w:val="left"/>
        <w:tblInd w:w="0" w:type="dxa"/>
        <w:tblLayout w:type="fixed"/>
        <w:tblCellMar>
          <w:top w:w="28" w:type="dxa"/>
          <w:left w:w="28" w:type="dxa"/>
          <w:bottom w:w="28" w:type="dxa"/>
          <w:right w:w="28" w:type="dxa"/>
        </w:tblCellMar>
      </w:tblPr>
      <w:tblGrid>
        <w:gridCol w:w="3206"/>
        <w:gridCol w:w="146"/>
        <w:gridCol w:w="211"/>
        <w:gridCol w:w="721"/>
        <w:gridCol w:w="31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prior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9,930.0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2026 and December 31, 2025, debt consisted of the following (in millions):</w:t>
      </w:r>
    </w:p>
    <w:tbl>
      <w:tblPr>
        <w:tblW w:w="10205" w:type="dxa"/>
        <w:jc w:val="left"/>
        <w:tblInd w:w="0" w:type="dxa"/>
        <w:tblLayout w:type="fixed"/>
        <w:tblCellMar>
          <w:top w:w="28" w:type="dxa"/>
          <w:left w:w="28" w:type="dxa"/>
          <w:bottom w:w="28" w:type="dxa"/>
          <w:right w:w="28" w:type="dxa"/>
        </w:tblCellMar>
      </w:tblPr>
      <w:tblGrid>
        <w:gridCol w:w="7277"/>
        <w:gridCol w:w="146"/>
        <w:gridCol w:w="211"/>
        <w:gridCol w:w="721"/>
        <w:gridCol w:w="166"/>
        <w:gridCol w:w="146"/>
        <w:gridCol w:w="244"/>
        <w:gridCol w:w="835"/>
        <w:gridCol w:w="166"/>
        <w:gridCol w:w="293"/>
      </w:tblGrid>
      <w:tr>
        <w:trPr/>
        <w:tc>
          <w:tcPr>
            <w:tcW w:w="7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weighted-average interest rate of 5.56% and 5.63%,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revolving portion, weighted-average interest rate of 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original issue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all required scheduled payments on our Term B-8 Loans and do not have any principal payments due until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of the 5.5% Senior Notes remains outstanding on the 91</w:t>
      </w:r>
      <w:r>
        <w:rPr>
          <w:rFonts w:ascii="Times New Roman" w:hAnsi="Times New Roman"/>
          <w:color w:val="000000"/>
          <w:sz w:val="13"/>
        </w:rPr>
        <w:t>st</w:t>
      </w:r>
      <w:r>
        <w:rPr>
          <w:rFonts w:ascii="Times New Roman" w:hAnsi="Times New Roman"/>
          <w:color w:val="000000"/>
          <w:sz w:val="20"/>
        </w:rPr>
        <w:t xml:space="preserve"> day prior to the maturity of the 5.5% Senior Notes or (y) the Revolving Credit Facility if more than $150.0 million aggregate principal amount of commitments remain outstanding on the 91</w:t>
      </w:r>
      <w:r>
        <w:rPr>
          <w:rFonts w:ascii="Times New Roman" w:hAnsi="Times New Roman"/>
          <w:color w:val="000000"/>
          <w:sz w:val="13"/>
        </w:rPr>
        <w:t>st</w:t>
      </w:r>
      <w:r>
        <w:rPr>
          <w:rFonts w:ascii="Times New Roman" w:hAnsi="Times New Roman"/>
          <w:color w:val="000000"/>
          <w:sz w:val="20"/>
        </w:rPr>
        <w:t xml:space="preserve"> day prior to such maturity, whichever of (x) or (y) comes first.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as of December 31, 2026 and for each quarter thereafter until the maturity date of the Term A-9 Loans.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borrowings by SS&amp;C with $600.0 million in available commitments (“Revolving Credit Facility”), of which $363.4 million was available as of June 30, 2026. The Revolving Credit Facility also contains a $75.0 million letter of credit sub-facility, of which $6.6 million was utilized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were in compliance with all financial and non-financial covenants.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and fair values of debt are as follows (in millions):</w:t>
      </w:r>
    </w:p>
    <w:tbl>
      <w:tblPr>
        <w:tblW w:w="9437" w:type="dxa"/>
        <w:jc w:val="left"/>
        <w:tblInd w:w="0" w:type="dxa"/>
        <w:tblLayout w:type="fixed"/>
        <w:tblCellMar>
          <w:top w:w="28" w:type="dxa"/>
          <w:left w:w="28" w:type="dxa"/>
          <w:bottom w:w="28" w:type="dxa"/>
          <w:right w:w="28" w:type="dxa"/>
        </w:tblCellMar>
      </w:tblPr>
      <w:tblGrid>
        <w:gridCol w:w="4296"/>
        <w:gridCol w:w="146"/>
        <w:gridCol w:w="211"/>
        <w:gridCol w:w="721"/>
        <w:gridCol w:w="146"/>
        <w:gridCol w:w="146"/>
        <w:gridCol w:w="211"/>
        <w:gridCol w:w="721"/>
        <w:gridCol w:w="146"/>
        <w:gridCol w:w="146"/>
        <w:gridCol w:w="211"/>
        <w:gridCol w:w="721"/>
        <w:gridCol w:w="146"/>
        <w:gridCol w:w="146"/>
        <w:gridCol w:w="211"/>
        <w:gridCol w:w="721"/>
        <w:gridCol w:w="391"/>
      </w:tblGrid>
      <w:tr>
        <w:trPr/>
        <w:tc>
          <w:tcPr>
            <w:tcW w:w="4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 revolving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above fair values, which are Level 2 liabilities, were computed based on comparable quoted market prices.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each of May 2025 and May 2026, our Board of Directors authorized a stock repurchase program, which enables us to repurchase up to $1.5 billion in the aggregate of our outstanding common stock on the open market or in privately negotiated transactions until the one-year anniversary of the Board’s authorization, unless earlier terminated by the Board. During the three and six months ended June 30, 2026, we repurchased 6.4 million and 8.7 million shares, respectively, of common stock for approximately $439.5 million and $607.9 million, respectively, which includes a 1% excise tax on share repurchases. During the three and six months ended June 30, 2025, we repurchased 3.4 million and 5.8 million shares, respectively, of common stock for approximately $269.6 million and $476.5 million, respectively, which includes a 1% excise tax on share repurchases. We use the cost method to account for treasury stock purchases. Under the cost method, the price paid for the stock is charged to the treasury stock account.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quarterly cash dividends of $0.27 per share of common stock in each of March and June 2026 totaling $129.3 million. We paid quarterly cash dividends of $0.25 per share of common stock in each of March and June 2025 totaling $122.5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Accumulated</w:t>
      </w:r>
      <w:r>
        <w:rPr>
          <w:rFonts w:ascii="Times New Roman" w:hAnsi="Times New Roman"/>
          <w:color w:val="000000"/>
          <w:sz w:val="20"/>
        </w:rPr>
        <w:t xml:space="preserve"> </w:t>
      </w:r>
      <w:r>
        <w:rPr>
          <w:rFonts w:ascii="Times New Roman" w:hAnsi="Times New Roman"/>
          <w:i/>
          <w:color w:val="000000"/>
          <w:sz w:val="20"/>
        </w:rPr>
        <w:t>Other Comprehensive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Accumulated other comprehensive loss balances, net of tax, consist of the following (in millions):</w:t>
      </w:r>
    </w:p>
    <w:tbl>
      <w:tblPr>
        <w:tblW w:w="10205" w:type="dxa"/>
        <w:jc w:val="left"/>
        <w:tblInd w:w="0" w:type="dxa"/>
        <w:tblLayout w:type="fixed"/>
        <w:tblCellMar>
          <w:top w:w="28" w:type="dxa"/>
          <w:left w:w="28" w:type="dxa"/>
          <w:bottom w:w="28" w:type="dxa"/>
          <w:right w:w="28" w:type="dxa"/>
        </w:tblCellMar>
      </w:tblPr>
      <w:tblGrid>
        <w:gridCol w:w="3476"/>
        <w:gridCol w:w="146"/>
        <w:gridCol w:w="439"/>
        <w:gridCol w:w="1315"/>
        <w:gridCol w:w="166"/>
        <w:gridCol w:w="146"/>
        <w:gridCol w:w="450"/>
        <w:gridCol w:w="1128"/>
        <w:gridCol w:w="166"/>
        <w:gridCol w:w="146"/>
        <w:gridCol w:w="578"/>
        <w:gridCol w:w="1735"/>
        <w:gridCol w:w="314"/>
      </w:tblGrid>
      <w:tr>
        <w:trPr/>
        <w:tc>
          <w:tcPr>
            <w:tcW w:w="3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current period other comprehensive (loss) income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(1) Amounts are reported net of tax. Tax effects were immaterial.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8—Variable Interest Entity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July 2021, we entered into an agreement whereby we obtained an 80.2% interest in DomaniRx, LLC (“DomaniRx”),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the Board of DomaniRx authorized a mandatory additional capital contribution in accordance with each member’s ownership interest in DomaniRx in the amount of $75.0 million. We received cash capital contributions from our joint venture partners totaling $14.9 million during the three months ended June 30, 2026. Our cash capital contribution was paid in July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carrying value of the assets and liabilities associated with DomaniRx included in our unaudited condensed consolidated balance sheet at June 30, 2026 and December 31, 2025, which are limited for use in its operations and do not have recourse against our general credit or our senior secured credit facilities, are as follows: </w:t>
      </w:r>
    </w:p>
    <w:tbl>
      <w:tblPr>
        <w:tblW w:w="6011" w:type="dxa"/>
        <w:jc w:val="left"/>
        <w:tblInd w:w="0" w:type="dxa"/>
        <w:tblLayout w:type="fixed"/>
        <w:tblCellMar>
          <w:top w:w="28" w:type="dxa"/>
          <w:left w:w="28" w:type="dxa"/>
          <w:bottom w:w="28" w:type="dxa"/>
          <w:right w:w="28" w:type="dxa"/>
        </w:tblCellMar>
      </w:tblPr>
      <w:tblGrid>
        <w:gridCol w:w="3551"/>
        <w:gridCol w:w="146"/>
        <w:gridCol w:w="211"/>
        <w:gridCol w:w="571"/>
        <w:gridCol w:w="146"/>
        <w:gridCol w:w="294"/>
        <w:gridCol w:w="80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revenues primarily through our technology-enabled services. Our technology-enabled services are generally provided under contracts with initial terms of one to five years that require monthly or quarterly payments and are subject to automatic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renewal at the end of the initial term unless terminated by either party. We also generate revenues by licensing our software to clients through either term or perpetual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scope of service the client requires. Revenues from professional services consist mostly of services provided on a time and materials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Deferred revenues primarily represent unrecognized fees billed or collected for maintenance and professional services. Deferred revenues are recognized as (or when) we perform under the contract. Long-term deferred revenue of $36.2 million and $42.1 million, was included in other long-term liabilities as of June 30, 2026 and December 31, 2025, respectively, in our unaudited Condensed Consolidated Balance Sheets. Deferred revenues are recorded on a net basis with contract assets at the contract level. Accordingly, as of June 30, 2026 and December 31, 2025, approximately $84.3 million and $71.7 million, respectively, of deferred revenue is presented net within contract assets arising from the same contracts. The amount of revenues recognized in the period that was included in the opening deferred revenues balance was $373.2 million for the six months ended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revenue of approximately $1,015.5 million is expected to be recognized from remaining performance obligations for license, maintenance and related revenues, of which $461.8 million is expected to be recognized over the next twelve months and the remainder is expected to be recognized over a weighted average period of approximately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revenue net of any taxes assessed by governmental authorities.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Disaggregation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our revenues by geography (in millions):</w:t>
      </w:r>
    </w:p>
    <w:tbl>
      <w:tblPr>
        <w:tblW w:w="7818" w:type="dxa"/>
        <w:jc w:val="left"/>
        <w:tblInd w:w="0" w:type="dxa"/>
        <w:tblLayout w:type="fixed"/>
        <w:tblCellMar>
          <w:top w:w="28" w:type="dxa"/>
          <w:left w:w="28" w:type="dxa"/>
          <w:bottom w:w="28" w:type="dxa"/>
          <w:right w:w="28" w:type="dxa"/>
        </w:tblCellMar>
      </w:tblPr>
      <w:tblGrid>
        <w:gridCol w:w="2671"/>
        <w:gridCol w:w="146"/>
        <w:gridCol w:w="221"/>
        <w:gridCol w:w="757"/>
        <w:gridCol w:w="153"/>
        <w:gridCol w:w="153"/>
        <w:gridCol w:w="221"/>
        <w:gridCol w:w="757"/>
        <w:gridCol w:w="146"/>
        <w:gridCol w:w="146"/>
        <w:gridCol w:w="211"/>
        <w:gridCol w:w="721"/>
        <w:gridCol w:w="146"/>
        <w:gridCol w:w="146"/>
        <w:gridCol w:w="211"/>
        <w:gridCol w:w="721"/>
        <w:gridCol w:w="2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1,695.7</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Revenue recognized from customers in the United States was $1,106.0 million and $2,172.0 million for the three and six months ended June 30, 2026, respectively. Revenue recognized from customers in the United States was $1,034.6 million and $2,071.1 million for the three and six months ended June 30, 2025,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disaggregates our revenues by source (in millions):</w:t>
      </w:r>
    </w:p>
    <w:tbl>
      <w:tblPr>
        <w:tblW w:w="7773" w:type="dxa"/>
        <w:jc w:val="left"/>
        <w:tblInd w:w="0" w:type="dxa"/>
        <w:tblLayout w:type="fixed"/>
        <w:tblCellMar>
          <w:top w:w="28" w:type="dxa"/>
          <w:left w:w="28" w:type="dxa"/>
          <w:bottom w:w="28" w:type="dxa"/>
          <w:right w:w="28" w:type="dxa"/>
        </w:tblCellMar>
      </w:tblPr>
      <w:tblGrid>
        <w:gridCol w:w="2626"/>
        <w:gridCol w:w="146"/>
        <w:gridCol w:w="221"/>
        <w:gridCol w:w="757"/>
        <w:gridCol w:w="153"/>
        <w:gridCol w:w="153"/>
        <w:gridCol w:w="221"/>
        <w:gridCol w:w="757"/>
        <w:gridCol w:w="146"/>
        <w:gridCol w:w="146"/>
        <w:gridCol w:w="211"/>
        <w:gridCol w:w="721"/>
        <w:gridCol w:w="146"/>
        <w:gridCol w:w="146"/>
        <w:gridCol w:w="211"/>
        <w:gridCol w:w="721"/>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term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Perpetual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1,695.7</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tock options, PSUs and 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amount of stock-based compensation expense recognized in our unaudited Condensed Consolidated Statements of Comprehensive Income for the three and six months ended June 30, 2026 and 2025 was as follows (in millions):</w:t>
      </w:r>
    </w:p>
    <w:tbl>
      <w:tblPr>
        <w:tblW w:w="10205" w:type="dxa"/>
        <w:jc w:val="left"/>
        <w:tblInd w:w="0" w:type="dxa"/>
        <w:tblLayout w:type="fixed"/>
        <w:tblCellMar>
          <w:top w:w="28" w:type="dxa"/>
          <w:left w:w="28" w:type="dxa"/>
          <w:bottom w:w="28" w:type="dxa"/>
          <w:right w:w="28" w:type="dxa"/>
        </w:tblCellMar>
      </w:tblPr>
      <w:tblGrid>
        <w:gridCol w:w="5095"/>
        <w:gridCol w:w="146"/>
        <w:gridCol w:w="277"/>
        <w:gridCol w:w="596"/>
        <w:gridCol w:w="206"/>
        <w:gridCol w:w="206"/>
        <w:gridCol w:w="277"/>
        <w:gridCol w:w="596"/>
        <w:gridCol w:w="146"/>
        <w:gridCol w:w="146"/>
        <w:gridCol w:w="231"/>
        <w:gridCol w:w="604"/>
        <w:gridCol w:w="172"/>
        <w:gridCol w:w="172"/>
        <w:gridCol w:w="231"/>
        <w:gridCol w:w="604"/>
        <w:gridCol w:w="500"/>
      </w:tblGrid>
      <w:tr>
        <w:trPr/>
        <w:tc>
          <w:tcPr>
            <w:tcW w:w="5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Comprehensive 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license, maintenance and other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43.1</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69.8</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62.0</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112.9</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stock options, performance stock units (“PSUs”) and restricted stock units (“RSUs”) activity, for the six months ended June 30, 2026 (shares in millions):</w:t>
      </w:r>
    </w:p>
    <w:tbl>
      <w:tblPr>
        <w:tblW w:w="6301" w:type="dxa"/>
        <w:jc w:val="left"/>
        <w:tblInd w:w="0" w:type="dxa"/>
        <w:tblLayout w:type="fixed"/>
        <w:tblCellMar>
          <w:top w:w="28" w:type="dxa"/>
          <w:left w:w="28" w:type="dxa"/>
          <w:bottom w:w="28" w:type="dxa"/>
          <w:right w:w="28" w:type="dxa"/>
        </w:tblCellMar>
      </w:tblPr>
      <w:tblGrid>
        <w:gridCol w:w="3031"/>
        <w:gridCol w:w="146"/>
        <w:gridCol w:w="268"/>
        <w:gridCol w:w="857"/>
        <w:gridCol w:w="166"/>
        <w:gridCol w:w="146"/>
        <w:gridCol w:w="316"/>
        <w:gridCol w:w="914"/>
        <w:gridCol w:w="166"/>
        <w:gridCol w:w="2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was 25.1% and 24.4% for the three months ended June 30, 2026 and 2025, respectively, and 25.2% and 21.3% for the six months ended June 30, 2026 and 2025, respectively. The change in the effective tax rate for the three and six months ended June 30, 2026 compared to the prior year was primarily related to a decrease in recognition of windfall tax benefits from stock awards in the current year and a proportionate change in the composition of income before income taxes from foreign and domestic tax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was enacted in the United States. Certain provisions of the legislation became effective in 2025 while others became effective in 2026. The legislation did not have a material impact on our provision for income taxes during the year ended December 31, 2025 or the three and six months ended June 30, 2026.</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continues to be released each year. Many non-U.S. tax jurisdictions in which we operate have either recently enacted legislation or are in the process of enacting legislation to adopt certain components of the Pillar Two Model Rules. The enactments effective in 2025 and 2026 were not material to our provision for income taxes.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12—Earnings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EPS (in millions, except per share amounts):</w:t>
      </w:r>
    </w:p>
    <w:tbl>
      <w:tblPr>
        <w:tblW w:w="10205" w:type="dxa"/>
        <w:jc w:val="left"/>
        <w:tblInd w:w="0" w:type="dxa"/>
        <w:tblLayout w:type="fixed"/>
        <w:tblCellMar>
          <w:top w:w="28" w:type="dxa"/>
          <w:left w:w="28" w:type="dxa"/>
          <w:bottom w:w="28" w:type="dxa"/>
          <w:right w:w="28" w:type="dxa"/>
        </w:tblCellMar>
      </w:tblPr>
      <w:tblGrid>
        <w:gridCol w:w="5544"/>
        <w:gridCol w:w="146"/>
        <w:gridCol w:w="234"/>
        <w:gridCol w:w="636"/>
        <w:gridCol w:w="162"/>
        <w:gridCol w:w="162"/>
        <w:gridCol w:w="234"/>
        <w:gridCol w:w="636"/>
        <w:gridCol w:w="146"/>
        <w:gridCol w:w="146"/>
        <w:gridCol w:w="223"/>
        <w:gridCol w:w="605"/>
        <w:gridCol w:w="154"/>
        <w:gridCol w:w="154"/>
        <w:gridCol w:w="223"/>
        <w:gridCol w:w="605"/>
        <w:gridCol w:w="195"/>
      </w:tblGrid>
      <w:tr>
        <w:trPr/>
        <w:tc>
          <w:tcPr>
            <w:tcW w:w="5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attributable to SS&amp;C: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used in calculation of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equivalents – stock options and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and common equivalent shares outstanding – used in calculation of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242.0</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Weighted-average stock options, RSUs and PSUs representing 15.5 million and 10.9 million shares were outstanding for the three and six months ended June 30, 2026, respectively, but were not included in the computation of diluted EPS because the effect of including them would be anti-dilutive. Weighted-average stock options, RSUs and PSUs representing 10.2 million and 9.1 million shares were outstanding for the three and six months ended June 30, 2025, respectively, but were not included in the computation of diluted EPS because the effect of including them would be anti-dilutive. </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13—Commitments and 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0" w:after="12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Annual Report on Form 10-K for the year ended December 31, 2025, filed with the Securities and Exchange Commission (the “SEC”) on February 26, 2026 (the “2025 Form 10-K”) and the Condensed Consolidated Financial Statements included in this Form 10-Q. Within the condensed consolidated financial statements, the line items named technology-enabled services were previously named software-enabled services.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term organic to refer to the businesses and operations that are included in the comparable prior year period on a constant currency basis. Organic includes the change in an acquired business, but excludes the impact of any business which we acquired for the time period which would impact the comparable prior 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macroeconomic conditions, such as changes in interest rates and inflation, volatility in capital markets, global trade issues, geopolitical tensions, foreign currency exchange rate fluctuations, and other similar factors, could impact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number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2025 Form 10-K. Our critical accounting policies are described in the 2025 Form 10-K and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Accounting, Intangible Assets and Goodwill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Software Capitalization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Recognition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results of operations below include the results of our recent acquisitions from the date of acquisition. FPS Trust Company was acquired in February 2025, Calastone Limited in October 2025 and Curo Fund Services in November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two sources: technology-enabled services revenues and license, maintenance and related revenues. As a general matter, fluctuations in our technology-enabled services revenues are attributable to our customer retention, the number of new technology-enabled services, total assets under management in our clients’ portfolios and the number of outsourced transactions managed for our existing clients. Technology-enabled services revenues also fluctuate as a result of reimbursements received for “out-of-pocket” expenses, such as postage and telecommunications charges.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provides the percentage of total revenue derived by the two sources of revenue:</w:t>
      </w:r>
    </w:p>
    <w:tbl>
      <w:tblPr>
        <w:tblW w:w="8231" w:type="dxa"/>
        <w:jc w:val="left"/>
        <w:tblInd w:w="0" w:type="dxa"/>
        <w:tblLayout w:type="fixed"/>
        <w:tblCellMar>
          <w:top w:w="28" w:type="dxa"/>
          <w:left w:w="28" w:type="dxa"/>
          <w:bottom w:w="28" w:type="dxa"/>
          <w:right w:w="28" w:type="dxa"/>
        </w:tblCellMar>
      </w:tblPr>
      <w:tblGrid>
        <w:gridCol w:w="2821"/>
        <w:gridCol w:w="146"/>
        <w:gridCol w:w="178"/>
        <w:gridCol w:w="699"/>
        <w:gridCol w:w="331"/>
        <w:gridCol w:w="178"/>
        <w:gridCol w:w="178"/>
        <w:gridCol w:w="699"/>
        <w:gridCol w:w="271"/>
        <w:gridCol w:w="146"/>
        <w:gridCol w:w="163"/>
        <w:gridCol w:w="638"/>
        <w:gridCol w:w="303"/>
        <w:gridCol w:w="163"/>
        <w:gridCol w:w="163"/>
        <w:gridCol w:w="638"/>
        <w:gridCol w:w="5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revenues (dollars in millions) and percent change in revenues for the periods indicated:</w:t>
      </w:r>
    </w:p>
    <w:tbl>
      <w:tblPr>
        <w:tblW w:w="10205" w:type="dxa"/>
        <w:jc w:val="left"/>
        <w:tblInd w:w="0" w:type="dxa"/>
        <w:tblLayout w:type="fixed"/>
        <w:tblCellMar>
          <w:top w:w="28" w:type="dxa"/>
          <w:left w:w="28" w:type="dxa"/>
          <w:bottom w:w="28" w:type="dxa"/>
          <w:right w:w="28" w:type="dxa"/>
        </w:tblCellMar>
      </w:tblPr>
      <w:tblGrid>
        <w:gridCol w:w="2387"/>
        <w:gridCol w:w="146"/>
        <w:gridCol w:w="216"/>
        <w:gridCol w:w="741"/>
        <w:gridCol w:w="149"/>
        <w:gridCol w:w="149"/>
        <w:gridCol w:w="216"/>
        <w:gridCol w:w="741"/>
        <w:gridCol w:w="146"/>
        <w:gridCol w:w="146"/>
        <w:gridCol w:w="211"/>
        <w:gridCol w:w="679"/>
        <w:gridCol w:w="271"/>
        <w:gridCol w:w="146"/>
        <w:gridCol w:w="211"/>
        <w:gridCol w:w="721"/>
        <w:gridCol w:w="146"/>
        <w:gridCol w:w="146"/>
        <w:gridCol w:w="211"/>
        <w:gridCol w:w="721"/>
        <w:gridCol w:w="146"/>
        <w:gridCol w:w="146"/>
        <w:gridCol w:w="211"/>
        <w:gridCol w:w="679"/>
        <w:gridCol w:w="523"/>
      </w:tblGrid>
      <w:tr>
        <w:trPr/>
        <w:tc>
          <w:tcPr>
            <w:tcW w:w="2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1,695.7</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June 30, 2026 and 2025</w:t>
      </w:r>
      <w:r>
        <w:rPr>
          <w:rFonts w:ascii="Times New Roman" w:hAnsi="Times New Roman"/>
          <w:color w:val="000000"/>
          <w:sz w:val="20"/>
        </w:rPr>
        <w:t xml:space="preserve">. Our revenues increased $158.9 million, or 10.3%, primarily due to an increase of $117.6 million in organic revenue growth primarily driven by strength in the SS&amp;C GlobeOp fund administration, Wealth and Investment Technology, and Global Investor and Distribution Solutions businesses. Our revenues also increased due to acquisitions, which contributed $35.9 million, and the favorable impact from foreign currency translation of $5.4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Technology-enabled services revenues increased $140.5 million, or 11.1%, primarily due to an increase in organic revenues of $101.6 million as well as acquisitions, which added $35.9 million in revenues, and the favorable impact from foreign currency translation of $3.0 million. License, maintenance and related revenues increased $18.4 million, or 6.8%, due to an increase in organic revenues of $16.0 million and the favorable impact from foreign currency translation of $2.4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Six Months Ended June 30, 2026 and 2025</w:t>
      </w:r>
      <w:r>
        <w:rPr>
          <w:rFonts w:ascii="Times New Roman" w:hAnsi="Times New Roman"/>
          <w:color w:val="000000"/>
          <w:sz w:val="20"/>
        </w:rPr>
        <w:t>. Our revenues increased $292.1 million, or 9.6%, primarily due to an increase of $193.6 million in organic revenue growth primarily driven by strength in the SS&amp;C GlobeOp fund administration and Global Investor and Distribution Solutions businesses. Our revenues also increased due to acquisitions, which contributed $70.8 million, and the favorable impact from foreign currency translation of $27.7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Technology-enabled services revenues increased $277.9 million, or 11.0%, primarily due to an increase in organic revenues of $187.9 million as well as acquisitions, which added $70.8 million in revenues, and the favorable impact from foreign currency translation of $19.2 million. License, maintenance and related revenues increased $14.2 million, or 2.8%, due to the favorable impact from foreign currency translation of $8.5 million and an increase in organic revenues of $5.7 million.</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technology-enabled services revenues consists primarily of costs related to personnel who deliver our technology-enabled services and amortization of certain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tables set forth each of the following cost of revenues as a percentage of their respective revenue source for the periods indicated:</w:t>
      </w:r>
    </w:p>
    <w:tbl>
      <w:tblPr>
        <w:tblW w:w="8803" w:type="dxa"/>
        <w:jc w:val="left"/>
        <w:tblInd w:w="0" w:type="dxa"/>
        <w:tblLayout w:type="fixed"/>
        <w:tblCellMar>
          <w:top w:w="28" w:type="dxa"/>
          <w:left w:w="28" w:type="dxa"/>
          <w:bottom w:w="28" w:type="dxa"/>
          <w:right w:w="28" w:type="dxa"/>
        </w:tblCellMar>
      </w:tblPr>
      <w:tblGrid>
        <w:gridCol w:w="3391"/>
        <w:gridCol w:w="146"/>
        <w:gridCol w:w="201"/>
        <w:gridCol w:w="643"/>
        <w:gridCol w:w="374"/>
        <w:gridCol w:w="201"/>
        <w:gridCol w:w="201"/>
        <w:gridCol w:w="643"/>
        <w:gridCol w:w="271"/>
        <w:gridCol w:w="146"/>
        <w:gridCol w:w="184"/>
        <w:gridCol w:w="588"/>
        <w:gridCol w:w="342"/>
        <w:gridCol w:w="184"/>
        <w:gridCol w:w="184"/>
        <w:gridCol w:w="588"/>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cost of revenues (dollars in millions) and percent change in cost of revenues for the periods indicated:</w:t>
      </w:r>
    </w:p>
    <w:tbl>
      <w:tblPr>
        <w:tblW w:w="10205" w:type="dxa"/>
        <w:jc w:val="left"/>
        <w:tblInd w:w="0" w:type="dxa"/>
        <w:tblLayout w:type="fixed"/>
        <w:tblCellMar>
          <w:top w:w="28" w:type="dxa"/>
          <w:left w:w="28" w:type="dxa"/>
          <w:bottom w:w="28" w:type="dxa"/>
          <w:right w:w="28" w:type="dxa"/>
        </w:tblCellMar>
      </w:tblPr>
      <w:tblGrid>
        <w:gridCol w:w="2571"/>
        <w:gridCol w:w="146"/>
        <w:gridCol w:w="233"/>
        <w:gridCol w:w="633"/>
        <w:gridCol w:w="161"/>
        <w:gridCol w:w="161"/>
        <w:gridCol w:w="233"/>
        <w:gridCol w:w="633"/>
        <w:gridCol w:w="146"/>
        <w:gridCol w:w="146"/>
        <w:gridCol w:w="204"/>
        <w:gridCol w:w="657"/>
        <w:gridCol w:w="300"/>
        <w:gridCol w:w="146"/>
        <w:gridCol w:w="211"/>
        <w:gridCol w:w="721"/>
        <w:gridCol w:w="146"/>
        <w:gridCol w:w="146"/>
        <w:gridCol w:w="211"/>
        <w:gridCol w:w="721"/>
        <w:gridCol w:w="146"/>
        <w:gridCol w:w="146"/>
        <w:gridCol w:w="204"/>
        <w:gridCol w:w="657"/>
        <w:gridCol w:w="526"/>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Three Months Ended June 30, 2026 and 2025</w:t>
      </w:r>
      <w:r>
        <w:rPr>
          <w:rFonts w:ascii="Times New Roman" w:hAnsi="Times New Roman"/>
          <w:color w:val="000000"/>
          <w:sz w:val="20"/>
        </w:rPr>
        <w:t xml:space="preserve">. Our total cost of revenues increased by $77.5 million, or 9.7%, primarily due to an increase of $54.5 million in organic costs as well as acquisitions, which added $20.2 million in costs, and the unfavorable impact from foreign currency translation, which increased costs by $2.8 million. Our organic cost increase reflects continued investment in delivering client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technology-enabled services revenues increased $77.7 million, or 11.2%, due to an increase of $55.1 million in organic costs, acquisitions, which added $20.2 million in costs, and the unfavorable impact from foreign currency translation of $2.4 million. Cost of license, maintenance and related revenues decreased $0.2 million, or 0.2%, due to a decrease of $0.6 million in organic costs, partially offset by the unfavorable impact from foreign currency translation of $0.4 million.</w:t>
      </w:r>
    </w:p>
    <w:p>
      <w:pPr>
        <w:pStyle w:val="TextBody"/>
        <w:bidi w:val="0"/>
        <w:spacing w:before="120" w:after="283"/>
        <w:jc w:val="left"/>
        <w:rPr>
          <w:rFonts w:ascii="Times New Roman" w:hAnsi="Times New Roman"/>
          <w:sz w:val="20"/>
        </w:rPr>
      </w:pPr>
      <w:r>
        <w:rPr>
          <w:rFonts w:ascii="Times New Roman" w:hAnsi="Times New Roman"/>
          <w:i/>
          <w:color w:val="000000"/>
          <w:sz w:val="20"/>
        </w:rPr>
        <w:t>Six Months Ended June 30, 2026 and 2025.</w:t>
      </w:r>
      <w:r>
        <w:rPr>
          <w:rFonts w:ascii="Times New Roman" w:hAnsi="Times New Roman"/>
          <w:color w:val="000000"/>
          <w:sz w:val="20"/>
        </w:rPr>
        <w:t xml:space="preserve"> Our total cost of revenues increased by $156.0 million, or 10.0%, primarily due to an increase of $97.4 million in organic costs as well as acquisitions, which added $40.0 million in costs, and the unfavorable impact from foreign currency translation, which increased costs by $18.6 million. Our organic cost increase reflects continued investment in delivering client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technology-enabled services revenues increased $150.9 million, or 11.1%, due to an increase of $95.3 million in organic costs, acquisitions, which added $40.0 million in costs, and the unfavorable impact from foreign currency translation of $15.6 million. Cost of license, maintenance and related revenues increased $5.1 million, or 2.5%, due to the unfavorable impact from foreign currency translation of $3.0 million and an increase of $2.1 million in organic costs.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primarily of the personnel costs associated with the selling and marketing of our products, including, but not limited to, salaries, commissions and travel and entertainment. Selling and marketing expenses also include amortization of certain intangible assets,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operating expenses for the periods indicated:</w:t>
      </w:r>
    </w:p>
    <w:tbl>
      <w:tblPr>
        <w:tblW w:w="7773" w:type="dxa"/>
        <w:jc w:val="left"/>
        <w:tblInd w:w="0" w:type="dxa"/>
        <w:tblLayout w:type="fixed"/>
        <w:tblCellMar>
          <w:top w:w="28" w:type="dxa"/>
          <w:left w:w="28" w:type="dxa"/>
          <w:bottom w:w="28" w:type="dxa"/>
          <w:right w:w="28" w:type="dxa"/>
        </w:tblCellMar>
      </w:tblPr>
      <w:tblGrid>
        <w:gridCol w:w="2361"/>
        <w:gridCol w:w="146"/>
        <w:gridCol w:w="201"/>
        <w:gridCol w:w="643"/>
        <w:gridCol w:w="374"/>
        <w:gridCol w:w="201"/>
        <w:gridCol w:w="201"/>
        <w:gridCol w:w="643"/>
        <w:gridCol w:w="271"/>
        <w:gridCol w:w="146"/>
        <w:gridCol w:w="184"/>
        <w:gridCol w:w="588"/>
        <w:gridCol w:w="342"/>
        <w:gridCol w:w="184"/>
        <w:gridCol w:w="184"/>
        <w:gridCol w:w="588"/>
        <w:gridCol w:w="51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222222"/>
          <w:sz w:val="20"/>
        </w:rPr>
      </w:pPr>
      <w:r>
        <w:rPr>
          <w:rFonts w:ascii="Times New Roman" w:hAnsi="Times New Roman"/>
          <w:color w:val="222222"/>
          <w:sz w:val="20"/>
        </w:rPr>
        <w:t>The following table sets forth operating expenses (dollars in millions) and percent change in operating expenses for the periods indicated:</w:t>
      </w:r>
    </w:p>
    <w:tbl>
      <w:tblPr>
        <w:tblW w:w="10205" w:type="dxa"/>
        <w:jc w:val="left"/>
        <w:tblInd w:w="0" w:type="dxa"/>
        <w:tblLayout w:type="fixed"/>
        <w:tblCellMar>
          <w:top w:w="28" w:type="dxa"/>
          <w:left w:w="28" w:type="dxa"/>
          <w:bottom w:w="28" w:type="dxa"/>
          <w:right w:w="28" w:type="dxa"/>
        </w:tblCellMar>
      </w:tblPr>
      <w:tblGrid>
        <w:gridCol w:w="2218"/>
        <w:gridCol w:w="146"/>
        <w:gridCol w:w="250"/>
        <w:gridCol w:w="680"/>
        <w:gridCol w:w="173"/>
        <w:gridCol w:w="173"/>
        <w:gridCol w:w="250"/>
        <w:gridCol w:w="680"/>
        <w:gridCol w:w="146"/>
        <w:gridCol w:w="146"/>
        <w:gridCol w:w="260"/>
        <w:gridCol w:w="751"/>
        <w:gridCol w:w="323"/>
        <w:gridCol w:w="146"/>
        <w:gridCol w:w="231"/>
        <w:gridCol w:w="628"/>
        <w:gridCol w:w="159"/>
        <w:gridCol w:w="159"/>
        <w:gridCol w:w="231"/>
        <w:gridCol w:w="628"/>
        <w:gridCol w:w="146"/>
        <w:gridCol w:w="146"/>
        <w:gridCol w:w="290"/>
        <w:gridCol w:w="720"/>
        <w:gridCol w:w="525"/>
      </w:tblGrid>
      <w:tr>
        <w:trPr/>
        <w:tc>
          <w:tcPr>
            <w:tcW w:w="2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June 30, 2026 and 2025</w:t>
      </w:r>
      <w:r>
        <w:rPr>
          <w:rFonts w:ascii="Times New Roman" w:hAnsi="Times New Roman"/>
          <w:color w:val="000000"/>
          <w:sz w:val="20"/>
        </w:rPr>
        <w:t>. Operating expenses increased $8.8 million, or 2.2%, due to acquisitions, which added $15.5 million in expenses and the unfavorable impact from foreign currency translation of $1.2 million. These increases were partially offset by a decrease of $7.9 million in organic operating expenses. Total operating expenses, excluding the impact of acquisitions and foreign currency translation, primarily decreased due to lower personnel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 Months Ended June 30, 2026 and 2025. Operating expenses increased $23.2 million, or 3.0%, due to acquisitions, which added $31.1 million in expenses and the unfavorable impact from foreign currency translation of $10.3 million. These increases were partially offset by a decrease of $18.2 million in organic operating expenses. Total operating expenses, excluding the impact of acquisitions and foreign currency translation, primarily decreased due to lower personnel costs.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Comparison of the Three and Six Months Ended June 30, 2026 and 2025 for Interest, Taxes and Other</w:t>
      </w:r>
    </w:p>
    <w:p>
      <w:pPr>
        <w:pStyle w:val="TextBody"/>
        <w:bidi w:val="0"/>
        <w:spacing w:before="200" w:after="283"/>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Net interest expense totaled $107.0 million and $212.4 million for the three and six months ended June 30, 2026, respectively, compared to $105.5 million and $210.7 million for the three and six months ended June 30, 2025, respectively. The increase in interest expense, net for 2026 as compared to 2025 is primarily due to higher debt balances partially offset by lower interest rates. We had an average interest rate of 5.70% and 5.69% for the three and six months ended June 30, 2026, respectively, compared to 6.14% and 6.11% for the three and six months ended June 30, 2025,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$1.1 million and $7.9 million for the three and six months ended June 30, 2026, respectively, compared to $(1.1) million and $6.1 million for the three and six months ended June 30, 2025, respectively. For the three and six months ended June 30, 2026, other income (expense), net was primarily comprised of dividend income of $1.0 million and $10.3 million, respectively, and foreign currency translation gains of $1.7 million and $0.3 million, respectively, partially offset by losses on fixed asset sales of $2.9 million in both periods. For the three and six months ended June 30, 2025, other income (expense), net consisted primarily of dividend income of $2.5 million and $13.7 million, respectively, offset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translation losses of $1.9 million and $4.1 million, respectively, and investment losses due to mark-to-market adjustments of $1.7 million and $3.5 million,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Equity in earnings of unconsolidated affiliates, net.</w:t>
      </w:r>
      <w:r>
        <w:rPr>
          <w:rFonts w:ascii="Times New Roman" w:hAnsi="Times New Roman"/>
          <w:color w:val="000000"/>
          <w:sz w:val="20"/>
        </w:rPr>
        <w:t xml:space="preserve"> Equity in earnings of unconsolidated affiliates, net totaled $3.0 million and $6.9 million for the three and six months ended June 30, 2026, respectively, compared to $1.6 million and $3.9 million for the three and six months ended June 30, 2025, respectively.</w:t>
      </w:r>
    </w:p>
    <w:p>
      <w:pPr>
        <w:pStyle w:val="TextBody"/>
        <w:bidi w:val="0"/>
        <w:spacing w:before="20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The following table sets forth the provision for income taxes (dollars in millions) and effective tax rates for the periods indicated:</w:t>
      </w:r>
    </w:p>
    <w:tbl>
      <w:tblPr>
        <w:tblW w:w="7489" w:type="dxa"/>
        <w:jc w:val="left"/>
        <w:tblInd w:w="0" w:type="dxa"/>
        <w:tblLayout w:type="fixed"/>
        <w:tblCellMar>
          <w:top w:w="28" w:type="dxa"/>
          <w:left w:w="28" w:type="dxa"/>
          <w:bottom w:w="28" w:type="dxa"/>
          <w:right w:w="28" w:type="dxa"/>
        </w:tblCellMar>
      </w:tblPr>
      <w:tblGrid>
        <w:gridCol w:w="2281"/>
        <w:gridCol w:w="146"/>
        <w:gridCol w:w="269"/>
        <w:gridCol w:w="596"/>
        <w:gridCol w:w="346"/>
        <w:gridCol w:w="186"/>
        <w:gridCol w:w="269"/>
        <w:gridCol w:w="596"/>
        <w:gridCol w:w="271"/>
        <w:gridCol w:w="146"/>
        <w:gridCol w:w="220"/>
        <w:gridCol w:w="596"/>
        <w:gridCol w:w="283"/>
        <w:gridCol w:w="152"/>
        <w:gridCol w:w="220"/>
        <w:gridCol w:w="596"/>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effective tax rates for the three and six months ended June 30, 2026 and 2025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and six months ended June 30, 2026 compared to the prior year was primarily related to a decrease in recognition of windfall tax benefits from stock awards in the current year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2026 to be 25.0% in the United Kingdom and approximately 25.5% in India. A future change in the composition of income before income taxes from foreign and domestic tax jurisdictions could impact our periodic effective tax rate.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4, 2025, the One Big Beautiful Bill Act was enacted in the United States. Certain provisions of the legislation became effective in 2025 while others became effective in 2026. The legislation did not have a material impact on our provision for income taxes during the year ended December 31, 2025 or the three and six months ended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continues to be released each year. Many non-U.S. tax jurisdictions in which we operate have either recently enacted legislation or are in the process of enacting legislation to adopt certain components of the Pillar Two Model Rules. The enactments effective in 2025 and 2026 were not material to our provision for income taxes.</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cash requirements are for delivering value to our clients, investing in research and development, pursuing new sales opportunities, making payments with respect to our indebtedness, acquiring complementary businesses or assets, repurchasing shares of our common stock and paying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paid quarterly cash dividends of $0.27 per share of common stock in each of March and June 2026 totaling $129.3 million. We paid quarterly cash dividends of $0.25 per share of common stock in each of March and June 2025 totaling $122.5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Client funds obligations include our transfer agency client balances invested overnight, claims administration funds due to our customers, as well as our contractual obligations to remit funds to satisfy client pharmacy claim obligations and are recorded on the unaudited Condensed Consolidated Balance Sheets when incurred, generally after a claim has been processed by us. Our contractual obligations to remit funds to satisfy client obligations are primarily sourced by funds held on behalf of clients. We had $3,984.5 million of client funds obligations at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flows from operating, investing and financing activities, as reflected in our Condensed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5520"/>
        <w:gridCol w:w="146"/>
        <w:gridCol w:w="213"/>
        <w:gridCol w:w="622"/>
        <w:gridCol w:w="180"/>
        <w:gridCol w:w="158"/>
        <w:gridCol w:w="213"/>
        <w:gridCol w:w="622"/>
        <w:gridCol w:w="166"/>
        <w:gridCol w:w="146"/>
        <w:gridCol w:w="450"/>
        <w:gridCol w:w="1175"/>
        <w:gridCol w:w="594"/>
      </w:tblGrid>
      <w:tr>
        <w:trPr/>
        <w:tc>
          <w:tcPr>
            <w:tcW w:w="5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and cash equivalents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Year</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55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$716.4 million for the six months ended June 30, 2026. Cash provided by operating activities primarily resulted from net income of $461.6 million adjusted for non-cash items of $505.9 million, partially offset by changes in our working capital accounts totaling $251.1 million. The changes in our working capital accounts were mainly driven by a decrease in accrued expenses and increases in accounts receivable and prepaid expenses as well as decreases in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Investing activities used net cash of $135.0 million for the six months ended June 30, 2026, primarily related to $125.9 million in capitalized software development costs, $19.3 million in capital expenditures, and $7.5 million investment in securities, partially offset by proceeds from the sales / maturities of investments of $7.7 million and the collection of other non-current receivables of $5.3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Financing activities used net cash of $736.1 million for the six months ended June 30, 2026, primarily related to $605.7 million of purchases of common stock for treasury, a net decrease in client fund obligations of $132.1 million, $129.3 million in quarterly dividends paid, and $55.8 million in withholding taxes paid related to equity award net share settlements, partially offset by net borrowings of debt of $140.0 million, proceeds of $31.9 million from stock option exercises, and proceeds from noncontrolling interests of $14.9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made a permanent reinvestment determination in certain non-U.S. operations that have historically generated positive operating cash flows. At June 30, 2026, we held approximately $237.1 million in cash and cash equivalents at non-U.S. subsidiaries where we had made such a determination and in turn no provision for income taxes had been made.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Senior Secured Credit Facilities and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all required scheduled payments on our Term B-8 Loans and do not have any principal payments due until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of the 5.5% Senior Notes remains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the maturity of the 5.5% Senior Notes or (y) the Revolving Credit Facility if more than $150.0 million aggregate principal amount of commitments remain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whichever of (x) or (y) comes first.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as of December 31, 2026 for each quarter thereafter until the maturity date of the Term A-9 Loans.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borrowings by SS&amp;C with $600.0 million in available commitments (“Revolving Credit Facility”), of which $363.4 million was available as of June 30, 2026. The Revolving Credit Facility also contains a $75.0 million letter of credit sub-facility, of which $6.6 million was utilized as of June 30,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June 30, 2026, we were in compliance with all financial and non-financial covenants.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after March 30, 2025, we may, at our option, redeem some or all of the 5.5% Senior Notes, in whole or in part, at 100% of the principal amount, plus accrued and unpaid interest to the redemption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tbl>
      <w:tblPr>
        <w:tblW w:w="3900" w:type="dxa"/>
        <w:jc w:val="left"/>
        <w:tblInd w:w="0" w:type="dxa"/>
        <w:tblLayout w:type="fixed"/>
        <w:tblCellMar>
          <w:top w:w="28" w:type="dxa"/>
          <w:left w:w="28" w:type="dxa"/>
          <w:bottom w:w="28" w:type="dxa"/>
          <w:right w:w="28" w:type="dxa"/>
        </w:tblCellMar>
      </w:tblPr>
      <w:tblGrid>
        <w:gridCol w:w="2411"/>
        <w:gridCol w:w="146"/>
        <w:gridCol w:w="146"/>
        <w:gridCol w:w="781"/>
        <w:gridCol w:w="416"/>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2029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any outstanding 5.5% Senior Notes and 6.5% Senior Notes, through tender offers, in privately negotiated or open market transactions, or otherwise.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Revolving Credit Facility portion of the amended senior secured credit facility, we are required to satisfy and maintain a consolidated net secured leverage ratio of 6.25x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The consolidated net secured leverage ratio is calculated as the ratio of consolidated net secured funded indebtedness, net of cash and cash equivalents,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leans on our property. In addition, the Term A-9 Loans will be subject to a 5.25x consolidated net secured leverage ratio commencing at the fiscal quarter ending December 31, 2024, 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 Our consolidated net secured leverage ratio as of June 30, 2026 is 1.70.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uses Consolidated EBITDA, among other financial metrics, to help gauge the costs of our capital structure. Management further believes that providing this information allows our investors greater transparency and a better understanding of our ability to meet our debt service obligations and make capital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significant interest expense we incur as a result of our debt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the provision of income tax expense in the jurisdictions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excludes expenses and income that are permitted to be excluded per the terms of our amended senior secured credit facility, but which others may believe are normal expenses for the operation of a business.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reconciliation of net income to Consolidated EBITDA attributable to SS&amp;C common stockholders as defined in our amended senior secured credit facility.</w:t>
      </w:r>
    </w:p>
    <w:tbl>
      <w:tblPr>
        <w:tblW w:w="10205" w:type="dxa"/>
        <w:jc w:val="left"/>
        <w:tblInd w:w="0" w:type="dxa"/>
        <w:tblLayout w:type="fixed"/>
        <w:tblCellMar>
          <w:top w:w="28" w:type="dxa"/>
          <w:left w:w="28" w:type="dxa"/>
          <w:bottom w:w="28" w:type="dxa"/>
          <w:right w:w="28" w:type="dxa"/>
        </w:tblCellMar>
      </w:tblPr>
      <w:tblGrid>
        <w:gridCol w:w="3408"/>
        <w:gridCol w:w="146"/>
        <w:gridCol w:w="226"/>
        <w:gridCol w:w="589"/>
        <w:gridCol w:w="191"/>
        <w:gridCol w:w="168"/>
        <w:gridCol w:w="226"/>
        <w:gridCol w:w="589"/>
        <w:gridCol w:w="166"/>
        <w:gridCol w:w="146"/>
        <w:gridCol w:w="199"/>
        <w:gridCol w:w="657"/>
        <w:gridCol w:w="168"/>
        <w:gridCol w:w="148"/>
        <w:gridCol w:w="199"/>
        <w:gridCol w:w="657"/>
        <w:gridCol w:w="166"/>
        <w:gridCol w:w="146"/>
        <w:gridCol w:w="370"/>
        <w:gridCol w:w="1221"/>
        <w:gridCol w:w="419"/>
      </w:tblGrid>
      <w:tr>
        <w:trPr/>
        <w:tc>
          <w:tcPr>
            <w:tcW w:w="3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June 30,</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720.0</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2,239.4</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2,614.5</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attributable to noncontrolling interest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Consolidated EBITDA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1,321.7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2,610.4</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last twelve months as if the acquisition occurred at the beginning of the trailing twelve-month period, as well as cost savings enacted in connection with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includes additional expenses and income that are permitted to be excluded per the terms of our amended senior secured credit facility from Consolidated EBITDA, a financial measure used in calculating our covenant compliance, and includes a loss on the sale of fixed assets of $33.3 million during the twelve months ended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Consolidated EBITDA attributable to noncontrolling interest represents the proportionate share of Consolidated EBITDA of DomaniRx, LLC (a consolidated joint venture) retained by our joint venture partners.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derive revenues from investment earnings related to cash balances maintained in bank accounts on which we are the agent for clients. The balances maintained in the bank accounts will fluctuate. The effect of changes in interest rates attributable to earnings derived from cash balances we hold for clients is offset by changes in interest rates on our variable debt. For the six months ended June 30, 2026, our average daily cash balances of approximately $2.6 billion were maintained in such accounts. We estimate that a 100 basis point increase in the interest rate would equal approximately $12.8 million of net income, net of income taxes, on an annual basis.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June 30, 2026, total variable interest rate debt was approximately $4,856.9 million. As of June 30, 2026, a 100 basis point increase in interest rates would result in an increase in interest expense of approximately $48.6 million per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approximately 35% of our revenues were from clients located outside the United States and approximately 24% of our revenues were from currencies other than the United States dollar. The British pound represents the majority of revenues denominated in a currency other than the United States dollar. While revenues and expenses of our foreign operations are primarily denominated in their respective local currencies, some subsidiaries do enter into certain transactions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currencies that are different from the local currency. These transactions consist primarily of cross-currency intercompany balances and certain trade receivables and payables. As a result of these transactions, we have exposure to changes in foreign currency exchange rates that result in foreign currency transaction gains and losses, which we report in other income, net. The amount of these balances can fluctuate in the future as we bill customers and buy products or services in currencies other than our functional currency (i.e., the United States dollar), which could increase our exposure to foreign currency exchange rates. Our exposures to foreign currency exchange rates can also fluctuate as a result of acquisitions. Accordingly, we continuously assess and monitor our exposure to foreign currency exchange rates. We do not enter into any market risk sensitive instruments for trading or hedging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June 30, 2026.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not been any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 </w:t>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regarding certain legal proceedings in which we are involved as set forth in Note 13 – Commitments and Contingencies of the Notes to the Condensed Consolidated Financial Statements (Part I, Item 1 of this Quarterly Report on Form 10-Q) is incorporated by reference into this Item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report, there have been no material changes to the risk factors we previously disclosed in our Annual Report on Form 10-K for the year ended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securities"/>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repurchases of our common stock in the six months ended June 30, 2026 (in millions, except average price per share):</w:t>
      </w:r>
    </w:p>
    <w:tbl>
      <w:tblPr>
        <w:tblW w:w="10205" w:type="dxa"/>
        <w:jc w:val="left"/>
        <w:tblInd w:w="0" w:type="dxa"/>
        <w:tblLayout w:type="fixed"/>
        <w:tblCellMar>
          <w:top w:w="28" w:type="dxa"/>
          <w:left w:w="28" w:type="dxa"/>
          <w:bottom w:w="28" w:type="dxa"/>
          <w:right w:w="28" w:type="dxa"/>
        </w:tblCellMar>
      </w:tblPr>
      <w:tblGrid>
        <w:gridCol w:w="1247"/>
        <w:gridCol w:w="146"/>
        <w:gridCol w:w="395"/>
        <w:gridCol w:w="981"/>
        <w:gridCol w:w="146"/>
        <w:gridCol w:w="246"/>
        <w:gridCol w:w="317"/>
        <w:gridCol w:w="859"/>
        <w:gridCol w:w="146"/>
        <w:gridCol w:w="146"/>
        <w:gridCol w:w="630"/>
        <w:gridCol w:w="1565"/>
        <w:gridCol w:w="146"/>
        <w:gridCol w:w="246"/>
        <w:gridCol w:w="631"/>
        <w:gridCol w:w="2163"/>
        <w:gridCol w:w="195"/>
      </w:tblGrid>
      <w:tr>
        <w:trPr/>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79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Information is based on trade dates of repurchase transactions. </w:t>
      </w:r>
    </w:p>
    <w:p>
      <w:pPr>
        <w:pStyle w:val="TextBody"/>
        <w:bidi w:val="0"/>
        <w:jc w:val="left"/>
        <w:rPr>
          <w:rFonts w:ascii="Times New Roman" w:hAnsi="Times New Roman"/>
          <w:color w:val="000000"/>
          <w:sz w:val="20"/>
        </w:rPr>
      </w:pPr>
      <w:r>
        <w:rPr>
          <w:rFonts w:ascii="Times New Roman" w:hAnsi="Times New Roman"/>
          <w:color w:val="000000"/>
          <w:sz w:val="20"/>
        </w:rPr>
        <w:t>(2) Represents shares repurchased in open market transactions pursuant to our common stock repurchase program.</w:t>
      </w:r>
    </w:p>
    <w:p>
      <w:pPr>
        <w:pStyle w:val="TextBody"/>
        <w:bidi w:val="0"/>
        <w:jc w:val="left"/>
        <w:rPr>
          <w:rFonts w:ascii="Times New Roman" w:hAnsi="Times New Roman"/>
          <w:color w:val="000000"/>
          <w:sz w:val="20"/>
        </w:rPr>
      </w:pPr>
      <w:r>
        <w:rPr>
          <w:rFonts w:ascii="Times New Roman" w:hAnsi="Times New Roman"/>
          <w:color w:val="000000"/>
          <w:sz w:val="20"/>
        </w:rPr>
        <w:t>(3) Stock repurchases from April 1, 2026 to May 19, 2026 were made pursuant to the common stock repurchase program authorized by our Board of Directors in May 2025. The program allowed for the purchase of up to $1.5 billion of outstanding common stock in one or more transactions on the open market or in privately negotiated purchases. Stock repurchases from May 20, 2026 to June 30, 2026 were made pursuant to the common stock repurchase program authorized by our Board of Directors in May 2026. The program allowed for the purchase of up to $1.5 billion of outstanding common stock in one or more transactions on the open market or in privately negotiated purchases.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Exhibit Index immediately preceding such exhibits are filed as part of this Report.</w:t>
      </w:r>
    </w:p>
    <w:p>
      <w:pPr>
        <w:pStyle w:val="TextBody"/>
        <w:bidi w:val="0"/>
        <w:jc w:val="left"/>
        <w:rPr/>
      </w:pPr>
      <w:r>
        <w:rPr/>
        <w:t> </w:t>
      </w:r>
    </w:p>
    <w:p>
      <w:pPr>
        <w:pStyle w:val="TextBody"/>
        <w:bidi w:val="0"/>
        <w:jc w:val="center"/>
        <w:rPr>
          <w:rFonts w:ascii="Times New Roman" w:hAnsi="Times New Roman"/>
          <w:b/>
          <w:color w:val="000000"/>
          <w:sz w:val="20"/>
        </w:rPr>
      </w:pPr>
      <w:bookmarkStart w:id="17" w:name="exhibit_index"/>
      <w:bookmarkEnd w:id="17"/>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6"/>
        <w:gridCol w:w="146"/>
        <w:gridCol w:w="9303"/>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3" w:type="dxa"/>
            <w:tcBorders/>
            <w:vAlign w:val="center"/>
          </w:tcPr>
          <w:p>
            <w:pPr>
              <w:pStyle w:val="TableContents"/>
              <w:bidi w:val="0"/>
              <w:spacing w:before="0" w:after="283"/>
              <w:jc w:val="left"/>
              <w:rPr>
                <w:sz w:val="4"/>
                <w:szCs w:val="4"/>
              </w:rPr>
            </w:pPr>
            <w:r>
              <w:rPr>
                <w:sz w:val="4"/>
                <w:szCs w:val="4"/>
              </w:rPr>
            </w:r>
          </w:p>
        </w:tc>
      </w:tr>
      <w:tr>
        <w:trPr/>
        <w:tc>
          <w:tcPr>
            <w:tcW w:w="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1_1.htm">
              <w:r>
                <w:rPr>
                  <w:rStyle w:val="InternetLink"/>
                  <w:rFonts w:ascii="Times New Roman" w:hAnsi="Times New Roman"/>
                  <w:color w:val="0000FF"/>
                  <w:sz w:val="20"/>
                  <w:u w:val="single"/>
                </w:rPr>
                <w:t>Certification of the Registrant’s Chief Executive Officer pursuant to Section 302 of the Sarbanes-Oxley Act of 2002*</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1_2.htm">
              <w:r>
                <w:rPr>
                  <w:rStyle w:val="InternetLink"/>
                  <w:rFonts w:ascii="Times New Roman" w:hAnsi="Times New Roman"/>
                  <w:color w:val="0000FF"/>
                  <w:sz w:val="20"/>
                  <w:u w:val="single"/>
                </w:rPr>
                <w:t>Certification of the Registrant’s Chief Financial Officer pursuant to Section 302 of the Sarbanes-Oxley Act of 2002*</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2.htm">
              <w:r>
                <w:rPr>
                  <w:rStyle w:val="InternetLink"/>
                  <w:rFonts w:ascii="Times New Roman" w:hAnsi="Times New Roman"/>
                  <w:color w:val="0000FF"/>
                  <w:sz w:val="20"/>
                  <w:u w:val="single"/>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51" w:type="dxa"/>
        <w:jc w:val="left"/>
        <w:tblInd w:w="0" w:type="dxa"/>
        <w:tblLayout w:type="fixed"/>
        <w:tblCellMar>
          <w:top w:w="28" w:type="dxa"/>
          <w:left w:w="28" w:type="dxa"/>
          <w:bottom w:w="28" w:type="dxa"/>
          <w:right w:w="28" w:type="dxa"/>
        </w:tblCellMar>
      </w:tblPr>
      <w:tblGrid>
        <w:gridCol w:w="421"/>
        <w:gridCol w:w="109"/>
        <w:gridCol w:w="582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635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Brian N. Schell</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19" w:name="ssnc-ex31_1.htm"/>
      <w:bookmarkStart w:id="20" w:name="ksssnc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C. Stone,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08" w:type="dxa"/>
        <w:jc w:val="left"/>
        <w:tblInd w:w="0" w:type="dxa"/>
        <w:tblLayout w:type="fixed"/>
        <w:tblCellMar>
          <w:top w:w="28" w:type="dxa"/>
          <w:left w:w="28" w:type="dxa"/>
          <w:bottom w:w="28" w:type="dxa"/>
          <w:right w:w="28" w:type="dxa"/>
        </w:tblCellMar>
      </w:tblPr>
      <w:tblGrid>
        <w:gridCol w:w="1711"/>
        <w:gridCol w:w="146"/>
        <w:gridCol w:w="435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Chairman of the Board and 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snc-ex31_2.htm"/>
      <w:bookmarkStart w:id="22" w:name="ksssnc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N. Schell,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98" w:type="dxa"/>
        <w:jc w:val="left"/>
        <w:tblInd w:w="0" w:type="dxa"/>
        <w:tblLayout w:type="fixed"/>
        <w:tblCellMar>
          <w:top w:w="28" w:type="dxa"/>
          <w:left w:w="28" w:type="dxa"/>
          <w:bottom w:w="28" w:type="dxa"/>
          <w:right w:w="28" w:type="dxa"/>
        </w:tblCellMar>
      </w:tblPr>
      <w:tblGrid>
        <w:gridCol w:w="1711"/>
        <w:gridCol w:w="146"/>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snc-ex32.htm"/>
      <w:bookmarkStart w:id="24" w:name="ksssncex3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SS&amp;C Technologies Holdings, Inc. (the “Company”) for the period ended June 30, 2026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6715" w:type="dxa"/>
        <w:jc w:val="left"/>
        <w:tblInd w:w="0" w:type="dxa"/>
        <w:tblLayout w:type="fixed"/>
        <w:tblCellMar>
          <w:top w:w="28" w:type="dxa"/>
          <w:left w:w="28" w:type="dxa"/>
          <w:bottom w:w="28" w:type="dxa"/>
          <w:right w:w="28" w:type="dxa"/>
        </w:tblCellMar>
      </w:tblPr>
      <w:tblGrid>
        <w:gridCol w:w="1711"/>
        <w:gridCol w:w="146"/>
        <w:gridCol w:w="406"/>
        <w:gridCol w:w="146"/>
        <w:gridCol w:w="430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tbl>
      <w:tblPr>
        <w:tblW w:w="6850" w:type="dxa"/>
        <w:jc w:val="left"/>
        <w:tblInd w:w="0" w:type="dxa"/>
        <w:tblLayout w:type="fixed"/>
        <w:tblCellMar>
          <w:top w:w="28" w:type="dxa"/>
          <w:left w:w="28" w:type="dxa"/>
          <w:bottom w:w="28" w:type="dxa"/>
          <w:right w:w="28" w:type="dxa"/>
        </w:tblCellMar>
      </w:tblPr>
      <w:tblGrid>
        <w:gridCol w:w="1711"/>
        <w:gridCol w:w="146"/>
        <w:gridCol w:w="406"/>
        <w:gridCol w:w="146"/>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15366</Words>
  <Characters>84247</Characters>
  <CharactersWithSpaces>101496</CharactersWithSpaces>
  <Paragraphs>6976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