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snc-20250331.htm"/>
      <w:bookmarkStart w:id="1" w:name="ksssnc20250331"/>
      <w:bookmarkEnd w:id="0"/>
      <w:bookmarkEnd w:id="1"/>
      <w:r>
        <w:rPr/>
        <w:t> </w:t>
      </w:r>
    </w:p>
    <w:p>
      <w:pPr>
        <w:pStyle w:val="TextBody"/>
        <w:bidi w:val="0"/>
        <w:jc w:val="left"/>
        <w:rPr/>
      </w:pPr>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4"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001-34675</w:t>
      </w:r>
    </w:p>
    <w:p>
      <w:pPr>
        <w:pStyle w:val="TextBody"/>
        <w:pBdr>
          <w:bottom w:val="single" w:sz="4" w:space="1" w:color="000000"/>
        </w:pBdr>
        <w:bidi w:val="0"/>
        <w:jc w:val="center"/>
        <w:rPr/>
      </w:pPr>
      <w:r>
        <w:rPr/>
        <w:t> </w:t>
      </w:r>
    </w:p>
    <w:p>
      <w:pPr>
        <w:pStyle w:val="TextBody"/>
        <w:bidi w:val="0"/>
        <w:spacing w:before="120" w:after="283"/>
        <w:jc w:val="center"/>
        <w:rPr/>
      </w:pPr>
      <w:r>
        <w:rPr/>
        <w:drawing>
          <wp:inline distT="0" distB="0" distL="0" distR="0">
            <wp:extent cx="2095500" cy="1133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1133475"/>
                    </a:xfrm>
                    <a:prstGeom prst="rect">
                      <a:avLst/>
                    </a:prstGeom>
                  </pic:spPr>
                </pic:pic>
              </a:graphicData>
            </a:graphic>
          </wp:inline>
        </w:drawing>
      </w:r>
    </w:p>
    <w:p>
      <w:pPr>
        <w:pStyle w:val="TextBody"/>
        <w:bidi w:val="0"/>
        <w:spacing w:before="120" w:after="283"/>
        <w:jc w:val="center"/>
        <w:rPr>
          <w:rFonts w:ascii="Times New Roman" w:hAnsi="Times New Roman"/>
          <w:b/>
          <w:color w:val="000000"/>
          <w:sz w:val="47"/>
        </w:rPr>
      </w:pPr>
      <w:r>
        <w:rPr>
          <w:rFonts w:ascii="Times New Roman" w:hAnsi="Times New Roman"/>
          <w:b/>
          <w:color w:val="000000"/>
          <w:sz w:val="47"/>
        </w:rPr>
        <w:t>SS&amp;C TECHNOLOGIES HOLDINGS,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pPr>
      <w:r>
        <w:rPr/>
        <w:t> </w:t>
      </w:r>
    </w:p>
    <w:tbl>
      <w:tblPr>
        <w:tblW w:w="2961" w:type="dxa"/>
        <w:jc w:val="left"/>
        <w:tblInd w:w="0" w:type="dxa"/>
        <w:tblLayout w:type="fixed"/>
        <w:tblCellMar>
          <w:top w:w="28" w:type="dxa"/>
          <w:left w:w="28" w:type="dxa"/>
          <w:bottom w:w="28" w:type="dxa"/>
          <w:right w:w="28" w:type="dxa"/>
        </w:tblCellMar>
      </w:tblPr>
      <w:tblGrid>
        <w:gridCol w:w="1696"/>
        <w:gridCol w:w="109"/>
        <w:gridCol w:w="1156"/>
      </w:tblGrid>
      <w:tr>
        <w:trPr/>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71-0987913</w:t>
            </w:r>
          </w:p>
        </w:tc>
      </w:tr>
      <w:tr>
        <w:trPr/>
        <w:tc>
          <w:tcPr>
            <w:tcW w:w="16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(State or other jurisdiction of</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(I.R.S. Employer</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Identification No.)</w:t>
            </w:r>
          </w:p>
        </w:tc>
      </w:tr>
    </w:tbl>
    <w:p>
      <w:pPr>
        <w:pStyle w:val="TextBody"/>
        <w:bidi w:val="0"/>
        <w:jc w:val="center"/>
        <w:rPr>
          <w:rFonts w:ascii="Times New Roman" w:hAnsi="Times New Roman"/>
          <w:b/>
          <w:color w:val="000000"/>
          <w:sz w:val="16"/>
        </w:rPr>
      </w:pPr>
      <w:r>
        <w:rPr>
          <w:rFonts w:ascii="Times New Roman" w:hAnsi="Times New Roman"/>
          <w:b/>
          <w:color w:val="000000"/>
          <w:sz w:val="16"/>
        </w:rPr>
        <w:t>80 Lamberton Road</w:t>
      </w:r>
    </w:p>
    <w:p>
      <w:pPr>
        <w:pStyle w:val="TextBody"/>
        <w:bidi w:val="0"/>
        <w:jc w:val="center"/>
        <w:rPr>
          <w:rFonts w:ascii="Times New Roman" w:hAnsi="Times New Roman"/>
          <w:sz w:val="20"/>
        </w:rPr>
      </w:pPr>
      <w:r>
        <w:rPr>
          <w:rFonts w:ascii="Times New Roman" w:hAnsi="Times New Roman"/>
          <w:b/>
          <w:color w:val="000000"/>
          <w:sz w:val="16"/>
        </w:rPr>
        <w:t>Windsor, CT</w:t>
      </w:r>
      <w:r>
        <w:rPr>
          <w:rFonts w:ascii="Times New Roman" w:hAnsi="Times New Roman"/>
          <w:color w:val="000000"/>
          <w:sz w:val="20"/>
        </w:rPr>
        <w:t xml:space="preserve"> </w:t>
      </w:r>
      <w:r>
        <w:rPr>
          <w:rFonts w:ascii="Times New Roman" w:hAnsi="Times New Roman"/>
          <w:b/>
          <w:color w:val="000000"/>
          <w:sz w:val="16"/>
        </w:rPr>
        <w:t>06095</w:t>
      </w:r>
    </w:p>
    <w:p>
      <w:pPr>
        <w:pStyle w:val="TextBody"/>
        <w:bidi w:val="0"/>
        <w:jc w:val="center"/>
        <w:rPr>
          <w:rFonts w:ascii="Times New Roman" w:hAnsi="Times New Roman"/>
          <w:b/>
          <w:color w:val="000000"/>
          <w:sz w:val="12"/>
        </w:rPr>
      </w:pPr>
      <w:r>
        <w:rPr>
          <w:rFonts w:ascii="Times New Roman" w:hAnsi="Times New Roman"/>
          <w:b/>
          <w:color w:val="000000"/>
          <w:sz w:val="12"/>
        </w:rPr>
        <w:t>(Address of principal executive offices, including zip code)</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860-298-4500</w:t>
      </w:r>
    </w:p>
    <w:p>
      <w:pPr>
        <w:pStyle w:val="TextBody"/>
        <w:bidi w:val="0"/>
        <w:jc w:val="center"/>
        <w:rPr>
          <w:rFonts w:ascii="Times New Roman" w:hAnsi="Times New Roman"/>
          <w:b/>
          <w:color w:val="000000"/>
          <w:sz w:val="12"/>
        </w:rPr>
      </w:pPr>
      <w:r>
        <w:rPr>
          <w:rFonts w:ascii="Times New Roman" w:hAnsi="Times New Roman"/>
          <w:b/>
          <w:color w:val="000000"/>
          <w:sz w:val="12"/>
        </w:rPr>
        <w:t>(Registrant’s telephone number, including area code)</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1666"/>
        <w:gridCol w:w="146"/>
        <w:gridCol w:w="37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center"/>
        <w:rPr>
          <w:rFonts w:ascii="Times New Roman" w:hAnsi="Times New Roman"/>
          <w:color w:val="000000"/>
          <w:sz w:val="16"/>
        </w:rPr>
      </w:pPr>
      <w:r>
        <w:rPr>
          <w:rFonts w:ascii="Times New Roman" w:hAnsi="Times New Roman"/>
          <w:color w:val="000000"/>
          <w:sz w:val="16"/>
        </w:rPr>
        <w:t>Securities registered pursuant to Section 12(b) of the Act:</w:t>
      </w:r>
    </w:p>
    <w:tbl>
      <w:tblPr>
        <w:tblW w:w="7503" w:type="dxa"/>
        <w:jc w:val="left"/>
        <w:tblInd w:w="0" w:type="dxa"/>
        <w:tblLayout w:type="fixed"/>
        <w:tblCellMar>
          <w:top w:w="28" w:type="dxa"/>
          <w:left w:w="28" w:type="dxa"/>
          <w:bottom w:w="28" w:type="dxa"/>
          <w:right w:w="28" w:type="dxa"/>
        </w:tblCellMar>
      </w:tblPr>
      <w:tblGrid>
        <w:gridCol w:w="3031"/>
        <w:gridCol w:w="1246"/>
        <w:gridCol w:w="3226"/>
      </w:tblGrid>
      <w:tr>
        <w:trPr/>
        <w:tc>
          <w:tcPr>
            <w:tcW w:w="30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u w:val="single"/>
              </w:rPr>
            </w:pPr>
            <w:r>
              <w:rPr>
                <w:rFonts w:ascii="Times New Roman" w:hAnsi="Times New Roman"/>
                <w:color w:val="000000"/>
                <w:sz w:val="16"/>
                <w:u w:val="single"/>
              </w:rPr>
              <w:t>Title of each class</w:t>
            </w:r>
          </w:p>
        </w:tc>
        <w:tc>
          <w:tcPr>
            <w:tcW w:w="1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u w:val="single"/>
              </w:rPr>
            </w:pPr>
            <w:r>
              <w:rPr>
                <w:rFonts w:ascii="Times New Roman" w:hAnsi="Times New Roman"/>
                <w:color w:val="000000"/>
                <w:sz w:val="16"/>
                <w:u w:val="single"/>
              </w:rPr>
              <w:t>Trading Symbol</w:t>
            </w:r>
          </w:p>
        </w:tc>
        <w:tc>
          <w:tcPr>
            <w:tcW w:w="32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u w:val="single"/>
              </w:rPr>
            </w:pPr>
            <w:r>
              <w:rPr>
                <w:rFonts w:ascii="Times New Roman" w:hAnsi="Times New Roman"/>
                <w:color w:val="000000"/>
                <w:sz w:val="16"/>
                <w:u w:val="single"/>
              </w:rPr>
              <w:t>Name of each exchange on which registered</w:t>
            </w:r>
          </w:p>
        </w:tc>
      </w:tr>
      <w:tr>
        <w:trPr/>
        <w:tc>
          <w:tcPr>
            <w:tcW w:w="30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rPr>
            </w:pPr>
            <w:r>
              <w:rPr>
                <w:rFonts w:ascii="Times New Roman" w:hAnsi="Times New Roman"/>
                <w:color w:val="000000"/>
                <w:sz w:val="16"/>
              </w:rPr>
              <w:t>Common stock, par value $0.01 per share</w:t>
            </w:r>
          </w:p>
        </w:tc>
        <w:tc>
          <w:tcPr>
            <w:tcW w:w="1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rPr>
            </w:pPr>
            <w:r>
              <w:rPr>
                <w:rFonts w:ascii="Times New Roman" w:hAnsi="Times New Roman"/>
                <w:color w:val="000000"/>
                <w:sz w:val="16"/>
              </w:rPr>
              <w:t>SSNC</w:t>
            </w:r>
          </w:p>
        </w:tc>
        <w:tc>
          <w:tcPr>
            <w:tcW w:w="32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spacing w:before="100" w:after="283"/>
        <w:jc w:val="left"/>
        <w:rPr>
          <w:rFonts w:ascii="Times New Roman" w:hAnsi="Times New Roman"/>
          <w:sz w:val="20"/>
        </w:rPr>
      </w:pPr>
      <w:r>
        <w:rPr>
          <w:rFonts w:ascii="Times New Roman" w:hAnsi="Times New Roman"/>
          <w:color w:val="000000"/>
          <w:sz w:val="16"/>
        </w:rPr>
        <w:t>There were 246,662,398</w:t>
      </w:r>
      <w:r>
        <w:rPr>
          <w:rFonts w:ascii="Times New Roman" w:hAnsi="Times New Roman"/>
          <w:color w:val="000000"/>
          <w:sz w:val="20"/>
        </w:rPr>
        <w:t xml:space="preserve"> </w:t>
      </w:r>
      <w:r>
        <w:rPr>
          <w:rFonts w:ascii="Times New Roman" w:hAnsi="Times New Roman"/>
          <w:color w:val="000000"/>
          <w:sz w:val="16"/>
        </w:rPr>
        <w:t>shares of the registrant’s common stock outstanding as of April 25, 2025.</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9323"/>
        <w:gridCol w:w="146"/>
        <w:gridCol w:w="736"/>
      </w:tblGrid>
      <w:tr>
        <w:trPr/>
        <w:tc>
          <w:tcPr>
            <w:tcW w:w="9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br/>
              <w:t>Number</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1.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balance_sheets">
              <w:r>
                <w:rPr>
                  <w:rStyle w:val="InternetLink"/>
                  <w:rFonts w:ascii="Times New Roman" w:hAnsi="Times New Roman"/>
                  <w:color w:val="0000FF"/>
                  <w:sz w:val="20"/>
                  <w:u w:val="single"/>
                </w:rPr>
                <w:t>Condensed Consolidated Balance Sheets at March 31, 2025 and December 31,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statements_compre">
              <w:r>
                <w:rPr>
                  <w:rStyle w:val="InternetLink"/>
                  <w:rFonts w:ascii="Times New Roman" w:hAnsi="Times New Roman"/>
                  <w:color w:val="0000FF"/>
                  <w:sz w:val="20"/>
                  <w:u w:val="single"/>
                </w:rPr>
                <w:t>Condensed Consolidated Statements of Comprehensive Income for the three months ended March 31,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statements_cash_f">
              <w:r>
                <w:rPr>
                  <w:rStyle w:val="InternetLink"/>
                  <w:rFonts w:ascii="Times New Roman" w:hAnsi="Times New Roman"/>
                  <w:color w:val="0000FF"/>
                  <w:sz w:val="20"/>
                  <w:u w:val="single"/>
                </w:rPr>
                <w:t>Condensed Consolidated Statements of Cash Flows for the three months ended March 31,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equity_statement">
              <w:r>
                <w:rPr>
                  <w:rStyle w:val="InternetLink"/>
                  <w:rFonts w:ascii="Times New Roman" w:hAnsi="Times New Roman"/>
                  <w:color w:val="0000FF"/>
                  <w:sz w:val="20"/>
                  <w:u w:val="single"/>
                </w:rPr>
                <w:t>Condensed Consolidated Statements of Stockholders’ Equity for the three months ended March 31,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notes_to_financial_statements">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securities">
              <w:r>
                <w:rPr>
                  <w:rStyle w:val="InternetLink"/>
                  <w:rFonts w:ascii="Times New Roman" w:hAnsi="Times New Roman"/>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274"/>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exhibit_index">
              <w:r>
                <w:rPr>
                  <w:rStyle w:val="InternetLink"/>
                  <w:rFonts w:ascii="Times New Roman" w:hAnsi="Times New Roman"/>
                  <w:b/>
                  <w:color w:val="0000FF"/>
                  <w:sz w:val="20"/>
                  <w:u w:val="single"/>
                </w:rPr>
                <w:t>EXHIBIT INDEX</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25</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274"/>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signature">
              <w:r>
                <w:rPr>
                  <w:rStyle w:val="InternetLink"/>
                  <w:rFonts w:ascii="Times New Roman" w:hAnsi="Times New Roman"/>
                  <w:b/>
                  <w:color w:val="0000FF"/>
                  <w:sz w:val="20"/>
                  <w:u w:val="single"/>
                </w:rPr>
                <w:t>SIGNATURE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Quarterly Report on Form 10-Q may contain forward-looking statements within the meaning of Section 27A of the Securities Act of 1933, as amended, and Section 21E of the Securities Exchange Act of 1934, as amended. For this purpose, any statements contained herein that are not statements of historical fact may be deemed to be forward-looking statements.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The important factors discussed under the caption “Risk Factors” in this Quarterly Report on Form 10-Q and in our Annual Report on Form 10-K and Form 10-K/A for the year ended December 31, 2024, filed with the Securities and Exchange Commission on March 3, 2025 and March 4, 2025, respectively, among others, could cause actual results to differ materially from those indicated by forward-looking statements made herein and presented elsewhere by management from time to time. We do not undertake an obligation to update its forward-looking statements to reflect future events or circumstances. </w:t>
      </w:r>
    </w:p>
    <w:p>
      <w:pPr>
        <w:pStyle w:val="TextBody"/>
        <w:bidi w:val="0"/>
        <w:spacing w:before="240" w:after="283"/>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left"/>
        <w:rPr>
          <w:rFonts w:ascii="Times New Roman" w:hAnsi="Times New Roman"/>
          <w:b/>
          <w:color w:val="000000"/>
          <w:sz w:val="16"/>
        </w:rPr>
      </w:pPr>
      <w:r>
        <w:rPr>
          <w:rFonts w:ascii="Times New Roman" w:hAnsi="Times New Roman"/>
          <w:b/>
          <w:color w:val="000000"/>
          <w:sz w:val="16"/>
        </w:rPr>
        <w:t>(In millions, except per share data) (Unaudited)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59"/>
        <w:gridCol w:w="146"/>
        <w:gridCol w:w="196"/>
        <w:gridCol w:w="736"/>
        <w:gridCol w:w="166"/>
        <w:gridCol w:w="146"/>
        <w:gridCol w:w="198"/>
        <w:gridCol w:w="745"/>
        <w:gridCol w:w="413"/>
      </w:tblGrid>
      <w:tr>
        <w:trPr/>
        <w:tc>
          <w:tcPr>
            <w:tcW w:w="7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Funds receivable and funds held on behalf of clients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Accounts receivable, net of allowance for credit losses of $33.3</w:t>
            </w:r>
            <w:r>
              <w:rPr>
                <w:rFonts w:ascii="Times New Roman" w:hAnsi="Times New Roman"/>
                <w:color w:val="000000"/>
                <w:sz w:val="20"/>
              </w:rPr>
              <w:t> </w:t>
            </w:r>
            <w:r>
              <w:rPr>
                <w:rFonts w:ascii="Times New Roman" w:hAnsi="Times New Roman"/>
                <w:color w:val="000000"/>
                <w:sz w:val="16"/>
              </w:rPr>
              <w:t>and $31.6,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4,862.4</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 (Note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190.6</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Unconsolidated affiliates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328.4</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9,218.1</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Intangible and other assets, net of accumulated amortization of $4,819.6</w:t>
            </w:r>
            <w:r>
              <w:rPr>
                <w:rFonts w:ascii="Times New Roman" w:hAnsi="Times New Roman"/>
                <w:color w:val="000000"/>
                <w:sz w:val="20"/>
              </w:rPr>
              <w:t> </w:t>
            </w:r>
            <w:r>
              <w:rPr>
                <w:rFonts w:ascii="Times New Roman" w:hAnsi="Times New Roman"/>
                <w:color w:val="000000"/>
                <w:sz w:val="16"/>
              </w:rPr>
              <w:t>and $4,646.6,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3,858.0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19,044.7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long-term debt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Client funds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4,354.3</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net of current portion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6,989.6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175.1</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12,435.6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per share, 5.0</w:t>
            </w:r>
            <w:r>
              <w:rPr>
                <w:rFonts w:ascii="Times New Roman" w:hAnsi="Times New Roman"/>
                <w:color w:val="000000"/>
                <w:sz w:val="20"/>
              </w:rPr>
              <w:t> </w:t>
            </w:r>
            <w:r>
              <w:rPr>
                <w:rFonts w:ascii="Times New Roman" w:hAnsi="Times New Roman"/>
                <w:color w:val="000000"/>
                <w:sz w:val="16"/>
              </w:rPr>
              <w:t>million shares authorized; no</w:t>
            </w:r>
            <w:r>
              <w:rPr>
                <w:rFonts w:ascii="Times New Roman" w:hAnsi="Times New Roman"/>
                <w:color w:val="000000"/>
                <w:sz w:val="20"/>
              </w:rPr>
              <w:t> </w:t>
            </w:r>
            <w:r>
              <w:rPr>
                <w:rFonts w:ascii="Times New Roman" w:hAnsi="Times New Roman"/>
                <w:color w:val="000000"/>
                <w:sz w:val="16"/>
              </w:rPr>
              <w:t>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Class A non-voting common stock, $0.01</w:t>
            </w:r>
            <w:r>
              <w:rPr>
                <w:rFonts w:ascii="Times New Roman" w:hAnsi="Times New Roman"/>
                <w:color w:val="000000"/>
                <w:sz w:val="20"/>
              </w:rPr>
              <w:t> </w:t>
            </w:r>
            <w:r>
              <w:rPr>
                <w:rFonts w:ascii="Times New Roman" w:hAnsi="Times New Roman"/>
                <w:color w:val="000000"/>
                <w:sz w:val="16"/>
              </w:rPr>
              <w:t>par value per share, 5.0</w:t>
            </w:r>
            <w:r>
              <w:rPr>
                <w:rFonts w:ascii="Times New Roman" w:hAnsi="Times New Roman"/>
                <w:color w:val="000000"/>
                <w:sz w:val="20"/>
              </w:rPr>
              <w:t> </w:t>
            </w:r>
            <w:r>
              <w:rPr>
                <w:rFonts w:ascii="Times New Roman" w:hAnsi="Times New Roman"/>
                <w:color w:val="000000"/>
                <w:sz w:val="16"/>
              </w:rPr>
              <w:t>million shares authorized;</w:t>
              <w:br/>
              <w:t>no</w:t>
            </w:r>
            <w:r>
              <w:rPr>
                <w:rFonts w:ascii="Times New Roman" w:hAnsi="Times New Roman"/>
                <w:color w:val="000000"/>
                <w:sz w:val="20"/>
              </w:rPr>
              <w:t> </w:t>
            </w:r>
            <w:r>
              <w:rPr>
                <w:rFonts w:ascii="Times New Roman" w:hAnsi="Times New Roman"/>
                <w:color w:val="000000"/>
                <w:sz w:val="16"/>
              </w:rPr>
              <w:t>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per share, 400.0</w:t>
            </w:r>
            <w:r>
              <w:rPr>
                <w:rFonts w:ascii="Times New Roman" w:hAnsi="Times New Roman"/>
                <w:color w:val="000000"/>
                <w:sz w:val="20"/>
              </w:rPr>
              <w:t> </w:t>
            </w:r>
            <w:r>
              <w:rPr>
                <w:rFonts w:ascii="Times New Roman" w:hAnsi="Times New Roman"/>
                <w:color w:val="000000"/>
                <w:sz w:val="16"/>
              </w:rPr>
              <w:t>million shares authorized; 288.7</w:t>
            </w:r>
            <w:r>
              <w:rPr>
                <w:rFonts w:ascii="Times New Roman" w:hAnsi="Times New Roman"/>
                <w:color w:val="000000"/>
                <w:sz w:val="20"/>
              </w:rPr>
              <w:t> </w:t>
            </w:r>
            <w:r>
              <w:rPr>
                <w:rFonts w:ascii="Times New Roman" w:hAnsi="Times New Roman"/>
                <w:color w:val="000000"/>
                <w:sz w:val="16"/>
              </w:rPr>
              <w:t>million shares and 284.4</w:t>
            </w:r>
            <w:r>
              <w:rPr>
                <w:rFonts w:ascii="Times New Roman" w:hAnsi="Times New Roman"/>
                <w:color w:val="000000"/>
                <w:sz w:val="20"/>
              </w:rPr>
              <w:t> </w:t>
            </w:r>
            <w:r>
              <w:rPr>
                <w:rFonts w:ascii="Times New Roman" w:hAnsi="Times New Roman"/>
                <w:color w:val="000000"/>
                <w:sz w:val="16"/>
              </w:rPr>
              <w:t>million shares issued, respectively, and 246.5</w:t>
            </w:r>
            <w:r>
              <w:rPr>
                <w:rFonts w:ascii="Times New Roman" w:hAnsi="Times New Roman"/>
                <w:color w:val="000000"/>
                <w:sz w:val="20"/>
              </w:rPr>
              <w:t> </w:t>
            </w:r>
            <w:r>
              <w:rPr>
                <w:rFonts w:ascii="Times New Roman" w:hAnsi="Times New Roman"/>
                <w:color w:val="000000"/>
                <w:sz w:val="16"/>
              </w:rPr>
              <w:t>million shares and 244.5</w:t>
            </w:r>
            <w:r>
              <w:rPr>
                <w:rFonts w:ascii="Times New Roman" w:hAnsi="Times New Roman"/>
                <w:color w:val="000000"/>
                <w:sz w:val="20"/>
              </w:rPr>
              <w:t> </w:t>
            </w:r>
            <w:r>
              <w:rPr>
                <w:rFonts w:ascii="Times New Roman" w:hAnsi="Times New Roman"/>
                <w:color w:val="000000"/>
                <w:sz w:val="16"/>
              </w:rPr>
              <w:t>million shares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5,901.6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3,641.9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Cost of common stock in treasury, 42.3</w:t>
            </w:r>
            <w:r>
              <w:rPr>
                <w:rFonts w:ascii="Times New Roman" w:hAnsi="Times New Roman"/>
                <w:color w:val="000000"/>
                <w:sz w:val="20"/>
              </w:rPr>
              <w:t> </w:t>
            </w:r>
            <w:r>
              <w:rPr>
                <w:rFonts w:ascii="Times New Roman" w:hAnsi="Times New Roman"/>
                <w:color w:val="000000"/>
                <w:sz w:val="16"/>
              </w:rPr>
              <w:t>and 39.9</w:t>
            </w:r>
            <w:r>
              <w:rPr>
                <w:rFonts w:ascii="Times New Roman" w:hAnsi="Times New Roman"/>
                <w:color w:val="000000"/>
                <w:sz w:val="20"/>
              </w:rPr>
              <w:t> </w:t>
            </w:r>
            <w:r>
              <w:rPr>
                <w:rFonts w:ascii="Times New Roman" w:hAnsi="Times New Roman"/>
                <w:color w:val="000000"/>
                <w:sz w:val="16"/>
              </w:rPr>
              <w:t>million shares,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(2,470.2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SS&amp;C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6,534.9</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6,609.1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19,044.7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5" w:name="condensed_consolidated_statements_compre"/>
      <w:bookmarkEnd w:id="5"/>
      <w:r>
        <w:rPr>
          <w:rFonts w:ascii="Times New Roman" w:hAnsi="Times New Roman"/>
          <w:b/>
          <w:color w:val="000000"/>
          <w:sz w:val="20"/>
        </w:rPr>
        <w:t>CONDENSED CONSOLIDATED STATEMENTS OF COMPREHENSIVE INCOME</w:t>
      </w:r>
    </w:p>
    <w:p>
      <w:pPr>
        <w:pStyle w:val="TextBody"/>
        <w:bidi w:val="0"/>
        <w:jc w:val="left"/>
        <w:rPr>
          <w:rFonts w:ascii="Times New Roman" w:hAnsi="Times New Roman"/>
          <w:b/>
          <w:color w:val="000000"/>
          <w:sz w:val="16"/>
        </w:rPr>
      </w:pPr>
      <w:r>
        <w:rPr>
          <w:rFonts w:ascii="Times New Roman" w:hAnsi="Times New Roman"/>
          <w:b/>
          <w:color w:val="000000"/>
          <w:sz w:val="16"/>
        </w:rPr>
        <w:t>(In millions, except per share data) (Unaudited)</w:t>
      </w:r>
    </w:p>
    <w:p>
      <w:pPr>
        <w:pStyle w:val="TextBody"/>
        <w:bidi w:val="0"/>
        <w:jc w:val="left"/>
        <w:rPr/>
      </w:pPr>
      <w:r>
        <w:rPr/>
        <w:t> </w:t>
      </w:r>
    </w:p>
    <w:tbl>
      <w:tblPr>
        <w:tblW w:w="9601" w:type="dxa"/>
        <w:jc w:val="left"/>
        <w:tblInd w:w="0" w:type="dxa"/>
        <w:tblLayout w:type="fixed"/>
        <w:tblCellMar>
          <w:top w:w="28" w:type="dxa"/>
          <w:left w:w="28" w:type="dxa"/>
          <w:bottom w:w="28" w:type="dxa"/>
          <w:right w:w="28" w:type="dxa"/>
        </w:tblCellMar>
      </w:tblPr>
      <w:tblGrid>
        <w:gridCol w:w="6466"/>
        <w:gridCol w:w="146"/>
        <w:gridCol w:w="235"/>
        <w:gridCol w:w="777"/>
        <w:gridCol w:w="199"/>
        <w:gridCol w:w="175"/>
        <w:gridCol w:w="235"/>
        <w:gridCol w:w="777"/>
        <w:gridCol w:w="591"/>
      </w:tblGrid>
      <w:tr>
        <w:trPr/>
        <w:tc>
          <w:tcPr>
            <w:tcW w:w="6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1,513.9</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766.8</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389.2</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213.0</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earnings per share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earnings per share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weighted-average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weighted-average number of common and common equivalent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(loss)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exchange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7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305.7</w:t>
            </w:r>
          </w:p>
        </w:tc>
        <w:tc>
          <w:tcPr>
            <w:tcW w:w="19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7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Comprehensive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305.5</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6" w:name="condensed_consolidated_statements_cash_f"/>
      <w:bookmarkEnd w:id="6"/>
      <w:r>
        <w:rPr>
          <w:rFonts w:ascii="Times New Roman" w:hAnsi="Times New Roman"/>
          <w:b/>
          <w:color w:val="000000"/>
          <w:sz w:val="20"/>
        </w:rPr>
        <w:t>CONDENSED CONSOLIDATED STATEMENTS OF CASH FLOWS</w:t>
      </w:r>
    </w:p>
    <w:p>
      <w:pPr>
        <w:pStyle w:val="TextBody"/>
        <w:bidi w:val="0"/>
        <w:jc w:val="left"/>
        <w:rPr>
          <w:rFonts w:ascii="Times New Roman" w:hAnsi="Times New Roman"/>
          <w:b/>
          <w:color w:val="000000"/>
          <w:sz w:val="16"/>
        </w:rPr>
      </w:pPr>
      <w:r>
        <w:rPr>
          <w:rFonts w:ascii="Times New Roman" w:hAnsi="Times New Roman"/>
          <w:b/>
          <w:color w:val="000000"/>
          <w:sz w:val="16"/>
        </w:rPr>
        <w:t>(In millions)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85"/>
        <w:gridCol w:w="146"/>
        <w:gridCol w:w="231"/>
        <w:gridCol w:w="765"/>
        <w:gridCol w:w="196"/>
        <w:gridCol w:w="172"/>
        <w:gridCol w:w="231"/>
        <w:gridCol w:w="765"/>
        <w:gridCol w:w="814"/>
      </w:tblGrid>
      <w:tr>
        <w:trPr/>
        <w:tc>
          <w:tcPr>
            <w:tcW w:w="6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losses (gains)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debt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 excluding effects from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taxes prepaid and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180.5</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Business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Additions to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Additions to capitalized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sales / 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Collection of 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received from debt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Repayments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increase (decrease) in client funds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Withholding taxes paid related to equity award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Purchases of common stock for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Dividends paid on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6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935.3</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6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(835.9</w:t>
            </w:r>
          </w:p>
        </w:tc>
        <w:tc>
          <w:tcPr>
            <w:tcW w:w="814"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(709.8</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3,370.5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2,998.6</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4,518.6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2,288.8</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91"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and cash equivalents:</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and cash equivalents included in funds receivable and funds held on behalf of clients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1,874.1</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4,518.6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2,288.8</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7" w:name="condensed_consolidated_equity_statement"/>
      <w:bookmarkEnd w:id="7"/>
      <w:r>
        <w:rPr>
          <w:rFonts w:ascii="Times New Roman" w:hAnsi="Times New Roman"/>
          <w:b/>
          <w:color w:val="000000"/>
          <w:sz w:val="20"/>
        </w:rPr>
        <w:t>CONDENSED CONSOLIDATED STATEMENTS OF CHANGES IN STOCKHOLDERS’ EQUITY</w:t>
      </w:r>
    </w:p>
    <w:p>
      <w:pPr>
        <w:pStyle w:val="TextBody"/>
        <w:bidi w:val="0"/>
        <w:jc w:val="left"/>
        <w:rPr>
          <w:rFonts w:ascii="Times New Roman" w:hAnsi="Times New Roman"/>
          <w:b/>
          <w:color w:val="000000"/>
          <w:sz w:val="16"/>
        </w:rPr>
      </w:pPr>
      <w:r>
        <w:rPr>
          <w:rFonts w:ascii="Times New Roman" w:hAnsi="Times New Roman"/>
          <w:b/>
          <w:color w:val="000000"/>
          <w:sz w:val="16"/>
        </w:rPr>
        <w:t>(In millions) (Unaudited)</w:t>
      </w:r>
    </w:p>
    <w:p>
      <w:pPr>
        <w:pStyle w:val="TextBody"/>
        <w:bidi w:val="0"/>
        <w:jc w:val="left"/>
        <w:rPr/>
      </w:pPr>
      <w:r>
        <w:rPr/>
        <w:t> </w:t>
      </w:r>
    </w:p>
    <w:tbl>
      <w:tblPr>
        <w:tblW w:w="11207" w:type="dxa"/>
        <w:jc w:val="left"/>
        <w:tblInd w:w="0" w:type="dxa"/>
        <w:tblLayout w:type="fixed"/>
        <w:tblCellMar>
          <w:top w:w="28" w:type="dxa"/>
          <w:left w:w="28" w:type="dxa"/>
          <w:bottom w:w="28" w:type="dxa"/>
          <w:right w:w="28" w:type="dxa"/>
        </w:tblCellMar>
      </w:tblPr>
      <w:tblGrid>
        <w:gridCol w:w="1196"/>
        <w:gridCol w:w="146"/>
        <w:gridCol w:w="205"/>
        <w:gridCol w:w="486"/>
        <w:gridCol w:w="146"/>
        <w:gridCol w:w="146"/>
        <w:gridCol w:w="249"/>
        <w:gridCol w:w="442"/>
        <w:gridCol w:w="146"/>
        <w:gridCol w:w="146"/>
        <w:gridCol w:w="202"/>
        <w:gridCol w:w="669"/>
        <w:gridCol w:w="146"/>
        <w:gridCol w:w="146"/>
        <w:gridCol w:w="196"/>
        <w:gridCol w:w="646"/>
        <w:gridCol w:w="166"/>
        <w:gridCol w:w="146"/>
        <w:gridCol w:w="310"/>
        <w:gridCol w:w="906"/>
        <w:gridCol w:w="166"/>
        <w:gridCol w:w="146"/>
        <w:gridCol w:w="196"/>
        <w:gridCol w:w="706"/>
        <w:gridCol w:w="166"/>
        <w:gridCol w:w="146"/>
        <w:gridCol w:w="381"/>
        <w:gridCol w:w="820"/>
        <w:gridCol w:w="146"/>
        <w:gridCol w:w="146"/>
        <w:gridCol w:w="241"/>
        <w:gridCol w:w="795"/>
        <w:gridCol w:w="311"/>
      </w:tblGrid>
      <w:tr>
        <w:trPr/>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6,609.1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exchange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options, net of withholding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Dividends declared - $0.25</w:t>
            </w:r>
            <w:r>
              <w:rPr>
                <w:rFonts w:ascii="Times New Roman" w:hAnsi="Times New Roman"/>
                <w:color w:val="000000"/>
                <w:sz w:val="20"/>
              </w:rPr>
              <w:t> </w:t>
            </w:r>
            <w:r>
              <w:rPr>
                <w:rFonts w:ascii="Times New Roman" w:hAnsi="Times New Roman"/>
                <w:color w:val="000000"/>
                <w:sz w:val="18"/>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6,859.8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1207" w:type="dxa"/>
        <w:jc w:val="left"/>
        <w:tblInd w:w="0" w:type="dxa"/>
        <w:tblLayout w:type="fixed"/>
        <w:tblCellMar>
          <w:top w:w="28" w:type="dxa"/>
          <w:left w:w="28" w:type="dxa"/>
          <w:bottom w:w="28" w:type="dxa"/>
          <w:right w:w="28" w:type="dxa"/>
        </w:tblCellMar>
      </w:tblPr>
      <w:tblGrid>
        <w:gridCol w:w="1196"/>
        <w:gridCol w:w="146"/>
        <w:gridCol w:w="205"/>
        <w:gridCol w:w="486"/>
        <w:gridCol w:w="146"/>
        <w:gridCol w:w="146"/>
        <w:gridCol w:w="249"/>
        <w:gridCol w:w="442"/>
        <w:gridCol w:w="146"/>
        <w:gridCol w:w="146"/>
        <w:gridCol w:w="202"/>
        <w:gridCol w:w="669"/>
        <w:gridCol w:w="146"/>
        <w:gridCol w:w="146"/>
        <w:gridCol w:w="196"/>
        <w:gridCol w:w="646"/>
        <w:gridCol w:w="166"/>
        <w:gridCol w:w="146"/>
        <w:gridCol w:w="310"/>
        <w:gridCol w:w="906"/>
        <w:gridCol w:w="166"/>
        <w:gridCol w:w="146"/>
        <w:gridCol w:w="196"/>
        <w:gridCol w:w="706"/>
        <w:gridCol w:w="166"/>
        <w:gridCol w:w="146"/>
        <w:gridCol w:w="381"/>
        <w:gridCol w:w="820"/>
        <w:gridCol w:w="146"/>
        <w:gridCol w:w="146"/>
        <w:gridCol w:w="241"/>
        <w:gridCol w:w="795"/>
        <w:gridCol w:w="311"/>
      </w:tblGrid>
      <w:tr>
        <w:trPr/>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6,397.7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exchange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options, net of withholding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Cash dividends declared - $0.24</w:t>
            </w:r>
            <w:r>
              <w:rPr>
                <w:rFonts w:ascii="Times New Roman" w:hAnsi="Times New Roman"/>
                <w:color w:val="000000"/>
                <w:sz w:val="20"/>
              </w:rPr>
              <w:t> </w:t>
            </w:r>
            <w:r>
              <w:rPr>
                <w:rFonts w:ascii="Times New Roman" w:hAnsi="Times New Roman"/>
                <w:color w:val="000000"/>
                <w:sz w:val="18"/>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6,492.7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sz w:val="20"/>
        </w:rPr>
      </w:pPr>
      <w:bookmarkStart w:id="8" w:name="notes_to_financial_statements"/>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have been prepared in accordance with accounting principles generally accepted in the United States of America (“GAAP”). These accounting principles were applied on a basis consistent with those of the audited Consolidated Financial Statements contained in our Annual Report on Form 10-K and Form 10-K/A for the year ended December 31, 2024, filed with the Securities and Exchange Commission (the “SEC”) on March 3, 2025 and March 4, 2025, respectively (the “2024 Form 10-K”). In the opinion of management, the accompanying unaudited Condensed Consolidated Financial Statements contain all adjustments (consisting of only normal recurring adjustments, except as noted elsewhere in the notes to the Condensed Consolidated Financial Statements) necessary for a fair statement of our financial position as of March 31, 2025, the results of our operations for the three months ended March 31, 2025, and our cash flows for the three months ended March 31, 2025 and 2024. These statements do not include all of the information and footnotes required by GAAP for annual financial statements. The Condensed Consolidated Financial Statements contained herein should be read in conjunction with the audited Consolidated Financial Statements and footnotes as of and for the year ended December 31, 2024, which were included in the 2024 Form 10-K. The December 31, 2024 Consolidated Balance Sheet data were derived from audited financial statements but do not include all disclosures required by GAAP for annual financial statements. The results of operations for the three months ended March 31, 2025 are not necessarily indicative of the expected results for any subsequent quarters or the full year.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SS&amp;C Technologies Holdings, Inc. and its subsidiaries, including a variable interest entity (“VIE”) for which we are the primary beneficiary. All intercompany balances and transactions have been eliminated in consolidation.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operate in one operating segment and one reportable segment. Our Chief Operating Decision Maker (“CODM”) is our president and chief operating officer, who reviews financial information presented on a consolidated basis. Our CODM uses consolidated net income as the sole measure of segment profit or loss and to decide how to make resource allocation decisions. Significant segment expenses include cost of software-enabled services revenues, cost of license, maintenance and related revenues, selling and marketing, research and development, and general and administrative expenses. For these significant and other segment expenses incurred during the three months ended March 31, 2025 and 2024 refer to our Condensed Consolidated Statements of Comprehensive Income.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 Accounting Pronouncements Not Yet Effective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Improvements to Income Tax Disclosures (Topic 740)</w:t>
      </w:r>
      <w:r>
        <w:rPr>
          <w:rFonts w:ascii="Times New Roman" w:hAnsi="Times New Roman"/>
          <w:color w:val="000000"/>
          <w:sz w:val="20"/>
        </w:rPr>
        <w:t>. The standard required more enhanced disclosures specifically related to effective tax rate reconciliation and income taxes paid. The new requirements were effective for fiscal years beginning after December 15, 2024, on a prospective basis. We plan to adopt the standard in our consolidated financial statements for the year ending December 31, 2025, and we expect the standard will impact financial statement disclosures only and will not impact our financial position, results of operations or cash flows.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2—Property, Plant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Property, plant and equipment and the related accumulated depreciation are as follows (in millions):</w:t>
      </w:r>
    </w:p>
    <w:tbl>
      <w:tblPr>
        <w:tblW w:w="6171" w:type="dxa"/>
        <w:jc w:val="left"/>
        <w:tblInd w:w="0" w:type="dxa"/>
        <w:tblLayout w:type="fixed"/>
        <w:tblCellMar>
          <w:top w:w="28" w:type="dxa"/>
          <w:left w:w="28" w:type="dxa"/>
          <w:bottom w:w="28" w:type="dxa"/>
          <w:right w:w="28" w:type="dxa"/>
        </w:tblCellMar>
      </w:tblPr>
      <w:tblGrid>
        <w:gridCol w:w="3406"/>
        <w:gridCol w:w="146"/>
        <w:gridCol w:w="214"/>
        <w:gridCol w:w="641"/>
        <w:gridCol w:w="166"/>
        <w:gridCol w:w="146"/>
        <w:gridCol w:w="274"/>
        <w:gridCol w:w="821"/>
        <w:gridCol w:w="166"/>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for the three months ended March 31, 2025 and 2024 was $17.8 million and $17.9 million, respectively. Amortization expense related to capitalized software development costs for the three months ended March 31, 2025 and 2024 was $34.3 million and $28.1 million, respectively. As of March 31, 2025 and December 31, 2024, assets held for sale were $5.9 million and $5.9 million, respectively, and are presented in prepaid expenses and other current assets in our condensed consolidated balance sheet. As of March 31, 2025 and December 31, 2024, unpaid property, plant and equipment additions totaling $3.7 million and $3.6 million, respectively, are included in accounts payable and other accrued expenses, in our condensed consolidated balance sheet.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3—Investments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Investments are as follows (in millions):</w:t>
      </w:r>
    </w:p>
    <w:tbl>
      <w:tblPr>
        <w:tblW w:w="6325" w:type="dxa"/>
        <w:jc w:val="left"/>
        <w:tblInd w:w="0" w:type="dxa"/>
        <w:tblLayout w:type="fixed"/>
        <w:tblCellMar>
          <w:top w:w="28" w:type="dxa"/>
          <w:left w:w="28" w:type="dxa"/>
          <w:bottom w:w="28" w:type="dxa"/>
          <w:right w:w="28" w:type="dxa"/>
        </w:tblCellMar>
      </w:tblPr>
      <w:tblGrid>
        <w:gridCol w:w="3646"/>
        <w:gridCol w:w="146"/>
        <w:gridCol w:w="230"/>
        <w:gridCol w:w="625"/>
        <w:gridCol w:w="146"/>
        <w:gridCol w:w="146"/>
        <w:gridCol w:w="294"/>
        <w:gridCol w:w="801"/>
        <w:gridCol w:w="2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Partnership interests in private equity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Unrealized gains and losses for our equity securities are as follows (in millions):</w:t>
      </w:r>
    </w:p>
    <w:tbl>
      <w:tblPr>
        <w:tblW w:w="9197" w:type="dxa"/>
        <w:jc w:val="left"/>
        <w:tblInd w:w="0" w:type="dxa"/>
        <w:tblLayout w:type="fixed"/>
        <w:tblCellMar>
          <w:top w:w="28" w:type="dxa"/>
          <w:left w:w="28" w:type="dxa"/>
          <w:bottom w:w="28" w:type="dxa"/>
          <w:right w:w="28" w:type="dxa"/>
        </w:tblCellMar>
      </w:tblPr>
      <w:tblGrid>
        <w:gridCol w:w="6316"/>
        <w:gridCol w:w="146"/>
        <w:gridCol w:w="334"/>
        <w:gridCol w:w="666"/>
        <w:gridCol w:w="262"/>
        <w:gridCol w:w="231"/>
        <w:gridCol w:w="334"/>
        <w:gridCol w:w="571"/>
        <w:gridCol w:w="146"/>
        <w:gridCol w:w="191"/>
      </w:tblGrid>
      <w:tr>
        <w:trPr/>
        <w:tc>
          <w:tcPr>
            <w:tcW w:w="6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(losses) gains on equity securities held as of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2025 and December 31, 2024, we held certain investment assets and certain liabilities that are required to be measured at fair value on a recurring basis. These investments include money market funds and marketable equity securities where fair value is determined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tables below. Fair value for deferred compensation liabilities that are credited with deemed gains or losses of the underlying hypothetical investments, primarily equity securities, have been classified as Level 1 in the tables below. The fair values of cash, accounts receivable, net, short-term borrowings, and accounts payable approximate the carrying amounts due to the short-term maturities of these instruments.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present assets and liabilities measured at fair value on a recurring basis (in millions):</w:t>
      </w:r>
    </w:p>
    <w:tbl>
      <w:tblPr>
        <w:tblW w:w="10205" w:type="dxa"/>
        <w:jc w:val="left"/>
        <w:tblInd w:w="0" w:type="dxa"/>
        <w:tblLayout w:type="fixed"/>
        <w:tblCellMar>
          <w:top w:w="28" w:type="dxa"/>
          <w:left w:w="28" w:type="dxa"/>
          <w:bottom w:w="28" w:type="dxa"/>
          <w:right w:w="28" w:type="dxa"/>
        </w:tblCellMar>
      </w:tblPr>
      <w:tblGrid>
        <w:gridCol w:w="1903"/>
        <w:gridCol w:w="146"/>
        <w:gridCol w:w="236"/>
        <w:gridCol w:w="810"/>
        <w:gridCol w:w="166"/>
        <w:gridCol w:w="146"/>
        <w:gridCol w:w="499"/>
        <w:gridCol w:w="1706"/>
        <w:gridCol w:w="190"/>
        <w:gridCol w:w="167"/>
        <w:gridCol w:w="682"/>
        <w:gridCol w:w="1122"/>
        <w:gridCol w:w="167"/>
        <w:gridCol w:w="167"/>
        <w:gridCol w:w="682"/>
        <w:gridCol w:w="1119"/>
        <w:gridCol w:w="297"/>
      </w:tblGrid>
      <w:tr>
        <w:trPr/>
        <w:tc>
          <w:tcPr>
            <w:tcW w:w="1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liabilities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3,872.3</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9"/>
        <w:gridCol w:w="146"/>
        <w:gridCol w:w="254"/>
        <w:gridCol w:w="872"/>
        <w:gridCol w:w="166"/>
        <w:gridCol w:w="146"/>
        <w:gridCol w:w="493"/>
        <w:gridCol w:w="1684"/>
        <w:gridCol w:w="190"/>
        <w:gridCol w:w="167"/>
        <w:gridCol w:w="674"/>
        <w:gridCol w:w="1110"/>
        <w:gridCol w:w="167"/>
        <w:gridCol w:w="167"/>
        <w:gridCol w:w="676"/>
        <w:gridCol w:w="1109"/>
        <w:gridCol w:w="295"/>
      </w:tblGrid>
      <w:tr>
        <w:trPr/>
        <w:tc>
          <w:tcPr>
            <w:tcW w:w="1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liabilities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2,670.7</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As of March 31, 2025, included $173.3 million of cash and cash equivalents, $1.0 million of restricted cash and $3,665.5 million of funds receivable and funds held on behalf of clients on the Condensed Consolidated Balance Sheet. As of December 31, 2024, included $184.2 million of cash and cash equivalents, $2.5 million of restricted cash and $2,450.8 million of funds receivable and funds held on behalf of clients on the Condensed Consolidated Balance Sheet.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Included in Investments on the Condensed Consolidated Balance Sheet.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Included in Other long-term liabilities on the Condensed Consolidated Balance Sheet.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partnership interests in various private equity funds that are not included in the tables above. Our investments in private equity funds were $8.4 million and $8.6 million at March 31, 2025 and December 31, 2024, respectively, of which $7.2 million and $7.3 million, respectively, were measured using net asset value as a practical expedient for fair value and $1.2 million and $1.3 million, respectively, were accounted for under the equity method of accounting. The investments in private equity funds represent underlying investments in domestic and international markets across various industry sectors.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its investments in the entities.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4—Unconsolidated Affiliates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Investments in unconsolidated affiliates are as follows (in millions):</w:t>
      </w:r>
    </w:p>
    <w:tbl>
      <w:tblPr>
        <w:tblW w:w="10205" w:type="dxa"/>
        <w:jc w:val="left"/>
        <w:tblInd w:w="0" w:type="dxa"/>
        <w:tblLayout w:type="fixed"/>
        <w:tblCellMar>
          <w:top w:w="28" w:type="dxa"/>
          <w:left w:w="28" w:type="dxa"/>
          <w:bottom w:w="28" w:type="dxa"/>
          <w:right w:w="28" w:type="dxa"/>
        </w:tblCellMar>
      </w:tblPr>
      <w:tblGrid>
        <w:gridCol w:w="1857"/>
        <w:gridCol w:w="146"/>
        <w:gridCol w:w="1133"/>
        <w:gridCol w:w="146"/>
        <w:gridCol w:w="236"/>
        <w:gridCol w:w="638"/>
        <w:gridCol w:w="146"/>
        <w:gridCol w:w="146"/>
        <w:gridCol w:w="538"/>
        <w:gridCol w:w="1463"/>
        <w:gridCol w:w="146"/>
        <w:gridCol w:w="146"/>
        <w:gridCol w:w="236"/>
        <w:gridCol w:w="638"/>
        <w:gridCol w:w="146"/>
        <w:gridCol w:w="146"/>
        <w:gridCol w:w="538"/>
        <w:gridCol w:w="1463"/>
        <w:gridCol w:w="297"/>
      </w:tblGrid>
      <w:tr>
        <w:trPr/>
        <w:tc>
          <w:tcPr>
            <w:tcW w:w="1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 Percentage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carrying value of investment over proportionate share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carrying value of investment over proportionate share of net assets</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Orbit Private Investments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Financial Data Services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Broadway Square Partners, LLP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Pershing Road Development Company,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Ownership percentage is as of March 31, 2025 and December 31,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Investments in unconsolidated affiliates are accounted for under the equity method of accounting. We record our proportionate share of the results of the unconsolidated affiliates and amortization expense related to basis differences in Equity in earnings of unconsolidated affiliates, net on the Condensed Consolidated Statements of Comprehensive Income.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Equity in earnings of unconsolidated affiliates, net are as follows (in millions):</w:t>
      </w:r>
    </w:p>
    <w:tbl>
      <w:tblPr>
        <w:tblW w:w="6606" w:type="dxa"/>
        <w:jc w:val="left"/>
        <w:tblInd w:w="0" w:type="dxa"/>
        <w:tblLayout w:type="fixed"/>
        <w:tblCellMar>
          <w:top w:w="28" w:type="dxa"/>
          <w:left w:w="28" w:type="dxa"/>
          <w:bottom w:w="28" w:type="dxa"/>
          <w:right w:w="28" w:type="dxa"/>
        </w:tblCellMar>
      </w:tblPr>
      <w:tblGrid>
        <w:gridCol w:w="3751"/>
        <w:gridCol w:w="146"/>
        <w:gridCol w:w="321"/>
        <w:gridCol w:w="641"/>
        <w:gridCol w:w="252"/>
        <w:gridCol w:w="222"/>
        <w:gridCol w:w="321"/>
        <w:gridCol w:w="641"/>
        <w:gridCol w:w="31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Orbit Private Investments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Financial Data Services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Broadway Square Partners, LLP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Pershing Road Development Company,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5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5—Acquisitions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unaudited pro forma information is provided for illustrative purposes only and assumes that the acquisition of Battea-Class Action Services, LLC (“Battea”) occurred on January 1, 2023, after giving effect to certain adjustments, including amortization of intangibles, interest, transaction costs and tax effects. This unaudited pro forma information (in millions) should not be relied upon as being indicative of the historical results that would have been obtained if the acquisition had actually occurred on that date, nor of the results that may be obtained in the future.</w:t>
      </w:r>
    </w:p>
    <w:tbl>
      <w:tblPr>
        <w:tblW w:w="7500" w:type="dxa"/>
        <w:jc w:val="left"/>
        <w:tblInd w:w="0" w:type="dxa"/>
        <w:tblLayout w:type="fixed"/>
        <w:tblCellMar>
          <w:top w:w="28" w:type="dxa"/>
          <w:left w:w="28" w:type="dxa"/>
          <w:bottom w:w="28" w:type="dxa"/>
          <w:right w:w="28" w:type="dxa"/>
        </w:tblCellMar>
      </w:tblPr>
      <w:tblGrid>
        <w:gridCol w:w="4621"/>
        <w:gridCol w:w="146"/>
        <w:gridCol w:w="234"/>
        <w:gridCol w:w="802"/>
        <w:gridCol w:w="162"/>
        <w:gridCol w:w="162"/>
        <w:gridCol w:w="234"/>
        <w:gridCol w:w="802"/>
        <w:gridCol w:w="146"/>
        <w:gridCol w:w="19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addition, we acquired FPS Trust Company in February 2025 for approximately $6.0 million.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6—Goodwill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change in carrying value of goodwill as of and for the three months ended March 31, 2025 is as follows (in millions):</w:t>
      </w:r>
    </w:p>
    <w:tbl>
      <w:tblPr>
        <w:tblW w:w="5040" w:type="dxa"/>
        <w:jc w:val="left"/>
        <w:tblInd w:w="0" w:type="dxa"/>
        <w:tblLayout w:type="fixed"/>
        <w:tblCellMar>
          <w:top w:w="28" w:type="dxa"/>
          <w:left w:w="28" w:type="dxa"/>
          <w:bottom w:w="28" w:type="dxa"/>
          <w:right w:w="28" w:type="dxa"/>
        </w:tblCellMar>
      </w:tblPr>
      <w:tblGrid>
        <w:gridCol w:w="3671"/>
        <w:gridCol w:w="146"/>
        <w:gridCol w:w="211"/>
        <w:gridCol w:w="721"/>
        <w:gridCol w:w="291"/>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Acquisitions completed in the current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7—Debt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March 31, 2025 and December 31, 2024, debt consisted of the following (in millions):</w:t>
      </w:r>
    </w:p>
    <w:tbl>
      <w:tblPr>
        <w:tblW w:w="10205" w:type="dxa"/>
        <w:jc w:val="left"/>
        <w:tblInd w:w="0" w:type="dxa"/>
        <w:tblLayout w:type="fixed"/>
        <w:tblCellMar>
          <w:top w:w="28" w:type="dxa"/>
          <w:left w:w="28" w:type="dxa"/>
          <w:bottom w:w="28" w:type="dxa"/>
          <w:right w:w="28" w:type="dxa"/>
        </w:tblCellMar>
      </w:tblPr>
      <w:tblGrid>
        <w:gridCol w:w="7277"/>
        <w:gridCol w:w="146"/>
        <w:gridCol w:w="211"/>
        <w:gridCol w:w="721"/>
        <w:gridCol w:w="166"/>
        <w:gridCol w:w="146"/>
        <w:gridCol w:w="244"/>
        <w:gridCol w:w="835"/>
        <w:gridCol w:w="166"/>
        <w:gridCol w:w="293"/>
      </w:tblGrid>
      <w:tr>
        <w:trPr/>
        <w:tc>
          <w:tcPr>
            <w:tcW w:w="7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credit facilities, weighted-average interest rate of 6.23% and 6.26%,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5.5% senior notes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 senior notes due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original issue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table below provides a summary of the key terms of our Senior Secured Credit Facilities and Senior Notes:</w:t>
      </w:r>
    </w:p>
    <w:tbl>
      <w:tblPr>
        <w:tblW w:w="8717" w:type="dxa"/>
        <w:jc w:val="left"/>
        <w:tblInd w:w="0" w:type="dxa"/>
        <w:tblLayout w:type="fixed"/>
        <w:tblCellMar>
          <w:top w:w="28" w:type="dxa"/>
          <w:left w:w="28" w:type="dxa"/>
          <w:bottom w:w="28" w:type="dxa"/>
          <w:right w:w="28" w:type="dxa"/>
        </w:tblCellMar>
      </w:tblPr>
      <w:tblGrid>
        <w:gridCol w:w="2806"/>
        <w:gridCol w:w="146"/>
        <w:gridCol w:w="379"/>
        <w:gridCol w:w="1301"/>
        <w:gridCol w:w="146"/>
        <w:gridCol w:w="146"/>
        <w:gridCol w:w="1996"/>
        <w:gridCol w:w="146"/>
        <w:gridCol w:w="165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Outstanding </w:t>
              <w:br/>
              <w:t>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Scheduled Quarterly</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Required</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Senior Secured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B-8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9,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A-9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27, 2029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0.625% (3)</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28,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5.5%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6.5%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the September 2024 Incremental Joinder, scheduled quarterly payments of 0.25% are required. We have made prepayments on our Term B-8 Loans and do not have any principal quarterly payments due until March 2030.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sz w:val="20"/>
        </w:rPr>
      </w:pPr>
      <w:r>
        <w:rPr>
          <w:rFonts w:ascii="Times New Roman" w:hAnsi="Times New Roman"/>
          <w:color w:val="000000"/>
          <w:sz w:val="20"/>
        </w:rPr>
        <w:t>The Term A-9 Loans will mature on the earlier to occur of (1) September 27, 2029 or (2) 91 days prior to the maturity of (x) the 5.5% Senior Notes if more than $150.0 million aggregate principal amount remains outstanding on the 91</w:t>
      </w:r>
      <w:r>
        <w:rPr>
          <w:rFonts w:ascii="Times New Roman" w:hAnsi="Times New Roman"/>
          <w:color w:val="000000"/>
          <w:sz w:val="13"/>
        </w:rPr>
        <w:t>st</w:t>
      </w:r>
      <w:r>
        <w:rPr>
          <w:rFonts w:ascii="Times New Roman" w:hAnsi="Times New Roman"/>
          <w:color w:val="000000"/>
          <w:sz w:val="20"/>
        </w:rPr>
        <w:t xml:space="preserve"> day prior to such maturity or (y) the Revolving Credit Facility if more than $150.0 million aggregate principal amount of commitments remain outstanding on the 91</w:t>
      </w:r>
      <w:r>
        <w:rPr>
          <w:rFonts w:ascii="Times New Roman" w:hAnsi="Times New Roman"/>
          <w:color w:val="000000"/>
          <w:sz w:val="13"/>
        </w:rPr>
        <w:t>st</w:t>
      </w:r>
      <w:r>
        <w:rPr>
          <w:rFonts w:ascii="Times New Roman" w:hAnsi="Times New Roman"/>
          <w:color w:val="000000"/>
          <w:sz w:val="20"/>
        </w:rPr>
        <w:t xml:space="preserve"> day prior to such maturity, whichever of (x) or (y) comes first.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Scheduled quarterly payment required for the first eight fiscal quarters commencing with the fiscal quarter ending December 31, 2024. The scheduled quarterly payment will increase to 1.250% for each quarter thereafter until the maturity date of the Term A-9 Loans.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2025, we were in compliance with all financial and non-financial covenants.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Fair Value of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and fair values of financial instruments are as follows (in millions):</w:t>
      </w:r>
    </w:p>
    <w:tbl>
      <w:tblPr>
        <w:tblW w:w="7907" w:type="dxa"/>
        <w:jc w:val="left"/>
        <w:tblInd w:w="0" w:type="dxa"/>
        <w:tblLayout w:type="fixed"/>
        <w:tblCellMar>
          <w:top w:w="28" w:type="dxa"/>
          <w:left w:w="28" w:type="dxa"/>
          <w:bottom w:w="28" w:type="dxa"/>
          <w:right w:w="28" w:type="dxa"/>
        </w:tblCellMar>
      </w:tblPr>
      <w:tblGrid>
        <w:gridCol w:w="2766"/>
        <w:gridCol w:w="146"/>
        <w:gridCol w:w="211"/>
        <w:gridCol w:w="721"/>
        <w:gridCol w:w="146"/>
        <w:gridCol w:w="146"/>
        <w:gridCol w:w="211"/>
        <w:gridCol w:w="721"/>
        <w:gridCol w:w="146"/>
        <w:gridCol w:w="146"/>
        <w:gridCol w:w="211"/>
        <w:gridCol w:w="721"/>
        <w:gridCol w:w="146"/>
        <w:gridCol w:w="146"/>
        <w:gridCol w:w="211"/>
        <w:gridCol w:w="721"/>
        <w:gridCol w:w="391"/>
      </w:tblGrid>
      <w:tr>
        <w:trPr/>
        <w:tc>
          <w:tcPr>
            <w:tcW w:w="2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Senior secured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5.5% senior notes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6.5% senior notes due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above fair values, which are Level 2 liabilities, were computed based on comparable quoted market prices.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8—Stockholders’ Equity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2023, our Board of Directors authorized a stock repurchase program, which enabled us to repurchase up to $1 billion in the aggregate of our outstanding common stock on the open market or in privately negotiated transactions until the one-year anniversary of the Board’s authorization, unless earlier terminated by the Board. In July 2024, our Board of Directors authorized a stock repurchase program, which enables us to repurchase up to $1 billion in the aggregate of our outstanding common stock on the open market or in privately negotiated transactions until the one-year anniversary of the Board’s authorization, unless earlier terminated by the Board. During the three months ended March 31, 2025 and 2024, we repurchased 2.4 million and 0.8 million shares, respectively, of common stock for approximately $206.9 million and $52.9 million, respectively. We use the cost method to account for treasury stock purchases. Under the cost method, the price paid for the stock is charged to the treasury stock account.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paid quarterly cash dividends of $0.25 per share of common stock in March 2025 totaling $61.6 million. We paid quarterly a cash dividend of $0.24 per share of common stock in March 2024 totaling $59.7 million.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Accumulated</w:t>
      </w:r>
      <w:r>
        <w:rPr>
          <w:rFonts w:ascii="Times New Roman" w:hAnsi="Times New Roman"/>
          <w:color w:val="000000"/>
          <w:sz w:val="20"/>
        </w:rPr>
        <w:t xml:space="preserve"> </w:t>
      </w:r>
      <w:r>
        <w:rPr>
          <w:rFonts w:ascii="Times New Roman" w:hAnsi="Times New Roman"/>
          <w:i/>
          <w:color w:val="000000"/>
          <w:sz w:val="20"/>
        </w:rPr>
        <w:t>Other Comprehensive Loss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Accumulated other comprehensive loss balances, net of tax, consist of the following (in millions):</w:t>
      </w:r>
    </w:p>
    <w:tbl>
      <w:tblPr>
        <w:tblW w:w="10205" w:type="dxa"/>
        <w:jc w:val="left"/>
        <w:tblInd w:w="0" w:type="dxa"/>
        <w:tblLayout w:type="fixed"/>
        <w:tblCellMar>
          <w:top w:w="28" w:type="dxa"/>
          <w:left w:w="28" w:type="dxa"/>
          <w:bottom w:w="28" w:type="dxa"/>
          <w:right w:w="28" w:type="dxa"/>
        </w:tblCellMar>
      </w:tblPr>
      <w:tblGrid>
        <w:gridCol w:w="3115"/>
        <w:gridCol w:w="146"/>
        <w:gridCol w:w="475"/>
        <w:gridCol w:w="1392"/>
        <w:gridCol w:w="166"/>
        <w:gridCol w:w="146"/>
        <w:gridCol w:w="557"/>
        <w:gridCol w:w="1117"/>
        <w:gridCol w:w="166"/>
        <w:gridCol w:w="146"/>
        <w:gridCol w:w="628"/>
        <w:gridCol w:w="1837"/>
        <w:gridCol w:w="314"/>
      </w:tblGrid>
      <w:tr>
        <w:trPr/>
        <w:tc>
          <w:tcPr>
            <w:tcW w:w="3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Defined Benefit Obligation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(541.2</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1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current 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(448.7</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Adjustments to accumulated other comprehensive loss are as follows (in millions):</w:t>
      </w:r>
    </w:p>
    <w:p>
      <w:pPr>
        <w:pStyle w:val="TextBody"/>
        <w:bidi w:val="0"/>
        <w:spacing w:before="0" w:after="120"/>
        <w:jc w:val="left"/>
        <w:rPr/>
      </w:pPr>
      <w:r>
        <w:rPr/>
        <w:t> </w:t>
      </w:r>
    </w:p>
    <w:tbl>
      <w:tblPr>
        <w:tblW w:w="7361" w:type="dxa"/>
        <w:jc w:val="left"/>
        <w:tblInd w:w="0" w:type="dxa"/>
        <w:tblLayout w:type="fixed"/>
        <w:tblCellMar>
          <w:top w:w="28" w:type="dxa"/>
          <w:left w:w="28" w:type="dxa"/>
          <w:bottom w:w="28" w:type="dxa"/>
          <w:right w:w="28" w:type="dxa"/>
        </w:tblCellMar>
      </w:tblPr>
      <w:tblGrid>
        <w:gridCol w:w="3031"/>
        <w:gridCol w:w="146"/>
        <w:gridCol w:w="196"/>
        <w:gridCol w:w="421"/>
        <w:gridCol w:w="146"/>
        <w:gridCol w:w="109"/>
        <w:gridCol w:w="323"/>
        <w:gridCol w:w="547"/>
        <w:gridCol w:w="146"/>
        <w:gridCol w:w="146"/>
        <w:gridCol w:w="196"/>
        <w:gridCol w:w="481"/>
        <w:gridCol w:w="166"/>
        <w:gridCol w:w="146"/>
        <w:gridCol w:w="323"/>
        <w:gridCol w:w="547"/>
        <w:gridCol w:w="2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Effect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Effect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Current period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9—Variable Interest Entity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July 2021, we entered into an agreement whereby we obtained an 80.2% interest in DomaniRx, LLC (“DomaniRx”), a variable interest entity under GAAP. 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carrying value of the assets and liabilities associated with DomaniRx included in our condensed consolidated balance sheet at March 31, 2025 and December 31, 2024, which are limited for use in its operations and do not have recourse against our general credit or our senior secured credit facilities, are as follows: </w:t>
      </w:r>
    </w:p>
    <w:tbl>
      <w:tblPr>
        <w:tblW w:w="6084" w:type="dxa"/>
        <w:jc w:val="left"/>
        <w:tblInd w:w="0" w:type="dxa"/>
        <w:tblLayout w:type="fixed"/>
        <w:tblCellMar>
          <w:top w:w="28" w:type="dxa"/>
          <w:left w:w="28" w:type="dxa"/>
          <w:bottom w:w="28" w:type="dxa"/>
          <w:right w:w="28" w:type="dxa"/>
        </w:tblCellMar>
      </w:tblPr>
      <w:tblGrid>
        <w:gridCol w:w="3551"/>
        <w:gridCol w:w="146"/>
        <w:gridCol w:w="230"/>
        <w:gridCol w:w="625"/>
        <w:gridCol w:w="146"/>
        <w:gridCol w:w="294"/>
        <w:gridCol w:w="801"/>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revenues primarily through our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perpetual or term licenses and by selling maintenance services. We classify license revenues related to sales-based royalty arrangements as term license revenue. Maintenance services are generally provided under annually renewable contracts. Our pricing typically scales as a function of our clients’ assets under management, the complexity of asset classes managed, the volume of transactions and the level of service the client requires. Revenues from professional services consist mostly of services provided on a time and materials basis.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Deferred revenues primarily represent unrecognized fees billed or collected for maintenance and professional services. Deferred revenues are recognized as (or when) we perform under the contract. Long-term deferred revenue of $42.0 million and $42.4 million, was included in other long-term liabilities as of March 31, 2025 and December 31, 2024, respectively, in our condensed consolidated balance sheet. Deferred revenues are recorded on a net basis with contract assets at the contract level. Accordingly, as of March 31, 2025 and December 31, 2024, approximately $66.1 million and $72.3 million, respectively, of deferred revenue is presented net within contract assets arising from the same contracts. The amount of revenues recognized in the period that was included in the opening deferred revenues balance was $156.0 million for the three months ended March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March 31, 2025, revenue of approximately $989.7 million is expected to be recognized from remaining performance obligations for license, maintenance and related revenues, of which $501.6 million is expected to be recognized over the next twelve months and the remainder is expected to be recognized over a weighted average period of approximately two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revenue net of any taxes assessed by governmental authorities.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 Disaggregation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disaggregates our revenues by geography (in millions):</w:t>
      </w:r>
    </w:p>
    <w:tbl>
      <w:tblPr>
        <w:tblW w:w="7904" w:type="dxa"/>
        <w:jc w:val="left"/>
        <w:tblInd w:w="0" w:type="dxa"/>
        <w:tblLayout w:type="fixed"/>
        <w:tblCellMar>
          <w:top w:w="28" w:type="dxa"/>
          <w:left w:w="28" w:type="dxa"/>
          <w:bottom w:w="28" w:type="dxa"/>
          <w:right w:w="28" w:type="dxa"/>
        </w:tblCellMar>
      </w:tblPr>
      <w:tblGrid>
        <w:gridCol w:w="5071"/>
        <w:gridCol w:w="146"/>
        <w:gridCol w:w="234"/>
        <w:gridCol w:w="802"/>
        <w:gridCol w:w="162"/>
        <w:gridCol w:w="162"/>
        <w:gridCol w:w="234"/>
        <w:gridCol w:w="802"/>
        <w:gridCol w:w="29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1,036.5</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(excluding United Kingdom), Middle East and Africa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 excluding United States and 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1,513.9</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disaggregates our revenues by source (in millions):</w:t>
      </w:r>
    </w:p>
    <w:tbl>
      <w:tblPr>
        <w:tblW w:w="5459" w:type="dxa"/>
        <w:jc w:val="left"/>
        <w:tblInd w:w="0" w:type="dxa"/>
        <w:tblLayout w:type="fixed"/>
        <w:tblCellMar>
          <w:top w:w="28" w:type="dxa"/>
          <w:left w:w="28" w:type="dxa"/>
          <w:bottom w:w="28" w:type="dxa"/>
          <w:right w:w="28" w:type="dxa"/>
        </w:tblCellMar>
      </w:tblPr>
      <w:tblGrid>
        <w:gridCol w:w="2626"/>
        <w:gridCol w:w="146"/>
        <w:gridCol w:w="234"/>
        <w:gridCol w:w="802"/>
        <w:gridCol w:w="162"/>
        <w:gridCol w:w="162"/>
        <w:gridCol w:w="234"/>
        <w:gridCol w:w="802"/>
        <w:gridCol w:w="2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and term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Perpetual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1,513.9</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11—Stock-based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S</w:t>
      </w:r>
      <w:r>
        <w:rPr>
          <w:rFonts w:ascii="Times New Roman" w:hAnsi="Times New Roman"/>
          <w:i/>
          <w:color w:val="000000"/>
          <w:sz w:val="20"/>
        </w:rPr>
        <w:t>tock options, SARs, PSUs and RSUs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amount of stock-based compensation expense recognized in our Condensed Consolidated Statements of Comprehensive Income for the three months ended March 31, 2025 and 2024 was as follows (in millions):</w:t>
      </w:r>
    </w:p>
    <w:tbl>
      <w:tblPr>
        <w:tblW w:w="8706" w:type="dxa"/>
        <w:jc w:val="left"/>
        <w:tblInd w:w="0" w:type="dxa"/>
        <w:tblLayout w:type="fixed"/>
        <w:tblCellMar>
          <w:top w:w="28" w:type="dxa"/>
          <w:left w:w="28" w:type="dxa"/>
          <w:bottom w:w="28" w:type="dxa"/>
          <w:right w:w="28" w:type="dxa"/>
        </w:tblCellMar>
      </w:tblPr>
      <w:tblGrid>
        <w:gridCol w:w="5671"/>
        <w:gridCol w:w="146"/>
        <w:gridCol w:w="308"/>
        <w:gridCol w:w="662"/>
        <w:gridCol w:w="229"/>
        <w:gridCol w:w="229"/>
        <w:gridCol w:w="308"/>
        <w:gridCol w:w="662"/>
        <w:gridCol w:w="4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Condensed Consolidated Statements of Comprehensive Income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license, maintenance and other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following table summarizes stock option and stock appreciation rights (“SARs”) activity, as well as performance stock units (“PSUs”) and restricted stock units (“RSUs”) activity, for the three months ended March 31, 2025 (shares in millions):</w:t>
      </w:r>
    </w:p>
    <w:tbl>
      <w:tblPr>
        <w:tblW w:w="6961" w:type="dxa"/>
        <w:jc w:val="left"/>
        <w:tblInd w:w="0" w:type="dxa"/>
        <w:tblLayout w:type="fixed"/>
        <w:tblCellMar>
          <w:top w:w="28" w:type="dxa"/>
          <w:left w:w="28" w:type="dxa"/>
          <w:bottom w:w="28" w:type="dxa"/>
          <w:right w:w="28" w:type="dxa"/>
        </w:tblCellMar>
      </w:tblPr>
      <w:tblGrid>
        <w:gridCol w:w="2941"/>
        <w:gridCol w:w="146"/>
        <w:gridCol w:w="446"/>
        <w:gridCol w:w="1429"/>
        <w:gridCol w:w="166"/>
        <w:gridCol w:w="146"/>
        <w:gridCol w:w="316"/>
        <w:gridCol w:w="914"/>
        <w:gridCol w:w="166"/>
        <w:gridCol w:w="2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 and SARs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 and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12—Income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 tax rate was 18.4% and 29.7% for the three months ended March 31, 2025 and 2024, respectively. The change in the effective tax rate for the three months ended March 31, 2025 compared to the prior year was primarily due to an increase in recognition of windfall tax benefits from stock awards in the current year and a proportionate change in the composition of income before income taxes from foreign and domestic tax jurisdictions. It is possible our unrecognized tax benefits could be reduced by approximately $20 million in the next 12 months as a result of cash payments made in connection with ongoing tax authority audits.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13—Earnings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basic and diluted EPS (in millions, except per share amounts):</w:t>
      </w:r>
    </w:p>
    <w:tbl>
      <w:tblPr>
        <w:tblW w:w="10205" w:type="dxa"/>
        <w:jc w:val="left"/>
        <w:tblInd w:w="0" w:type="dxa"/>
        <w:tblLayout w:type="fixed"/>
        <w:tblCellMar>
          <w:top w:w="28" w:type="dxa"/>
          <w:left w:w="28" w:type="dxa"/>
          <w:bottom w:w="28" w:type="dxa"/>
          <w:right w:w="28" w:type="dxa"/>
        </w:tblCellMar>
      </w:tblPr>
      <w:tblGrid>
        <w:gridCol w:w="7569"/>
        <w:gridCol w:w="146"/>
        <w:gridCol w:w="261"/>
        <w:gridCol w:w="707"/>
        <w:gridCol w:w="180"/>
        <w:gridCol w:w="180"/>
        <w:gridCol w:w="261"/>
        <w:gridCol w:w="707"/>
        <w:gridCol w:w="194"/>
      </w:tblGrid>
      <w:tr>
        <w:trPr/>
        <w:tc>
          <w:tcPr>
            <w:tcW w:w="7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attributable to SS&amp;C: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used in calculation of basic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stock equivalents – stock options and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and common equivalent shares outstanding – used in calculation of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SS&amp;C common stockholders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SS&amp;C common stockholders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Weighted-average stock options, SARs, RSUs and PSUs representing 5.4 million and 18.4 million shares were outstanding for the three months ended March 31, 2025 and 2024, respectively, but were not included in the computation of diluted EPS because the effect of including them would be anti-dilutive.</w:t>
      </w:r>
    </w:p>
    <w:p>
      <w:pPr>
        <w:pStyle w:val="TextBody"/>
        <w:bidi w:val="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Note 14—Commitments and Contingencies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we are subject to legal proceedings and claims. In our opinion, we are not involved in any litigation or proceedings that would have a material adverse effect on us or our business.</w:t>
      </w:r>
    </w:p>
    <w:p>
      <w:pPr>
        <w:pStyle w:val="TextBody"/>
        <w:bidi w:val="0"/>
        <w:spacing w:before="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Management’s Discussion and Analysis of Financial Condition and Results of Operations, or MD&amp;A, is intended to provide readers of our Condensed Consolidated Financial Statements with the perspectives of management. It presents, in narrative form, information regarding our financial condition, results of operations, liquidity and certain other factors that may affect our future results. It should be read in conjunction with our 2024 Form 10-K and the Condensed Consolidated Financial Statements included in this Form 10-Q. We use the term organic to refer to the businesses and operations that are included in the comparable prior year period on a constant currency basis. Organic excludes the impact of any business which we acquired for the time period which would impact the comparable prior year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Ongoing macroeconomic conditions, such as increases in interest rates and inflation, volatility in capital markets, and changes in foreign currency exchange rates, could have impacts on our results that are uncertain and, in many respects, outside our control. The situations remain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number of our accounting policies require the application of significant judgment by our management, and such judgments are reflected in the amounts reported in our Condensed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Actual results may differ significantly from the estimates contained in our Condensed Consolidated Financial Statements. There have been no material changes to our critical accounting estimates and assumptions or the judgments affecting the application of those estimates and assumptions since the filing of our 2024 Form 10-K. Our critical accounting policies are described in the 2024 Form 10-K and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Intangible Assets and Goodwill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Software Capitalization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Acquisition Accounting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Revenue Recognition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Stock-based Compensation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Income Taxes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our revenues from two sources: software-enabled services revenues and license, maintenance and related revenues. As a general matter, fluctuations in our software-enabled services revenues are attributable to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on an accrual basis.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results of operations below include the results of our recent acquisition from the date which it was acquired. Battea-Class Action Services, LLC (“Battea”) was acquired in September 2024. FPS Trust Company was acquired in February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 sets forth the percentage of our total revenues represented by each of the following sources of revenues for the periods indicated:</w:t>
      </w:r>
    </w:p>
    <w:tbl>
      <w:tblPr>
        <w:tblW w:w="5881" w:type="dxa"/>
        <w:jc w:val="left"/>
        <w:tblInd w:w="0" w:type="dxa"/>
        <w:tblLayout w:type="fixed"/>
        <w:tblCellMar>
          <w:top w:w="28" w:type="dxa"/>
          <w:left w:w="28" w:type="dxa"/>
          <w:bottom w:w="28" w:type="dxa"/>
          <w:right w:w="28" w:type="dxa"/>
        </w:tblCellMar>
      </w:tblPr>
      <w:tblGrid>
        <w:gridCol w:w="2821"/>
        <w:gridCol w:w="146"/>
        <w:gridCol w:w="189"/>
        <w:gridCol w:w="740"/>
        <w:gridCol w:w="351"/>
        <w:gridCol w:w="189"/>
        <w:gridCol w:w="189"/>
        <w:gridCol w:w="740"/>
        <w:gridCol w:w="51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following table sets forth revenues (dollars in millions) and percent change in revenues for the periods indicated:</w:t>
      </w:r>
    </w:p>
    <w:tbl>
      <w:tblPr>
        <w:tblW w:w="7296" w:type="dxa"/>
        <w:jc w:val="left"/>
        <w:tblInd w:w="0" w:type="dxa"/>
        <w:tblLayout w:type="fixed"/>
        <w:tblCellMar>
          <w:top w:w="28" w:type="dxa"/>
          <w:left w:w="28" w:type="dxa"/>
          <w:bottom w:w="28" w:type="dxa"/>
          <w:right w:w="28" w:type="dxa"/>
        </w:tblCellMar>
      </w:tblPr>
      <w:tblGrid>
        <w:gridCol w:w="2821"/>
        <w:gridCol w:w="146"/>
        <w:gridCol w:w="234"/>
        <w:gridCol w:w="802"/>
        <w:gridCol w:w="162"/>
        <w:gridCol w:w="162"/>
        <w:gridCol w:w="234"/>
        <w:gridCol w:w="802"/>
        <w:gridCol w:w="146"/>
        <w:gridCol w:w="146"/>
        <w:gridCol w:w="274"/>
        <w:gridCol w:w="791"/>
        <w:gridCol w:w="57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1,513.9</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sz w:val="20"/>
        </w:rPr>
      </w:pPr>
      <w:r>
        <w:rPr>
          <w:rFonts w:ascii="Times New Roman" w:hAnsi="Times New Roman"/>
          <w:i/>
          <w:color w:val="000000"/>
          <w:sz w:val="20"/>
        </w:rPr>
        <w:t>Three Months Ended March 31, 2025 and 2024</w:t>
      </w:r>
      <w:r>
        <w:rPr>
          <w:rFonts w:ascii="Times New Roman" w:hAnsi="Times New Roman"/>
          <w:color w:val="000000"/>
          <w:sz w:val="20"/>
        </w:rPr>
        <w:t xml:space="preserve">. Our revenues increased $78.9 million, or 5.5%, primarily due to an increase of $72.8 million in organic revenue growth driven by strength in the SS&amp;C GlobeOp fund administration, Wealth and Investment Technologies, Global Investor and Distribution Solutions and virtual data room services businesses. Our revenues also increased due to acquisitions, which contributed $13.0 million in revenues which was offset by the unfavorable impact from foreign currency translation of $6.9 million. Software-enabled services revenues increased $82.2 million, or 6.9%, primarily due to an increase in organic revenues of $74.3 million and acquisitions, which added $13.0 million in revenues, offset by the unfavorable impact from foreign currency translation of $5.1 million. License, maintenance and related revenues decreased $3.3 million, or 1.3%, due to a decrease in organic revenues of $1.5 million and the unfavorable impact from foreign currency translation of $1.8 million. </w:t>
      </w:r>
    </w:p>
    <w:p>
      <w:pPr>
        <w:pStyle w:val="TextBody"/>
        <w:bidi w:val="0"/>
        <w:spacing w:before="40" w:after="283"/>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Cost of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software-enabled services revenues consists primarily of costs related to personnel utilized in providing our software-enabled services and amortization of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tables set forth each of the following cost of revenues as a percentage of their respective revenue source for the periods indicated:</w:t>
      </w:r>
    </w:p>
    <w:tbl>
      <w:tblPr>
        <w:tblW w:w="6450" w:type="dxa"/>
        <w:jc w:val="left"/>
        <w:tblInd w:w="0" w:type="dxa"/>
        <w:tblLayout w:type="fixed"/>
        <w:tblCellMar>
          <w:top w:w="28" w:type="dxa"/>
          <w:left w:w="28" w:type="dxa"/>
          <w:bottom w:w="28" w:type="dxa"/>
          <w:right w:w="28" w:type="dxa"/>
        </w:tblCellMar>
      </w:tblPr>
      <w:tblGrid>
        <w:gridCol w:w="3391"/>
        <w:gridCol w:w="146"/>
        <w:gridCol w:w="213"/>
        <w:gridCol w:w="681"/>
        <w:gridCol w:w="396"/>
        <w:gridCol w:w="213"/>
        <w:gridCol w:w="213"/>
        <w:gridCol w:w="681"/>
        <w:gridCol w:w="51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following table sets forth cost of revenues (dollars in millions) and percent change in cost of revenues for the periods indicated:</w:t>
      </w:r>
    </w:p>
    <w:tbl>
      <w:tblPr>
        <w:tblW w:w="7806" w:type="dxa"/>
        <w:jc w:val="left"/>
        <w:tblInd w:w="0" w:type="dxa"/>
        <w:tblLayout w:type="fixed"/>
        <w:tblCellMar>
          <w:top w:w="28" w:type="dxa"/>
          <w:left w:w="28" w:type="dxa"/>
          <w:bottom w:w="28" w:type="dxa"/>
          <w:right w:w="28" w:type="dxa"/>
        </w:tblCellMar>
      </w:tblPr>
      <w:tblGrid>
        <w:gridCol w:w="3391"/>
        <w:gridCol w:w="146"/>
        <w:gridCol w:w="272"/>
        <w:gridCol w:w="738"/>
        <w:gridCol w:w="188"/>
        <w:gridCol w:w="188"/>
        <w:gridCol w:w="272"/>
        <w:gridCol w:w="738"/>
        <w:gridCol w:w="146"/>
        <w:gridCol w:w="146"/>
        <w:gridCol w:w="306"/>
        <w:gridCol w:w="759"/>
        <w:gridCol w:w="51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766.8</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Three Months Ended March 31, 2025 and 2024</w:t>
      </w:r>
      <w:r>
        <w:rPr>
          <w:rFonts w:ascii="Times New Roman" w:hAnsi="Times New Roman"/>
          <w:color w:val="000000"/>
          <w:sz w:val="20"/>
        </w:rPr>
        <w:t>. Our total cost of revenues increased by $39.0 million, or 5.4%, primarily due to an increase of $34.2 million in organic costs and acquisitions, which added costs of 9.3 million in costs, offset by the favorable impact from foreign currency translation, which decreased costs by $4.5 million. Our organic cost increase reflects continued investment in delivering client service. Cost of software-enabled services revenues increased $33.5 million, or 5.3%, primarily due to an increase of $28.0 million in organic costs and acquisitions, which added $9.3 million in costs, offset by the favorable impact from foreign currency translation of $3.8 million. Cost of license, maintenance and related revenues increased $5.5 million, or 5.9%, primarily due to an increase of $6.2 million in organic costs offset by the favorable impact from foreign currency translation of $0.7 million.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and marketing expenses consist primarily of the personnel costs associated with the selling and marketing of our products, including salaries, commissions and travel and entertainment. Such expenses also include amortization of intangible assets, the cost of branch sales offices,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information management, human resources and administration and associated overhead costs, as well as fees for professional services.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 sets forth the percentage of our total revenues represented by each of the following operating expenses for the periods indicated:</w:t>
      </w:r>
    </w:p>
    <w:tbl>
      <w:tblPr>
        <w:tblW w:w="5420" w:type="dxa"/>
        <w:jc w:val="left"/>
        <w:tblInd w:w="0" w:type="dxa"/>
        <w:tblLayout w:type="fixed"/>
        <w:tblCellMar>
          <w:top w:w="28" w:type="dxa"/>
          <w:left w:w="28" w:type="dxa"/>
          <w:bottom w:w="28" w:type="dxa"/>
          <w:right w:w="28" w:type="dxa"/>
        </w:tblCellMar>
      </w:tblPr>
      <w:tblGrid>
        <w:gridCol w:w="2361"/>
        <w:gridCol w:w="146"/>
        <w:gridCol w:w="213"/>
        <w:gridCol w:w="681"/>
        <w:gridCol w:w="396"/>
        <w:gridCol w:w="213"/>
        <w:gridCol w:w="213"/>
        <w:gridCol w:w="681"/>
        <w:gridCol w:w="516"/>
      </w:tblGrid>
      <w:tr>
        <w:trPr/>
        <w:tc>
          <w:tcPr>
            <w:tcW w:w="2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222222"/>
          <w:sz w:val="20"/>
        </w:rPr>
      </w:pPr>
      <w:r>
        <w:rPr>
          <w:rFonts w:ascii="Times New Roman" w:hAnsi="Times New Roman"/>
          <w:color w:val="222222"/>
          <w:sz w:val="20"/>
        </w:rPr>
        <w:t>The following table sets forth operating expenses (dollars in millions) and percent change in operating expenses for the periods indicated:</w:t>
      </w:r>
    </w:p>
    <w:tbl>
      <w:tblPr>
        <w:tblW w:w="6836" w:type="dxa"/>
        <w:jc w:val="left"/>
        <w:tblInd w:w="0" w:type="dxa"/>
        <w:tblLayout w:type="fixed"/>
        <w:tblCellMar>
          <w:top w:w="28" w:type="dxa"/>
          <w:left w:w="28" w:type="dxa"/>
          <w:bottom w:w="28" w:type="dxa"/>
          <w:right w:w="28" w:type="dxa"/>
        </w:tblCellMar>
      </w:tblPr>
      <w:tblGrid>
        <w:gridCol w:w="2361"/>
        <w:gridCol w:w="146"/>
        <w:gridCol w:w="272"/>
        <w:gridCol w:w="738"/>
        <w:gridCol w:w="188"/>
        <w:gridCol w:w="188"/>
        <w:gridCol w:w="272"/>
        <w:gridCol w:w="738"/>
        <w:gridCol w:w="146"/>
        <w:gridCol w:w="146"/>
        <w:gridCol w:w="274"/>
        <w:gridCol w:w="791"/>
        <w:gridCol w:w="576"/>
      </w:tblGrid>
      <w:tr>
        <w:trPr/>
        <w:tc>
          <w:tcPr>
            <w:tcW w:w="2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Three Months Ended March 31, 2025 and 2024</w:t>
      </w:r>
      <w:r>
        <w:rPr>
          <w:rFonts w:ascii="Times New Roman" w:hAnsi="Times New Roman"/>
          <w:color w:val="000000"/>
          <w:sz w:val="20"/>
        </w:rPr>
        <w:t>. Operating expenses increased $14.9 million, or 4.0%, due to an increase of $14.8 million in organic operating expenses and acquisitions, which added $3.8 million in expenses, offset by the favorable impact from foreign currency translation of $3.7 million. Total operating expenses, excluding the impact of acquisitions and foreign currency translation, primarily increased due to resource needs to support organic growth.</w:t>
      </w:r>
    </w:p>
    <w:p>
      <w:pPr>
        <w:pStyle w:val="TextBody"/>
        <w:bidi w:val="0"/>
        <w:spacing w:before="12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Comparison of the Three Months Ended March 31, 2025 and 2024 for Interest, Taxes and Other</w:t>
      </w:r>
    </w:p>
    <w:p>
      <w:pPr>
        <w:pStyle w:val="TextBody"/>
        <w:bidi w:val="0"/>
        <w:spacing w:before="200" w:after="283"/>
        <w:jc w:val="left"/>
        <w:rPr>
          <w:rFonts w:ascii="Times New Roman" w:hAnsi="Times New Roman"/>
          <w:sz w:val="20"/>
        </w:rPr>
      </w:pPr>
      <w:r>
        <w:rPr>
          <w:rFonts w:ascii="Times New Roman" w:hAnsi="Times New Roman"/>
          <w:i/>
          <w:color w:val="000000"/>
          <w:sz w:val="20"/>
        </w:rPr>
        <w:t>Interest expense, net</w:t>
      </w:r>
      <w:r>
        <w:rPr>
          <w:rFonts w:ascii="Times New Roman" w:hAnsi="Times New Roman"/>
          <w:color w:val="000000"/>
          <w:sz w:val="20"/>
        </w:rPr>
        <w:t xml:space="preserve">. Net interest expense totaled $105.2 million and $116.0 million for the three months ended March 31, 2025 and 2024, respectively. The decrease in interest expense, net for the three months ended is primarily due to lower average interest rates. We had an average interest rate of 6.09% and 6.86% for the three months ended March 31, 2025 and 2024, respectively. </w:t>
      </w:r>
    </w:p>
    <w:p>
      <w:pPr>
        <w:pStyle w:val="TextBody"/>
        <w:bidi w:val="0"/>
        <w:spacing w:before="20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Other income (expense), net was $7.2 million and $6.6 million for the three months ended March 31, 2025 and 2024, respectively. For the three months ended March 31, 2025, other income (expense), net consisted primarily of dividend income of $11.2 million offset by foreign currency translation losses of $2.2 million and investment losses due to mark-to market adjustments of $1.8 million. For the three months ended March 31, 2024, other (expense) income, net consisted primarily of dividend income of $10.5 million, partially offset by foreign currency translation losses of $4.7 million. </w:t>
      </w:r>
    </w:p>
    <w:p>
      <w:pPr>
        <w:pStyle w:val="TextBody"/>
        <w:bidi w:val="0"/>
        <w:spacing w:before="200" w:after="283"/>
        <w:jc w:val="left"/>
        <w:rPr>
          <w:rFonts w:ascii="Times New Roman" w:hAnsi="Times New Roman"/>
          <w:sz w:val="20"/>
        </w:rPr>
      </w:pPr>
      <w:r>
        <w:rPr>
          <w:rFonts w:ascii="Times New Roman" w:hAnsi="Times New Roman"/>
          <w:i/>
          <w:color w:val="000000"/>
          <w:sz w:val="20"/>
        </w:rPr>
        <w:t>Equity in earnings of unconsolidated affiliates, net.</w:t>
      </w:r>
      <w:r>
        <w:rPr>
          <w:rFonts w:ascii="Times New Roman" w:hAnsi="Times New Roman"/>
          <w:color w:val="000000"/>
          <w:sz w:val="20"/>
        </w:rPr>
        <w:t xml:space="preserve"> Equity in earnings of unconsolidated affiliates, net totaled $2.3 million for each of the three month periods ended March 31, 2025 and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The following table sets forth the provision for income taxes (dollars in millions) and effective tax rates for the periods indicated:</w:t>
      </w:r>
    </w:p>
    <w:tbl>
      <w:tblPr>
        <w:tblW w:w="5141" w:type="dxa"/>
        <w:jc w:val="left"/>
        <w:tblInd w:w="0" w:type="dxa"/>
        <w:tblLayout w:type="fixed"/>
        <w:tblCellMar>
          <w:top w:w="28" w:type="dxa"/>
          <w:left w:w="28" w:type="dxa"/>
          <w:bottom w:w="28" w:type="dxa"/>
          <w:right w:w="28" w:type="dxa"/>
        </w:tblCellMar>
      </w:tblPr>
      <w:tblGrid>
        <w:gridCol w:w="2281"/>
        <w:gridCol w:w="146"/>
        <w:gridCol w:w="286"/>
        <w:gridCol w:w="631"/>
        <w:gridCol w:w="367"/>
        <w:gridCol w:w="197"/>
        <w:gridCol w:w="286"/>
        <w:gridCol w:w="631"/>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effective tax rates for the three months ended March 31, 2025 differ from the statutory rate of 21.0% primarily due to the composition of income before income taxes from foreign and domestic tax jurisdictions, foreign income that is being taxed in the U.S. offset by foreign tax credits that are being limited and the recognition of windfall tax benefits from stock awards. The change in the effective tax rate for the three months ended March 31, 2025 compared to the prior year was primarily related to an increased recognition of windfall tax benefits from stock awards in the current year and a proportionate change in the composition of income before income taxes from foreign and domestic tax jurisdictions. While we have income from multiple foreign sources, the majority of our non-U.S. operations are in the United Kingdom and India. We anticipate the statutory tax rates in 2025 to be 25.0% in the United Kingdom and approximately 25.3% in India. A future change in the composition of income before income taxes from foreign and domestic tax jurisdictions could impact our periodic effective tax rate.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2021, the OECD (“Organisation for Economic Co-operation and Development”)/G20 Inclusive Framework on Base Erosion and Profit Shifting released Model Global Anti-Base Erosion rules under Pillar Two. Further guidance has been released throughout 2022 and 2023. Certain aspects of Pillar Two are effective January 1, 2024 and other aspects are effective January 1, 2025. Many non-U.S. tax jurisdictions in which we operate have either recently enacted legislation or are in the process of enacting legislation to adopt certain components of the Pillar Two Model Rules beginning in 2024 or in future years. The provisions effective in 2024 and 2025 were not material to our financial position and cash flows.</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cash requirements are to finance the costs of our operations, to fund payments with respect to our indebtedness, to invest in research and development, to acquire complementary businesses or assets, to repurchase shares of our common stock and to pay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paid quarterly cash dividends of $0.25 per share of common stock in March 2025 totaling $61.6 million. We paid quarterly cash dividends of $0.24 per share of common stock in March 2024 totaling $59.7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Client funds obligations include our transfer agency client balances invested overnight, claims administration funds due to our customers, as well as our contractual obligations to remit funds to satisfy client pharmacy claim obligations and are recorded on the Condensed Consolidated Balance Sheet when incurred, generally after a claim has been processed by us. Our contractual obligations to remit funds to satisfy client obligations are primarily sourced by funds held on behalf of clients. We had $4,560.4 million of client funds obligations at March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Cash flows from operating, investing and financing activities, as reflected in our Condensed Consolidated Statements of Cash Flows, are summarized in the following table (in millions):</w:t>
      </w:r>
    </w:p>
    <w:tbl>
      <w:tblPr>
        <w:tblW w:w="10205" w:type="dxa"/>
        <w:jc w:val="left"/>
        <w:tblInd w:w="0" w:type="dxa"/>
        <w:tblLayout w:type="fixed"/>
        <w:tblCellMar>
          <w:top w:w="28" w:type="dxa"/>
          <w:left w:w="28" w:type="dxa"/>
          <w:bottom w:w="28" w:type="dxa"/>
          <w:right w:w="28" w:type="dxa"/>
        </w:tblCellMar>
      </w:tblPr>
      <w:tblGrid>
        <w:gridCol w:w="5270"/>
        <w:gridCol w:w="146"/>
        <w:gridCol w:w="229"/>
        <w:gridCol w:w="758"/>
        <w:gridCol w:w="194"/>
        <w:gridCol w:w="171"/>
        <w:gridCol w:w="229"/>
        <w:gridCol w:w="669"/>
        <w:gridCol w:w="166"/>
        <w:gridCol w:w="146"/>
        <w:gridCol w:w="375"/>
        <w:gridCol w:w="1237"/>
        <w:gridCol w:w="615"/>
      </w:tblGrid>
      <w:tr>
        <w:trPr/>
        <w:tc>
          <w:tcPr>
            <w:tcW w:w="5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5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cash equivalents and restricted cash and cash equivalents provided by (used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From Prior Year</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52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1,771.2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cash equivalents and 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1,148.1</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1,857.9</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$272.2 million for the three months ended March 31, 2025. Cash provided by operating activities primarily resulted from net income of $213.2 million adjusted for non-cash items of $206.3 million, partially offset by changes in our working capital accounts totaling $147.3 million. The changes in our working capital accounts were driven by a decrease in accrued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Investing activities used net cash of $63.3 million for the three months ended March 31, 2025, primarily related to $47.0 million in capitalized software development costs, $12.7 million in capital expenditures and $6.2 million paid for business acquisitions, net of cash acquired, partially offset by the collection of other non-current receivables of $2.5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Financing activities provided net cash of $935.3 million for the three months ended March 31, 2025, primarily representing a net increase in client fund obligations of $1,200.4 million and proceeds of $201.8 million from stock option exercises, offset by $206.9 million of purchases of common stock for treasury, net repayments of debt of $155.0 million, $61.6 million in quarterly dividends paid and $43.4 million in withholding taxes paid related to equity award net share settlements.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made a permanent reinvestment determination in certain non-U.S. operations that have historically generated positive operating cash flows. At March 31, 2025, we held approximately $264.2 million in cash and cash equivalents at non-U.S. subsidiaries where we had made such a determination and in turn no provision for income taxes had been made.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Senior Secured Credit Facilities and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provides a summary of the key terms of our Senior Secured Credit Facilities and Senior Notes:</w:t>
      </w:r>
    </w:p>
    <w:tbl>
      <w:tblPr>
        <w:tblW w:w="8717" w:type="dxa"/>
        <w:jc w:val="left"/>
        <w:tblInd w:w="0" w:type="dxa"/>
        <w:tblLayout w:type="fixed"/>
        <w:tblCellMar>
          <w:top w:w="28" w:type="dxa"/>
          <w:left w:w="28" w:type="dxa"/>
          <w:bottom w:w="28" w:type="dxa"/>
          <w:right w:w="28" w:type="dxa"/>
        </w:tblCellMar>
      </w:tblPr>
      <w:tblGrid>
        <w:gridCol w:w="2806"/>
        <w:gridCol w:w="146"/>
        <w:gridCol w:w="379"/>
        <w:gridCol w:w="1301"/>
        <w:gridCol w:w="146"/>
        <w:gridCol w:w="146"/>
        <w:gridCol w:w="1996"/>
        <w:gridCol w:w="146"/>
        <w:gridCol w:w="165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Outstanding </w:t>
              <w:br/>
              <w:t>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Scheduled Quarterly</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Required</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Senior Secured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B-8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9,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A-9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27, 2029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0.625% (3)</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28,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5.5%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6.5%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the September 2024 Incremental Joinder, scheduled quarterly payments of 0.25% are required. We have made prepayments on our Term B-8 Loans and do not have any principal quarterly payments due until March 2030.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The Term A-9 Loans will mature on the earlier to occur of (1) September 27, 2029 or (2) 91 days prior to the maturity of (x) the 5.5% Senior Notes if more than $150.0 million aggregate principal amount remains outstanding on the 91</w:t>
      </w:r>
      <w:r>
        <w:rPr>
          <w:rFonts w:ascii="Times New Roman" w:hAnsi="Times New Roman"/>
          <w:color w:val="000000"/>
          <w:sz w:val="13"/>
        </w:rPr>
        <w:t>st</w:t>
      </w:r>
      <w:r>
        <w:rPr>
          <w:color w:val="000000"/>
        </w:rPr>
        <w:t xml:space="preserve"> </w:t>
      </w:r>
      <w:r>
        <w:rPr>
          <w:rFonts w:ascii="Times New Roman" w:hAnsi="Times New Roman"/>
          <w:color w:val="000000"/>
          <w:sz w:val="20"/>
        </w:rPr>
        <w:t>day prior to such maturity or (y) the Revolving Credit Facility if more than $150.0 million aggregate principal amount of commitments remain outstanding on the 91</w:t>
      </w:r>
      <w:r>
        <w:rPr>
          <w:rFonts w:ascii="Times New Roman" w:hAnsi="Times New Roman"/>
          <w:color w:val="000000"/>
          <w:sz w:val="13"/>
        </w:rPr>
        <w:t>st</w:t>
      </w:r>
      <w:r>
        <w:rPr>
          <w:color w:val="000000"/>
        </w:rPr>
        <w:t xml:space="preserve"> </w:t>
      </w:r>
      <w:r>
        <w:rPr>
          <w:rFonts w:ascii="Times New Roman" w:hAnsi="Times New Roman"/>
          <w:color w:val="000000"/>
          <w:sz w:val="20"/>
        </w:rPr>
        <w:t>day prior to such maturity, whichever of (x) or (y) comes first.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Scheduled quarterly payment required for the first eight fiscal quarters commencing with the fiscal quarter ending December 31, 2024. The scheduled quarterly payment will increase to 1.250% for each quarter thereafter until the maturity date of the Term A-9 Loans.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senior secured credit facility has a revolving credit facility available for borrowings by SS&amp;C with $600.0 million in available commitments (“Revolving Credit Facility”), of which $597.2 million was available as of March 31, 2025. The Revolving Credit Facility also contains a $75.0 million letter of credit sub-facility, of which $2.8 million was utilized as of March 31,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Debt Terms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obligations under the Term B-8 Loans and Term A-9 Loans are guaranteed by our existing and future wholly-owned domestic restricted subsidiaries (subject to customary exceptions and limitations). The obligations of the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maximum consolidated net secured leverage ratio. The amended senior secured credit facility also contains a financial maintenance covenant for the benefit of the Term A-9 Loans that will require us to maintain a separate maximum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 As of March 31, 2025, we were in compliance with all financial and non-financial covenants.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5.5% Senior Notes are guaranteed, jointly and severally, by SS&amp;C Holdings and all of its existing and future domestic restricted subsidiaries that guarantee our existing senior secured credit facilities or certain other indebtedness. The 5.5% Senior Notes are unsecured senior obligations that are equal in right of payment to all of our existing and future senior unsecured indebtedness. Interest on the 5.5% Senior Notes is payable on March 30 and September 30 of each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any time after March 30, 2025, we may, at our option, redeem some or all of the 5.5% Senior Notes, in whole or in part, at 100% of the principal amount, plus accrued and unpaid interest to the redemption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any time prior to June 1, 2027, we may, at our option, redeem some or all of the 6.5% Senior Notes, in whole or in part, at a price equal to 100% of the principal amount of the 6.5% Senior Notes, plus a “make-whole” premium, plus accrued and unpaid interest, if any, to, the date of redemption. On and after June 1, 2027, we may, at our option, redeem some or all of the 6.5% Senior Notes, in whole or in part, at the redemption prices set forth in the following table, expressed as a percentage of the principal amount, plus accrued and unpaid interest to the redemption date:</w:t>
      </w:r>
    </w:p>
    <w:tbl>
      <w:tblPr>
        <w:tblW w:w="3900" w:type="dxa"/>
        <w:jc w:val="left"/>
        <w:tblInd w:w="0" w:type="dxa"/>
        <w:tblLayout w:type="fixed"/>
        <w:tblCellMar>
          <w:top w:w="28" w:type="dxa"/>
          <w:left w:w="28" w:type="dxa"/>
          <w:bottom w:w="28" w:type="dxa"/>
          <w:right w:w="28" w:type="dxa"/>
        </w:tblCellMar>
      </w:tblPr>
      <w:tblGrid>
        <w:gridCol w:w="2411"/>
        <w:gridCol w:w="146"/>
        <w:gridCol w:w="146"/>
        <w:gridCol w:w="781"/>
        <w:gridCol w:w="416"/>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 or after June 1,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 or after June 1,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June 1, 2029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may also, from time to time in our sole discretion, purchase, redeem, or retire any outstanding 5.5% Senior Notes and 6.5% Senior Notes, through tender offers, in privately negotiated or open market transactions, or otherwise.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indentures governing the 5.5% Senior Notes and 6.5% Senior Notes contain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each of the Senior Notes.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Covenant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Revolving Credit Facility portion of the amended senior secured credit facility,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In addition, the Term A-9 Loans will be subject to a 5.25x consolidated net secured leverage ratio commencing at the fiscal quarter ending December 31, 2024, which will, at our option, increase to 5.75x for four consecutive fiscal quarters following a material permitted acquisition. Our ability to meet either financial ratio can be affected by events beyond our control, and we cannot assure you that we will meet either ratio. Any breach of either financial covenant could result in an event of default under the amended senior secured credit facility. Upon the occurrence of any event of default under the amended senior secured credit facility, the lenders could elect to declare all amounts outstanding under the amended 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 facility. We believe that the inclusion of supplementary adjustments to EBITDA applied in presenting Consolidated EBITDA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appropriate to provide additional information to investors to demonstrate compliance with the specified financial ratio and other financial condition tests contained in the amended senior secured credit facility.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significant interest expense we incur as a result of our debt leverage;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does not reflect the provision of income tax expense in our various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does not reflect any attribution of costs to our operations related to our investments and capital expenditures through depreciation and amortization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cost of compensation we provide to our employees in the form of stock-based awards;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equity in earnings of unconsolidated affiliates;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excludes expenses and income that are permitted to be excluded per the terms of our amended senior secured credit facility, but which others may believe are normal expenses for the operation of a business.</w:t>
      </w:r>
    </w:p>
    <w:p>
      <w:pPr>
        <w:pStyle w:val="TextBody"/>
        <w:bidi w:val="0"/>
        <w:spacing w:before="12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reconciliation of net income to Consolidated EBITDA attributable to SS&amp;C common stockholders as defined in our amended senior secured credit facility.</w:t>
      </w:r>
    </w:p>
    <w:tbl>
      <w:tblPr>
        <w:tblW w:w="10205" w:type="dxa"/>
        <w:jc w:val="left"/>
        <w:tblInd w:w="0" w:type="dxa"/>
        <w:tblLayout w:type="fixed"/>
        <w:tblCellMar>
          <w:top w:w="28" w:type="dxa"/>
          <w:left w:w="28" w:type="dxa"/>
          <w:bottom w:w="28" w:type="dxa"/>
          <w:right w:w="28" w:type="dxa"/>
        </w:tblCellMar>
      </w:tblPr>
      <w:tblGrid>
        <w:gridCol w:w="4685"/>
        <w:gridCol w:w="146"/>
        <w:gridCol w:w="264"/>
        <w:gridCol w:w="689"/>
        <w:gridCol w:w="223"/>
        <w:gridCol w:w="197"/>
        <w:gridCol w:w="264"/>
        <w:gridCol w:w="689"/>
        <w:gridCol w:w="166"/>
        <w:gridCol w:w="146"/>
        <w:gridCol w:w="539"/>
        <w:gridCol w:w="1781"/>
        <w:gridCol w:w="416"/>
      </w:tblGrid>
      <w:tr>
        <w:trPr/>
        <w:tc>
          <w:tcPr>
            <w:tcW w:w="4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March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816.9</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170.8</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685.4</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2,056.8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EBITDA and cost savings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accounting adjustments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ASC 606 adoption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gains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and workforce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related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Consolidated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592.9</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2,341.2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Consolidated EBITDA attributable to noncontrolling interest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Consolidated EBITDA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591.9</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2,337.2</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________________________</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Acquired EBITDA reflects the EBITDA impact of significant businesses that were acquired during the period as if the acquisition occurred at the beginning of the period, as well as cost savings enacted in connection with acquisitions.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 (c) an adjustment to increase or decrease rent expense by the amount that would have been recognized if lease obligations were not adjusted to fair value at the date of acquisitions.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gains includes unrealized fair value adjustments of investments and dividend income received on investments.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Acquisition related includes costs related to both current acquisitions and the resolution of pre-acquisition matters.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includes additional expenses and income that are permitted to be excluded per the terms of our amended senior secured credit facility from Consolidated EBITDA, a financial measure used in calculating our covenant compliance.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 xml:space="preserve">Consolidated EBITDA attributable to noncontrolling interest represents Consolidated EBITDA based on the ownership interest retained by the noncontrolling parties of DomaniRx, our consolidated variable interest entity. </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covenant requirement for consolidated net secured leverage ratio for the benefit of the Revolving Credit Facility and the actual ratio as of March 31, 2025 are as follows:</w:t>
      </w:r>
    </w:p>
    <w:tbl>
      <w:tblPr>
        <w:tblW w:w="6092" w:type="dxa"/>
        <w:jc w:val="left"/>
        <w:tblInd w:w="0" w:type="dxa"/>
        <w:tblLayout w:type="fixed"/>
        <w:tblCellMar>
          <w:top w:w="28" w:type="dxa"/>
          <w:left w:w="28" w:type="dxa"/>
          <w:bottom w:w="28" w:type="dxa"/>
          <w:right w:w="28" w:type="dxa"/>
        </w:tblCellMar>
      </w:tblPr>
      <w:tblGrid>
        <w:gridCol w:w="3961"/>
        <w:gridCol w:w="146"/>
        <w:gridCol w:w="1036"/>
        <w:gridCol w:w="146"/>
        <w:gridCol w:w="146"/>
        <w:gridCol w:w="466"/>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Covenant</w:t>
              <w:br/>
              <w:t>Requirement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br/>
              <w:t>Ratio</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Maximum consolidated net secured leverage to</w:t>
              <w:br/>
              <w:t>   Consolidated EBITDA ratio</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10"/>
        </w:rPr>
      </w:pPr>
      <w:r>
        <w:rPr>
          <w:rFonts w:ascii="Times New Roman" w:hAnsi="Times New Roman"/>
          <w:color w:val="000000"/>
          <w:sz w:val="10"/>
        </w:rPr>
        <w:t>_____________________________________________________</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Calculated as the ratio of consolidated net secured funded indebtedness, net of cash and cash equivalents,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 Accounting Pronouncements Not Yet Effective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Improvements to Income Tax Disclosures (Topic 740)</w:t>
      </w:r>
      <w:r>
        <w:rPr>
          <w:rFonts w:ascii="Times New Roman" w:hAnsi="Times New Roman"/>
          <w:color w:val="000000"/>
          <w:sz w:val="20"/>
        </w:rPr>
        <w:t>. The standard required more enhanced disclosures specifically related to effective tax rate reconciliation and income taxes paid. The new requirements were effective for fiscal years beginning after December 15, 2024, on a prospective basis. We plan to adopt the standard in our consolidated financial statements for the year ending December 31, 2025, and we expect the standard will impact financial statement disclosures only and will not impact our financial position, results of operations or cash flows.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use derivative financial instruments for trading or speculative purposes. We have generally invested our available cash in short-term, highly liquid financial instruments, having initial maturities of three months or less. When necessary, we have borrowed to fund acquisitions.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derive service revenues from investment earnings related to cash balances maintained in bank accounts on which we are the agent for clients. The balances maintained in the bank accounts will fluctuate. For the three months ended March 31, 2025, our average daily cash balances of approximately $2,384.1 million were maintained in such accounts. We estimate that a 100 basis point change in the interest earnings rate would equal approximately $11.9 million of net income, net of income taxes, on an annual basis. The effect of changes in interest rates attributable to earnings derived from cash balances we hold for clients is offset by changes in interest rates on our variable debt.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March 31, 2025, total variable interest rate debt was approximately $4,140.0 million. As of March 31, 2025, a 100 basis point increase in interest rates would result in an increase in interest expense of approximately $41.4 million per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Price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exposure to equity price risk as a result of our investments in equity securities. Equity price risk results from changes in the level or volatility of equity prices which affect the value of equity securities or instruments that derive their value from such securities or indexes. The fair value of our investments that are subject to equity price risk as of March 31, 2025 was approximately $42.0 million. The impact of a 10% change in fair value of these investments would have been approximately $3.1 million to net income, net of income taxes. Changes in equity values of our investments could have a material effect on our results of operations and our financial position.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2025, approximately 32% of our revenues were from clients located outside the United States and approximately 21% of our revenues were from currencies other than the United States dollar. A portion of the revenues from clients located outside the United States is denominated in foreign currencies, the majority being the British pound. While revenues and expenses of our foreign operations are primarily denominated in their respective local currencies, some subsidiaries do enter into certain transactions in currencies that are different from their local currency. These transactions consist primarily of cross-currency intercompany balances and trade receivables and payables. As a result of these transactions, we have exposure to changes in foreign currency exchange rates that result in foreign currency transaction gains and losses, which we report in other income (expense), net. These amounts were not material for the three months ended March 31, 2025. The amount of these balances can fluctuate in the future as we bill customers and buy products or services in currencies other than our functional currency, which could increase our exposure to foreign currency exchange rates. We continue to monitor our exposure to foreign exchange rates because of our acquisitions and changes in our operations. We do not enter into any market risk sensitive instruments for trading purposes.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pStyle w:val="TextBody"/>
        <w:bidi w:val="0"/>
        <w:jc w:val="left"/>
        <w:rPr/>
      </w:pPr>
      <w:r>
        <w:rPr/>
        <w:t> </w:t>
      </w:r>
    </w:p>
    <w:p>
      <w:pPr>
        <w:pStyle w:val="TextBody"/>
        <w:bidi w:val="0"/>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(our principal executive officer and principal financial officer, respectively), evaluated the effectiveness of our disclosure controls and procedures as of March 31, 2025.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2025, our chief executive officer and chief financial officer concluded that, as of such date, our disclosure controls and procedures were effective at the reasonable assurance level.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not been any changes in our internal control over financial reporting (as defined in Rules 13a-15(f) and 15d-15(f) under the Exchange Act) that occurred during the fiscal quarter ended March 31, 2025 that have materially affected, or are reasonably likely to materially affect, our internal control over financial reporting. </w:t>
      </w:r>
    </w:p>
    <w:p>
      <w:pPr>
        <w:pStyle w:val="TextBody"/>
        <w:bidi w:val="0"/>
        <w:jc w:val="left"/>
        <w:rPr/>
      </w:pPr>
      <w:r>
        <w:rPr/>
        <w:t> </w:t>
      </w:r>
    </w:p>
    <w:p>
      <w:pPr>
        <w:pStyle w:val="TextBody"/>
        <w:bidi w:val="0"/>
        <w:spacing w:before="0" w:after="120"/>
        <w:jc w:val="center"/>
        <w:rPr>
          <w:rFonts w:ascii="Times New Roman" w:hAnsi="Times New Roman"/>
          <w:b/>
          <w:color w:val="000000"/>
          <w:sz w:val="20"/>
        </w:rPr>
      </w:pPr>
      <w:bookmarkStart w:id="12" w:name="part_ii_or_information"/>
      <w:bookmarkEnd w:id="12"/>
      <w:r>
        <w:rPr>
          <w:rFonts w:ascii="Times New Roman" w:hAnsi="Times New Roman"/>
          <w:b/>
          <w:color w:val="000000"/>
          <w:sz w:val="20"/>
        </w:rPr>
        <w:t>PART II – OTHER INFORMATION</w:t>
      </w:r>
    </w:p>
    <w:p>
      <w:pPr>
        <w:pStyle w:val="TextBody"/>
        <w:bidi w:val="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regarding certain legal proceedings in which we are involved as set forth in Note 14 – Commitments and Contingencies of the Notes to the Condensed Consolidated Financial Statements (Part I, Item 1 of this Quarterly Report on Form 10-Q) is incorporated by reference into this Item 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we are involved in various other legal proceedings arising in the normal course of our businesses. At this time, we do not believe any material losses under these claims to be probable. While the ultimate outcome of such legal proceedings cannot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predicted with certainty, it is in the opinion of management, after consultation with legal counsel, that the final outcome in such proceedings, in the aggregate, would not have a material adverse effect on our consolidated financial condition, results of operations or cash flows.</w:t>
      </w:r>
    </w:p>
    <w:p>
      <w:pPr>
        <w:pStyle w:val="TextBody"/>
        <w:bidi w:val="0"/>
        <w:jc w:val="left"/>
        <w:rPr/>
      </w:pPr>
      <w:r>
        <w:rPr/>
        <w:t> </w:t>
      </w:r>
    </w:p>
    <w:p>
      <w:pPr>
        <w:pStyle w:val="TextBody"/>
        <w:bidi w:val="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of this report, there have been no material changes to the risk factors we previously disclosed in our Annual Report on Form 10-K for the year ended December 31, 2024.</w:t>
      </w:r>
    </w:p>
    <w:p>
      <w:pPr>
        <w:pStyle w:val="TextBody"/>
        <w:bidi w:val="0"/>
        <w:jc w:val="left"/>
        <w:rPr/>
      </w:pPr>
      <w:r>
        <w:rPr/>
        <w:t> </w:t>
      </w:r>
    </w:p>
    <w:p>
      <w:pPr>
        <w:pStyle w:val="TextBody"/>
        <w:bidi w:val="0"/>
        <w:jc w:val="left"/>
        <w:rPr>
          <w:rFonts w:ascii="Times New Roman" w:hAnsi="Times New Roman"/>
          <w:b/>
          <w:color w:val="000000"/>
          <w:sz w:val="20"/>
        </w:rPr>
      </w:pPr>
      <w:bookmarkStart w:id="15" w:name="item_2_unregistered_sales_of_securities"/>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the repurchases of our common stock in the first quarter of 2025 (in millions, except average price per share):</w:t>
      </w:r>
    </w:p>
    <w:tbl>
      <w:tblPr>
        <w:tblW w:w="10205" w:type="dxa"/>
        <w:jc w:val="left"/>
        <w:tblInd w:w="0" w:type="dxa"/>
        <w:tblLayout w:type="fixed"/>
        <w:tblCellMar>
          <w:top w:w="28" w:type="dxa"/>
          <w:left w:w="28" w:type="dxa"/>
          <w:bottom w:w="28" w:type="dxa"/>
          <w:right w:w="28" w:type="dxa"/>
        </w:tblCellMar>
      </w:tblPr>
      <w:tblGrid>
        <w:gridCol w:w="1461"/>
        <w:gridCol w:w="146"/>
        <w:gridCol w:w="387"/>
        <w:gridCol w:w="960"/>
        <w:gridCol w:w="146"/>
        <w:gridCol w:w="246"/>
        <w:gridCol w:w="311"/>
        <w:gridCol w:w="843"/>
        <w:gridCol w:w="146"/>
        <w:gridCol w:w="146"/>
        <w:gridCol w:w="610"/>
        <w:gridCol w:w="1515"/>
        <w:gridCol w:w="146"/>
        <w:gridCol w:w="246"/>
        <w:gridCol w:w="727"/>
        <w:gridCol w:w="1974"/>
        <w:gridCol w:w="195"/>
      </w:tblGrid>
      <w:tr>
        <w:trPr/>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Total Number of Shares Purchased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br/>
              <w:t>Total Number of Shares Purchased as Part of Publicly Announced Plans or Programs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 </w:t>
              <w:br/>
              <w:t>Maximum Number (or Approximate Dollar Value) of Shares that May Yet be Purchased Under Plans or Programs (3)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2025 –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2025 – February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2025 –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70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(1) Information is based on trade dates of repurchase transactions. </w:t>
      </w:r>
    </w:p>
    <w:p>
      <w:pPr>
        <w:pStyle w:val="TextBody"/>
        <w:bidi w:val="0"/>
        <w:jc w:val="left"/>
        <w:rPr>
          <w:rFonts w:ascii="Times New Roman" w:hAnsi="Times New Roman"/>
          <w:color w:val="000000"/>
          <w:sz w:val="20"/>
        </w:rPr>
      </w:pPr>
      <w:r>
        <w:rPr>
          <w:rFonts w:ascii="Times New Roman" w:hAnsi="Times New Roman"/>
          <w:color w:val="000000"/>
          <w:sz w:val="20"/>
        </w:rPr>
        <w:t>(2) Represents shares repurchased in open market transactions pursuant to our previous common stock repurchase program.</w:t>
      </w:r>
    </w:p>
    <w:p>
      <w:pPr>
        <w:pStyle w:val="TextBody"/>
        <w:bidi w:val="0"/>
        <w:jc w:val="left"/>
        <w:rPr>
          <w:rFonts w:ascii="Times New Roman" w:hAnsi="Times New Roman"/>
          <w:color w:val="000000"/>
          <w:sz w:val="20"/>
        </w:rPr>
      </w:pPr>
      <w:r>
        <w:rPr>
          <w:rFonts w:ascii="Times New Roman" w:hAnsi="Times New Roman"/>
          <w:color w:val="000000"/>
          <w:sz w:val="20"/>
        </w:rPr>
        <w:t xml:space="preserve">(3) Stock repurchases were made pursuant to our previous common stock repurchase program, authorized by our Board of Directors in July 2024. The program allowed for the purchase of up to $1 billion of outstanding common stock in one or more transactions on the open market or in privately negotiated purchases.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listed in the Exhibit Index immediately preceding such exhibits are filed as part of this Report.</w:t>
      </w:r>
    </w:p>
    <w:p>
      <w:pPr>
        <w:pStyle w:val="TextBody"/>
        <w:bidi w:val="0"/>
        <w:jc w:val="left"/>
        <w:rPr/>
      </w:pPr>
      <w:r>
        <w:rPr/>
        <w:t> </w:t>
      </w:r>
    </w:p>
    <w:p>
      <w:pPr>
        <w:pStyle w:val="TextBody"/>
        <w:bidi w:val="0"/>
        <w:jc w:val="center"/>
        <w:rPr>
          <w:rFonts w:ascii="Times New Roman" w:hAnsi="Times New Roman"/>
          <w:b/>
          <w:color w:val="000000"/>
          <w:sz w:val="20"/>
        </w:rPr>
      </w:pPr>
      <w:bookmarkStart w:id="17" w:name="exhibit_index"/>
      <w:bookmarkEnd w:id="17"/>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61"/>
        <w:gridCol w:w="146"/>
        <w:gridCol w:w="9298"/>
      </w:tblGrid>
      <w:tr>
        <w:trPr/>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8" w:type="dxa"/>
            <w:tcBorders/>
            <w:vAlign w:val="center"/>
          </w:tcPr>
          <w:p>
            <w:pPr>
              <w:pStyle w:val="TableContents"/>
              <w:bidi w:val="0"/>
              <w:spacing w:before="0" w:after="283"/>
              <w:jc w:val="left"/>
              <w:rPr>
                <w:sz w:val="4"/>
                <w:szCs w:val="4"/>
              </w:rPr>
            </w:pPr>
            <w:r>
              <w:rPr>
                <w:sz w:val="4"/>
                <w:szCs w:val="4"/>
              </w:rPr>
            </w:r>
          </w:p>
        </w:tc>
      </w:tr>
      <w:tr>
        <w:trPr/>
        <w:tc>
          <w:tcPr>
            <w:tcW w:w="7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8"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Exhibit</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8" w:type="dxa"/>
            <w:tcBorders/>
            <w:tcMar>
              <w:top w:w="0" w:type="dxa"/>
              <w:left w:w="0" w:type="dxa"/>
              <w:bottom w:w="0" w:type="dxa"/>
              <w:right w:w="0" w:type="dxa"/>
            </w:tcMar>
            <w:vAlign w:val="center"/>
          </w:tcPr>
          <w:p>
            <w:pPr>
              <w:pStyle w:val="TableContents"/>
              <w:bidi w:val="0"/>
              <w:spacing w:before="0" w:after="283"/>
              <w:jc w:val="left"/>
              <w:rPr/>
            </w:pPr>
            <w:hyperlink w:anchor="ssnc-ex31_1.htm">
              <w:r>
                <w:rPr>
                  <w:rStyle w:val="InternetLink"/>
                  <w:rFonts w:ascii="Times New Roman" w:hAnsi="Times New Roman"/>
                  <w:color w:val="0000FF"/>
                  <w:sz w:val="20"/>
                  <w:u w:val="single"/>
                </w:rPr>
                <w:t>Certification of the Registrant’s Chief Executive Officer pursuant to Section 302 of the Sarbanes-Oxley Act of 2002*</w:t>
              </w:r>
            </w:hyperlink>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94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8" w:type="dxa"/>
            <w:tcBorders/>
            <w:tcMar>
              <w:top w:w="0" w:type="dxa"/>
              <w:left w:w="0" w:type="dxa"/>
              <w:bottom w:w="0" w:type="dxa"/>
              <w:right w:w="0" w:type="dxa"/>
            </w:tcMar>
            <w:vAlign w:val="center"/>
          </w:tcPr>
          <w:p>
            <w:pPr>
              <w:pStyle w:val="TableContents"/>
              <w:bidi w:val="0"/>
              <w:spacing w:before="0" w:after="283"/>
              <w:jc w:val="left"/>
              <w:rPr/>
            </w:pPr>
            <w:hyperlink w:anchor="ssnc-ex31_2.htm">
              <w:r>
                <w:rPr>
                  <w:rStyle w:val="InternetLink"/>
                  <w:rFonts w:ascii="Times New Roman" w:hAnsi="Times New Roman"/>
                  <w:color w:val="0000FF"/>
                  <w:sz w:val="20"/>
                  <w:u w:val="single"/>
                </w:rPr>
                <w:t>Certification of the Registrant’s Chief Financial Officer pursuant to Section 302 of the Sarbanes-Oxley Act of 2002*</w:t>
              </w:r>
            </w:hyperlink>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94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8" w:type="dxa"/>
            <w:tcBorders/>
            <w:tcMar>
              <w:top w:w="0" w:type="dxa"/>
              <w:left w:w="0" w:type="dxa"/>
              <w:bottom w:w="0" w:type="dxa"/>
              <w:right w:w="0" w:type="dxa"/>
            </w:tcMar>
            <w:vAlign w:val="center"/>
          </w:tcPr>
          <w:p>
            <w:pPr>
              <w:pStyle w:val="TableContents"/>
              <w:bidi w:val="0"/>
              <w:spacing w:before="0" w:after="283"/>
              <w:jc w:val="left"/>
              <w:rPr/>
            </w:pPr>
            <w:hyperlink w:anchor="ssnc-ex32.htm">
              <w:r>
                <w:rPr>
                  <w:rStyle w:val="InternetLink"/>
                  <w:rFonts w:ascii="Times New Roman" w:hAnsi="Times New Roman"/>
                  <w:color w:val="0000FF"/>
                  <w:sz w:val="20"/>
                  <w:u w:val="single"/>
                </w:rPr>
                <w:t>Certification of the Registrant’s Chief Executive Officer and Chief Financial Officer pursuant to 18 U.S.C. Section 1350, as adopted pursuant to Section 906 of the Sarbanes-Oxley Act of 2002 (furnished and not filed for purposes of sections 11 or 12 of the Securities Act and section 18 of the Exchange Act)*</w:t>
              </w:r>
            </w:hyperlink>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94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94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94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Calculation Linkbase Document.*</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94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Label Linkbase Document.*</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94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Presentation Linkbase Document.*</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94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
      <w:bookmarkEnd w:id="18"/>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351" w:type="dxa"/>
        <w:jc w:val="left"/>
        <w:tblInd w:w="0" w:type="dxa"/>
        <w:tblLayout w:type="fixed"/>
        <w:tblCellMar>
          <w:top w:w="28" w:type="dxa"/>
          <w:left w:w="28" w:type="dxa"/>
          <w:bottom w:w="28" w:type="dxa"/>
          <w:right w:w="28" w:type="dxa"/>
        </w:tblCellMar>
      </w:tblPr>
      <w:tblGrid>
        <w:gridCol w:w="421"/>
        <w:gridCol w:w="109"/>
        <w:gridCol w:w="5821"/>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1" w:type="dxa"/>
            <w:tcBorders/>
            <w:vAlign w:val="center"/>
          </w:tcPr>
          <w:p>
            <w:pPr>
              <w:pStyle w:val="TableContents"/>
              <w:bidi w:val="0"/>
              <w:spacing w:before="0" w:after="283"/>
              <w:jc w:val="left"/>
              <w:rPr>
                <w:sz w:val="4"/>
                <w:szCs w:val="4"/>
              </w:rPr>
            </w:pPr>
            <w:r>
              <w:rPr>
                <w:sz w:val="4"/>
                <w:szCs w:val="4"/>
              </w:rPr>
            </w:r>
          </w:p>
        </w:tc>
      </w:tr>
      <w:tr>
        <w:trPr/>
        <w:tc>
          <w:tcPr>
            <w:tcW w:w="635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HOLDINGS,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N. Schell</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Brian N. Schell</w:t>
            </w:r>
          </w:p>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(Duly Authorized Officer, Principal Financial and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April 30,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bookmarkStart w:id="19" w:name="ssnc-ex31_1.htm"/>
      <w:bookmarkStart w:id="20" w:name="ksssncex31_1"/>
      <w:bookmarkEnd w:id="19"/>
      <w:bookmarkEnd w:id="2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William C. Stone,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SS&amp;C Technologies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283" w:type="dxa"/>
        <w:jc w:val="left"/>
        <w:tblInd w:w="0" w:type="dxa"/>
        <w:tblLayout w:type="fixed"/>
        <w:tblCellMar>
          <w:top w:w="28" w:type="dxa"/>
          <w:left w:w="28" w:type="dxa"/>
          <w:bottom w:w="28" w:type="dxa"/>
          <w:right w:w="28" w:type="dxa"/>
        </w:tblCellMar>
      </w:tblPr>
      <w:tblGrid>
        <w:gridCol w:w="1786"/>
        <w:gridCol w:w="146"/>
        <w:gridCol w:w="435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C. Stone</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 Stone</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Chairman of the Board and Chief Executive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ssnc-ex31_2.htm"/>
      <w:bookmarkStart w:id="22" w:name="ksssncex31_2"/>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Brian N. Schell,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SS&amp;C Technologies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373" w:type="dxa"/>
        <w:jc w:val="left"/>
        <w:tblInd w:w="0" w:type="dxa"/>
        <w:tblLayout w:type="fixed"/>
        <w:tblCellMar>
          <w:top w:w="28" w:type="dxa"/>
          <w:left w:w="28" w:type="dxa"/>
          <w:bottom w:w="28" w:type="dxa"/>
          <w:right w:w="28" w:type="dxa"/>
        </w:tblCellMar>
      </w:tblPr>
      <w:tblGrid>
        <w:gridCol w:w="1786"/>
        <w:gridCol w:w="146"/>
        <w:gridCol w:w="444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April 30, 2025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Brian N. Schell</w:t>
            </w:r>
          </w:p>
        </w:tc>
      </w:tr>
      <w:tr>
        <w:trPr/>
        <w:tc>
          <w:tcPr>
            <w:tcW w:w="17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Brian N. Schell</w:t>
            </w:r>
          </w:p>
        </w:tc>
      </w:tr>
      <w:tr>
        <w:trPr/>
        <w:tc>
          <w:tcPr>
            <w:tcW w:w="17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ssnc-ex32.htm"/>
      <w:bookmarkStart w:id="24" w:name="ksssncex3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SS&amp;C Technologies Holdings, Inc. (the “Company”) for the period ended March 31, 2025 as filed with the Securities and Exchange Commission on the date hereof (the “Report”), the undersigned officers of the Company hereby certify to their knowledge, pursuant to 18 U.S.C. Section 1350,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6790" w:type="dxa"/>
        <w:jc w:val="left"/>
        <w:tblInd w:w="0" w:type="dxa"/>
        <w:tblLayout w:type="fixed"/>
        <w:tblCellMar>
          <w:top w:w="28" w:type="dxa"/>
          <w:left w:w="28" w:type="dxa"/>
          <w:bottom w:w="28" w:type="dxa"/>
          <w:right w:w="28" w:type="dxa"/>
        </w:tblCellMar>
      </w:tblPr>
      <w:tblGrid>
        <w:gridCol w:w="1786"/>
        <w:gridCol w:w="146"/>
        <w:gridCol w:w="406"/>
        <w:gridCol w:w="146"/>
        <w:gridCol w:w="430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C. Stone</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 Stone</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Chairman of the Board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tbl>
      <w:tblPr>
        <w:tblW w:w="6925" w:type="dxa"/>
        <w:jc w:val="left"/>
        <w:tblInd w:w="0" w:type="dxa"/>
        <w:tblLayout w:type="fixed"/>
        <w:tblCellMar>
          <w:top w:w="28" w:type="dxa"/>
          <w:left w:w="28" w:type="dxa"/>
          <w:bottom w:w="28" w:type="dxa"/>
          <w:right w:w="28" w:type="dxa"/>
        </w:tblCellMar>
      </w:tblPr>
      <w:tblGrid>
        <w:gridCol w:w="1786"/>
        <w:gridCol w:w="146"/>
        <w:gridCol w:w="406"/>
        <w:gridCol w:w="146"/>
        <w:gridCol w:w="444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N. Schell</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N. Schell</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13850</Words>
  <Characters>76854</Characters>
  <CharactersWithSpaces>91794</CharactersWithSpaces>
  <Paragraphs>4940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