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2" w:lineRule="exact"/>
        <w:rPr>
          <w:sz w:val="24"/>
          <w:szCs w:val="24"/>
          <w:color w:val="auto"/>
        </w:rPr>
      </w:pPr>
    </w:p>
    <w:p>
      <w:pPr>
        <w:ind w:left="2480" w:hanging="211"/>
        <w:spacing w:after="0"/>
        <w:tabs>
          <w:tab w:leader="none" w:pos="2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QUARTERLY REPORT PURSUANT TO SECTION 13 OR 15(d) OF THE</w:t>
      </w:r>
    </w:p>
    <w:p>
      <w:pPr>
        <w:spacing w:after="0" w:line="25"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-307975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40" w:lineRule="exact"/>
        <w:rPr>
          <w:sz w:val="24"/>
          <w:szCs w:val="24"/>
          <w:color w:val="auto"/>
        </w:rPr>
      </w:pPr>
    </w:p>
    <w:p>
      <w:pPr>
        <w:ind w:left="2480" w:hanging="211"/>
        <w:spacing w:after="0"/>
        <w:tabs>
          <w:tab w:leader="none" w:pos="2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TRANSITION REPORT PURSUANT TO SECTION 13 OR 15(d) OF THE</w:t>
      </w:r>
    </w:p>
    <w:p>
      <w:pPr>
        <w:spacing w:after="0" w:line="25"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SECURITIES EXCHANGE ACT OF 1934</w:t>
      </w:r>
    </w:p>
    <w:p>
      <w:pPr>
        <w:spacing w:after="0" w:line="113" w:lineRule="exact"/>
        <w:rPr>
          <w:sz w:val="24"/>
          <w:szCs w:val="24"/>
          <w:color w:val="auto"/>
        </w:rPr>
      </w:pPr>
    </w:p>
    <w:p>
      <w:pPr>
        <w:ind w:left="40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66040</wp:posOffset>
            </wp:positionV>
            <wp:extent cx="1885950" cy="1097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SS&amp;C TECHNOLOGIES HOLDINGS, INC.</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p>
      <w:pPr>
        <w:spacing w:after="0" w:line="228"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71-0987913</w:t>
      </w:r>
    </w:p>
    <w:p>
      <w:pPr>
        <w:spacing w:after="0" w:line="54" w:lineRule="exact"/>
        <w:rPr>
          <w:sz w:val="24"/>
          <w:szCs w:val="24"/>
          <w:color w:val="auto"/>
        </w:rPr>
      </w:pPr>
    </w:p>
    <w:p>
      <w:pPr>
        <w:sectPr>
          <w:pgSz w:w="11900" w:h="16838" w:orient="portrait"/>
          <w:cols w:equalWidth="0" w:num="2">
            <w:col w:w="7340" w:space="720"/>
            <w:col w:w="3120"/>
          </w:cols>
          <w:pgMar w:left="320" w:top="1307" w:right="39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9"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3" w:lineRule="exact"/>
        <w:rPr>
          <w:sz w:val="24"/>
          <w:szCs w:val="24"/>
          <w:color w:val="auto"/>
        </w:rPr>
      </w:pPr>
    </w:p>
    <w:p>
      <w:pPr>
        <w:sectPr>
          <w:pgSz w:w="11900" w:h="16838" w:orient="portrait"/>
          <w:cols w:equalWidth="0" w:num="2">
            <w:col w:w="7340" w:space="720"/>
            <w:col w:w="3120"/>
          </w:cols>
          <w:pgMar w:left="320" w:top="1307" w:right="399" w:bottom="1440" w:gutter="0" w:footer="0" w:header="0"/>
          <w:type w:val="continuous"/>
        </w:sectPr>
      </w:pPr>
    </w:p>
    <w:p>
      <w:pPr>
        <w:ind w:left="5000"/>
        <w:spacing w:after="0"/>
        <w:rPr>
          <w:sz w:val="20"/>
          <w:szCs w:val="20"/>
          <w:color w:val="auto"/>
        </w:rPr>
      </w:pPr>
      <w:r>
        <w:rPr>
          <w:rFonts w:ascii="Times New Roman" w:cs="Times New Roman" w:eastAsia="Times New Roman" w:hAnsi="Times New Roman"/>
          <w:sz w:val="14"/>
          <w:szCs w:val="14"/>
          <w:b w:val="1"/>
          <w:bCs w:val="1"/>
          <w:color w:val="auto"/>
        </w:rPr>
        <w:t>80 Lamberton Road</w:t>
      </w:r>
    </w:p>
    <w:p>
      <w:pPr>
        <w:ind w:left="5020"/>
        <w:spacing w:after="0" w:line="228" w:lineRule="auto"/>
        <w:rPr>
          <w:sz w:val="20"/>
          <w:szCs w:val="20"/>
          <w:color w:val="auto"/>
        </w:rPr>
      </w:pPr>
      <w:r>
        <w:rPr>
          <w:rFonts w:ascii="Times New Roman" w:cs="Times New Roman" w:eastAsia="Times New Roman" w:hAnsi="Times New Roman"/>
          <w:sz w:val="14"/>
          <w:szCs w:val="14"/>
          <w:b w:val="1"/>
          <w:bCs w:val="1"/>
          <w:color w:val="auto"/>
        </w:rPr>
        <w:t>Windsor, CT 06095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860-298-4500</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type w:val="continuous"/>
        </w:sectPr>
      </w:pPr>
    </w:p>
    <w:p>
      <w:pPr>
        <w:spacing w:after="0" w:line="163" w:lineRule="exact"/>
        <w:rPr>
          <w:sz w:val="24"/>
          <w:szCs w:val="24"/>
          <w:color w:val="auto"/>
        </w:rPr>
      </w:pPr>
    </w:p>
    <w:p>
      <w:pPr>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6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22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06"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6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Trading Symbol</w:t>
            </w:r>
          </w:p>
        </w:tc>
        <w:tc>
          <w:tcPr>
            <w:tcW w:w="28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94"/>
        </w:trPr>
        <w:tc>
          <w:tcPr>
            <w:tcW w:w="29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SSNC</w:t>
            </w:r>
          </w:p>
        </w:tc>
        <w:tc>
          <w:tcPr>
            <w:tcW w:w="3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6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247,323,277 shares of the registrant’s common stock outstanding as of April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SS&amp;C TECHNOLOGIES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31"/>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1. FINANCIAL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2024 and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6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00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00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00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60" w:type="dxa"/>
            <w:vAlign w:val="bottom"/>
            <w:gridSpan w:val="10"/>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100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92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92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2023, filed with the Securities and Exchange Commission on February 28, 2024,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8"/>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Funds receivable and funds held on behalf of clients</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$27.4 and $25.1, respectively</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879.9</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assets</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3,507.6</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 (Note 2)</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(Note 3)</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Unconsolidated affiliates (Note 4)</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 (Note 5)</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8,933.2</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8,969.5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and other assets, net of accumulated amortization of $4,203.6 and $4,063.4, respectively</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3,801.8</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17,386.8</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18,102.5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77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portion of long-term debt (Note 6)</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Client funds obligations</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taxes payable</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employee compensation and benefits</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payable</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accrued expenses</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revenues</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3,072.8</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 (Note 6)</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6,593.5</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779.9</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10,894.1</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 (Note 7):</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Preferred stock, $0.01 par value per share, 5.0 million shares authorized; no shares issued</w:t>
            </w:r>
          </w:p>
        </w:tc>
        <w:tc>
          <w:tcPr>
            <w:tcW w:w="2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77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non-voting common stock, $0.01 par value per share, 5.0 million shares authorized;</w:t>
            </w:r>
          </w:p>
        </w:tc>
        <w:tc>
          <w:tcPr>
            <w:tcW w:w="280" w:type="dxa"/>
            <w:vAlign w:val="bottom"/>
          </w:tcPr>
          <w:p>
            <w:pPr>
              <w:spacing w:after="0"/>
              <w:rPr>
                <w:sz w:val="12"/>
                <w:szCs w:val="12"/>
                <w:color w:val="auto"/>
              </w:rPr>
            </w:pPr>
          </w:p>
        </w:tc>
        <w:tc>
          <w:tcPr>
            <w:tcW w:w="16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 shares issued</w:t>
            </w:r>
          </w:p>
        </w:tc>
        <w:tc>
          <w:tcPr>
            <w:tcW w:w="2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$0.01 par value per share, 400.0 million shares authorized; 277.3 million shares and 275.9 million shares</w:t>
            </w:r>
          </w:p>
        </w:tc>
        <w:tc>
          <w:tcPr>
            <w:tcW w:w="28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issued, respectively, and 247.2 million shares and 246.6 million shares outstanding, respectively</w:t>
            </w:r>
          </w:p>
        </w:tc>
        <w:tc>
          <w:tcPr>
            <w:tcW w:w="280" w:type="dxa"/>
            <w:vAlign w:val="bottom"/>
            <w:shd w:val="clear" w:color="auto" w:fill="CFF0FC"/>
          </w:tcPr>
          <w:p>
            <w:pPr>
              <w:spacing w:after="0"/>
              <w:rPr>
                <w:sz w:val="16"/>
                <w:szCs w:val="16"/>
                <w:color w:val="auto"/>
              </w:rPr>
            </w:pPr>
          </w:p>
        </w:tc>
        <w:tc>
          <w:tcPr>
            <w:tcW w:w="1280" w:type="dxa"/>
            <w:vAlign w:val="bottom"/>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5,468.2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(473.9 )</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(426.3 )</w:t>
            </w: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Retained earnings</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Cost of common stock in treasury, 30.1 and 29.3 million shares, respectively</w:t>
            </w:r>
          </w:p>
        </w:tc>
        <w:tc>
          <w:tcPr>
            <w:tcW w:w="2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(1,787.1 )</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(1,734.2 )</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Total SS&amp;C stockholders’ equity</w:t>
            </w: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6,434.2</w:t>
            </w:r>
          </w:p>
        </w:tc>
        <w:tc>
          <w:tcPr>
            <w:tcW w:w="3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6,339.6</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Noncontrolling interest (Note 8)</w:t>
            </w:r>
          </w:p>
        </w:tc>
        <w:tc>
          <w:tcPr>
            <w:tcW w:w="2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6,492.7</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17,386.8</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18,102.5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-3522345</wp:posOffset>
            </wp:positionV>
            <wp:extent cx="77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-3505200</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-1816735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-264795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4600"/>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COMPREHENSIVE INCOME </w:t>
      </w:r>
      <w:r>
        <w:rPr>
          <w:rFonts w:ascii="Times New Roman" w:cs="Times New Roman" w:eastAsia="Times New Roman" w:hAnsi="Times New Roman"/>
          <w:sz w:val="14"/>
          <w:szCs w:val="14"/>
          <w:b w:val="1"/>
          <w:bCs w:val="1"/>
          <w:color w:val="auto"/>
        </w:rPr>
        <w:t>(In millions, except per share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80" w:type="dxa"/>
            <w:vAlign w:val="bottom"/>
          </w:tcPr>
          <w:p>
            <w:pPr>
              <w:spacing w:after="0"/>
              <w:rPr>
                <w:sz w:val="14"/>
                <w:szCs w:val="14"/>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tc>
        <w:tc>
          <w:tcPr>
            <w:tcW w:w="1140" w:type="dxa"/>
            <w:vAlign w:val="bottom"/>
            <w:shd w:val="clear" w:color="auto" w:fill="CFF0FC"/>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1,187.7</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1,114.2</w:t>
            </w:r>
          </w:p>
        </w:tc>
        <w:tc>
          <w:tcPr>
            <w:tcW w:w="100" w:type="dxa"/>
            <w:vAlign w:val="bottom"/>
            <w:shd w:val="clear" w:color="auto" w:fill="CFF0FC"/>
          </w:tcPr>
          <w:p>
            <w:pPr>
              <w:spacing w:after="0"/>
              <w:rPr>
                <w:sz w:val="20"/>
                <w:szCs w:val="20"/>
                <w:color w:val="auto"/>
              </w:rPr>
            </w:pPr>
          </w:p>
        </w:tc>
      </w:tr>
      <w:tr>
        <w:trPr>
          <w:trHeight w:val="227"/>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2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100" w:type="dxa"/>
            <w:vAlign w:val="bottom"/>
          </w:tcPr>
          <w:p>
            <w:pPr>
              <w:spacing w:after="0"/>
              <w:rPr>
                <w:sz w:val="19"/>
                <w:szCs w:val="19"/>
                <w:color w:val="auto"/>
              </w:rPr>
            </w:pPr>
          </w:p>
        </w:tc>
      </w:tr>
      <w:tr>
        <w:trPr>
          <w:trHeight w:val="223"/>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1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1,435.0</w:t>
            </w:r>
          </w:p>
        </w:tc>
        <w:tc>
          <w:tcPr>
            <w:tcW w:w="2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100" w:type="dxa"/>
            <w:vAlign w:val="bottom"/>
            <w:shd w:val="clear" w:color="auto" w:fill="CFF0FC"/>
          </w:tcPr>
          <w:p>
            <w:pPr>
              <w:spacing w:after="0"/>
              <w:rPr>
                <w:sz w:val="20"/>
                <w:szCs w:val="20"/>
                <w:color w:val="auto"/>
              </w:rPr>
            </w:pPr>
          </w:p>
        </w:tc>
      </w:tr>
      <w:tr>
        <w:trPr>
          <w:trHeight w:val="227"/>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2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Pr>
          <w:p>
            <w:pPr>
              <w:spacing w:after="0"/>
              <w:rPr>
                <w:sz w:val="19"/>
                <w:szCs w:val="19"/>
                <w:color w:val="auto"/>
              </w:rPr>
            </w:pPr>
          </w:p>
        </w:tc>
      </w:tr>
      <w:tr>
        <w:trPr>
          <w:trHeight w:val="223"/>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cost of revenues</w:t>
            </w:r>
          </w:p>
        </w:tc>
        <w:tc>
          <w:tcPr>
            <w:tcW w:w="1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2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707.2</w:t>
            </w:r>
          </w:p>
        </w:tc>
        <w:tc>
          <w:tcPr>
            <w:tcW w:w="2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100" w:type="dxa"/>
            <w:vAlign w:val="bottom"/>
          </w:tcPr>
          <w:p>
            <w:pPr>
              <w:spacing w:after="0"/>
              <w:rPr>
                <w:sz w:val="19"/>
                <w:szCs w:val="19"/>
                <w:color w:val="auto"/>
              </w:rPr>
            </w:pPr>
          </w:p>
        </w:tc>
      </w:tr>
      <w:tr>
        <w:trPr>
          <w:trHeight w:val="22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and marketing</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shd w:val="clear" w:color="auto" w:fill="CFF0FC"/>
          </w:tcPr>
          <w:p>
            <w:pPr>
              <w:spacing w:after="0"/>
              <w:rPr>
                <w:sz w:val="20"/>
                <w:szCs w:val="20"/>
                <w:color w:val="auto"/>
              </w:rPr>
            </w:pPr>
          </w:p>
        </w:tc>
      </w:tr>
      <w:tr>
        <w:trPr>
          <w:trHeight w:val="227"/>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Pr>
          <w:p>
            <w:pPr>
              <w:spacing w:after="0"/>
              <w:rPr>
                <w:sz w:val="19"/>
                <w:szCs w:val="19"/>
                <w:color w:val="auto"/>
              </w:rPr>
            </w:pPr>
          </w:p>
        </w:tc>
      </w:tr>
      <w:tr>
        <w:trPr>
          <w:trHeight w:val="223"/>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2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tcPr>
          <w:p>
            <w:pPr>
              <w:spacing w:after="0"/>
              <w:rPr>
                <w:sz w:val="18"/>
                <w:szCs w:val="18"/>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(116.0 )</w:t>
            </w:r>
          </w:p>
        </w:tc>
        <w:tc>
          <w:tcPr>
            <w:tcW w:w="1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(111.9 )</w:t>
            </w: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FF0FC"/>
          </w:tcPr>
          <w:p>
            <w:pPr>
              <w:spacing w:after="0"/>
              <w:rPr>
                <w:sz w:val="20"/>
                <w:szCs w:val="20"/>
                <w:color w:val="auto"/>
              </w:rPr>
            </w:pPr>
          </w:p>
        </w:tc>
      </w:tr>
      <w:tr>
        <w:trPr>
          <w:trHeight w:val="227"/>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(1.1 )</w:t>
            </w:r>
          </w:p>
        </w:tc>
        <w:tc>
          <w:tcPr>
            <w:tcW w:w="1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(0.6 )</w:t>
            </w:r>
          </w:p>
        </w:tc>
      </w:tr>
      <w:tr>
        <w:trPr>
          <w:trHeight w:val="22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260" w:type="dxa"/>
            <w:vAlign w:val="bottom"/>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shd w:val="clear" w:color="auto" w:fill="CFF0FC"/>
          </w:tcPr>
          <w:p>
            <w:pPr>
              <w:spacing w:after="0"/>
              <w:rPr>
                <w:sz w:val="19"/>
                <w:szCs w:val="19"/>
                <w:color w:val="auto"/>
              </w:rPr>
            </w:pPr>
          </w:p>
        </w:tc>
      </w:tr>
      <w:tr>
        <w:trPr>
          <w:trHeight w:val="227"/>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2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9"/>
                <w:szCs w:val="19"/>
                <w:color w:val="auto"/>
              </w:rPr>
            </w:pPr>
          </w:p>
        </w:tc>
      </w:tr>
      <w:tr>
        <w:trPr>
          <w:trHeight w:val="22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shd w:val="clear" w:color="auto" w:fill="CFF0FC"/>
          </w:tcPr>
          <w:p>
            <w:pPr>
              <w:spacing w:after="0"/>
              <w:rPr>
                <w:sz w:val="19"/>
                <w:szCs w:val="19"/>
                <w:color w:val="auto"/>
              </w:rPr>
            </w:pPr>
          </w:p>
        </w:tc>
      </w:tr>
      <w:tr>
        <w:trPr>
          <w:trHeight w:val="227"/>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1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(0.4 )</w:t>
            </w:r>
          </w:p>
        </w:tc>
        <w:tc>
          <w:tcPr>
            <w:tcW w:w="1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r>
      <w:tr>
        <w:trPr>
          <w:trHeight w:val="263"/>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SS&amp;C common stockholders</w:t>
            </w:r>
          </w:p>
        </w:tc>
        <w:tc>
          <w:tcPr>
            <w:tcW w:w="1140" w:type="dxa"/>
            <w:vAlign w:val="bottom"/>
            <w:tcBorders>
              <w:top w:val="single" w:sz="8" w:color="auto"/>
              <w:bottom w:val="single" w:sz="8" w:color="auto"/>
            </w:tcBorders>
            <w:shd w:val="clear" w:color="auto" w:fill="CFF0FC"/>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2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top w:val="single" w:sz="8" w:color="auto"/>
              <w:bottom w:val="single" w:sz="8" w:color="auto"/>
            </w:tcBorders>
            <w:shd w:val="clear" w:color="auto" w:fill="CFF0FC"/>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3"/>
        </w:trPr>
        <w:tc>
          <w:tcPr>
            <w:tcW w:w="7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 per share attributable to SS&amp;C common stockholders</w:t>
            </w:r>
          </w:p>
        </w:tc>
        <w:tc>
          <w:tcPr>
            <w:tcW w:w="1140" w:type="dxa"/>
            <w:vAlign w:val="bottom"/>
            <w:shd w:val="clear" w:color="auto" w:fill="CFF0FC"/>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FF0FC"/>
          </w:tcPr>
          <w:p>
            <w:pPr>
              <w:spacing w:after="0"/>
              <w:rPr>
                <w:sz w:val="19"/>
                <w:szCs w:val="19"/>
                <w:color w:val="auto"/>
              </w:rPr>
            </w:pP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attributable to SS&amp;C common stockholders</w:t>
            </w:r>
          </w:p>
        </w:tc>
        <w:tc>
          <w:tcPr>
            <w:tcW w:w="1140" w:type="dxa"/>
            <w:vAlign w:val="bottom"/>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260" w:type="dxa"/>
            <w:vAlign w:val="bottom"/>
          </w:tcPr>
          <w:p>
            <w:pPr>
              <w:spacing w:after="0"/>
              <w:rPr>
                <w:sz w:val="19"/>
                <w:szCs w:val="19"/>
                <w:color w:val="auto"/>
              </w:rPr>
            </w:pPr>
          </w:p>
        </w:tc>
        <w:tc>
          <w:tcPr>
            <w:tcW w:w="1120" w:type="dxa"/>
            <w:vAlign w:val="bottom"/>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weighted-average number of common shares outstanding</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weighted-average number of common and common equivalent shares outstanding</w:t>
            </w: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00" w:type="dxa"/>
            <w:vAlign w:val="bottom"/>
            <w:shd w:val="clear" w:color="auto" w:fill="CFF0FC"/>
          </w:tcPr>
          <w:p>
            <w:pPr>
              <w:spacing w:after="0"/>
              <w:rPr>
                <w:sz w:val="20"/>
                <w:szCs w:val="20"/>
                <w:color w:val="auto"/>
              </w:rPr>
            </w:pPr>
          </w:p>
        </w:tc>
      </w:tr>
      <w:tr>
        <w:trPr>
          <w:trHeight w:val="230"/>
        </w:trPr>
        <w:tc>
          <w:tcPr>
            <w:tcW w:w="7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FF0FC"/>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shd w:val="clear" w:color="auto" w:fill="CFF0FC"/>
          </w:tcPr>
          <w:p>
            <w:pPr>
              <w:spacing w:after="0"/>
              <w:rPr>
                <w:sz w:val="19"/>
                <w:szCs w:val="19"/>
                <w:color w:val="auto"/>
              </w:rPr>
            </w:pPr>
          </w:p>
        </w:tc>
      </w:tr>
      <w:tr>
        <w:trPr>
          <w:trHeight w:val="23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11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(47.6 )</w:t>
            </w:r>
          </w:p>
        </w:tc>
        <w:tc>
          <w:tcPr>
            <w:tcW w:w="1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FF0FC"/>
          </w:tcPr>
          <w:p>
            <w:pPr>
              <w:spacing w:after="0"/>
              <w:rPr>
                <w:sz w:val="21"/>
                <w:szCs w:val="21"/>
                <w:color w:val="auto"/>
              </w:rPr>
            </w:pPr>
          </w:p>
        </w:tc>
      </w:tr>
      <w:tr>
        <w:trPr>
          <w:trHeight w:val="226"/>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defined benefit pension obligation</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r>
      <w:tr>
        <w:trPr>
          <w:trHeight w:val="223"/>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 income, net of tax</w:t>
            </w:r>
          </w:p>
        </w:tc>
        <w:tc>
          <w:tcPr>
            <w:tcW w:w="1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(47.6 )</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FF0FC"/>
          </w:tcPr>
          <w:p>
            <w:pPr>
              <w:spacing w:after="0"/>
              <w:rPr>
                <w:sz w:val="19"/>
                <w:szCs w:val="19"/>
                <w:color w:val="auto"/>
              </w:rPr>
            </w:pPr>
          </w:p>
        </w:tc>
      </w:tr>
      <w:tr>
        <w:trPr>
          <w:trHeight w:val="230"/>
        </w:trPr>
        <w:tc>
          <w:tcPr>
            <w:tcW w:w="7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260" w:type="dxa"/>
            <w:vAlign w:val="bottom"/>
            <w:tcBorders>
              <w:top w:val="single" w:sz="8" w:color="CFF0FC"/>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tcBorders>
              <w:top w:val="single" w:sz="8" w:color="CFF0FC"/>
            </w:tcBorders>
          </w:tcPr>
          <w:p>
            <w:pPr>
              <w:spacing w:after="0"/>
              <w:rPr>
                <w:sz w:val="19"/>
                <w:szCs w:val="19"/>
                <w:color w:val="auto"/>
              </w:rPr>
            </w:pPr>
          </w:p>
        </w:tc>
      </w:tr>
      <w:tr>
        <w:trPr>
          <w:trHeight w:val="23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1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(0.4 )</w:t>
            </w:r>
          </w:p>
        </w:tc>
        <w:tc>
          <w:tcPr>
            <w:tcW w:w="1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r>
      <w:tr>
        <w:trPr>
          <w:trHeight w:val="223"/>
        </w:trPr>
        <w:tc>
          <w:tcPr>
            <w:tcW w:w="7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SS&amp;C common stockholders</w:t>
            </w:r>
          </w:p>
        </w:tc>
        <w:tc>
          <w:tcPr>
            <w:tcW w:w="1140" w:type="dxa"/>
            <w:vAlign w:val="bottom"/>
            <w:tcBorders>
              <w:top w:val="single" w:sz="8" w:color="auto"/>
              <w:bottom w:val="single" w:sz="8" w:color="auto"/>
            </w:tcBorders>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60" w:type="dxa"/>
            <w:vAlign w:val="bottom"/>
            <w:tcBorders>
              <w:top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tcBorders>
              <w:top w:val="single" w:sz="8" w:color="CFF0FC"/>
            </w:tcBorders>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-5280025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-5280025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-4679950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-3779520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-2287905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-2270760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-487680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-179070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40" w:type="dxa"/>
            <w:vAlign w:val="bottom"/>
          </w:tcPr>
          <w:p>
            <w:pPr>
              <w:spacing w:after="0"/>
              <w:rPr>
                <w:sz w:val="14"/>
                <w:szCs w:val="14"/>
                <w:color w:val="auto"/>
              </w:rPr>
            </w:pPr>
          </w:p>
        </w:tc>
        <w:tc>
          <w:tcPr>
            <w:tcW w:w="11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16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(2.3 )</w:t>
            </w:r>
          </w:p>
        </w:tc>
        <w:tc>
          <w:tcPr>
            <w:tcW w:w="1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Distributions received from unconsolidated affiliates</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gains on investments</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(0.3 )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write-offs of loan origination costs and original issue discounts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sale or disposition of property and equipment</w:t>
            </w:r>
          </w:p>
        </w:tc>
        <w:tc>
          <w:tcPr>
            <w:tcW w:w="1160" w:type="dxa"/>
            <w:vAlign w:val="bottom"/>
          </w:tcPr>
          <w:p>
            <w:pPr>
              <w:spacing w:after="0"/>
              <w:rPr>
                <w:sz w:val="19"/>
                <w:szCs w:val="19"/>
                <w:color w:val="auto"/>
              </w:rPr>
            </w:pPr>
          </w:p>
        </w:tc>
        <w:tc>
          <w:tcPr>
            <w:tcW w:w="8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(31.4 )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excluding effects from acquisitions:</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16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(89.7 )</w:t>
            </w:r>
          </w:p>
        </w:tc>
        <w:tc>
          <w:tcPr>
            <w:tcW w:w="1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(35.3 )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Contract assets</w:t>
            </w:r>
          </w:p>
        </w:tc>
        <w:tc>
          <w:tcPr>
            <w:tcW w:w="116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(8.6 )</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(40.6 )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16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(133.9 )</w:t>
            </w:r>
          </w:p>
        </w:tc>
        <w:tc>
          <w:tcPr>
            <w:tcW w:w="1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(155.7 )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taxes prepaid and payable</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2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 and asset acquisitions</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(0.7 )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16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(5.8 )</w:t>
            </w:r>
          </w:p>
        </w:tc>
        <w:tc>
          <w:tcPr>
            <w:tcW w:w="1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capitalized software</w:t>
            </w:r>
          </w:p>
        </w:tc>
        <w:tc>
          <w:tcPr>
            <w:tcW w:w="116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(50.0 )</w:t>
            </w:r>
          </w:p>
        </w:tc>
        <w:tc>
          <w:tcPr>
            <w:tcW w:w="1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sales / maturities of investments</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Collection of other non-current receivables</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(50.6 )</w:t>
            </w: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(49.8 )</w:t>
            </w:r>
          </w:p>
        </w:tc>
        <w:tc>
          <w:tcPr>
            <w:tcW w:w="0" w:type="dxa"/>
            <w:vAlign w:val="bottom"/>
          </w:tcPr>
          <w:p>
            <w:pPr>
              <w:spacing w:after="0"/>
              <w:rPr>
                <w:sz w:val="1"/>
                <w:szCs w:val="1"/>
                <w:color w:val="auto"/>
              </w:rPr>
            </w:pPr>
          </w:p>
        </w:tc>
      </w:tr>
      <w:tr>
        <w:trPr>
          <w:trHeight w:val="217"/>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received from debt borrowings, net of original issue discount</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debt</w:t>
            </w:r>
          </w:p>
        </w:tc>
        <w:tc>
          <w:tcPr>
            <w:tcW w:w="116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(94.9 )</w:t>
            </w:r>
          </w:p>
        </w:tc>
        <w:tc>
          <w:tcPr>
            <w:tcW w:w="1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(189.6 )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decrease in client funds obligations</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(690.0 )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(541.9 )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Withholding taxes paid related to equity award net share settlement</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(6.8 )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common stock for treasury</w:t>
            </w:r>
          </w:p>
        </w:tc>
        <w:tc>
          <w:tcPr>
            <w:tcW w:w="116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(52.9 )</w:t>
            </w:r>
          </w:p>
        </w:tc>
        <w:tc>
          <w:tcPr>
            <w:tcW w:w="1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(133.3 )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(59.7 )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(50.7 )</w:t>
            </w:r>
          </w:p>
        </w:tc>
        <w:tc>
          <w:tcPr>
            <w:tcW w:w="0" w:type="dxa"/>
            <w:vAlign w:val="bottom"/>
          </w:tcPr>
          <w:p>
            <w:pPr>
              <w:spacing w:after="0"/>
              <w:rPr>
                <w:sz w:val="1"/>
                <w:szCs w:val="1"/>
                <w:color w:val="auto"/>
              </w:rPr>
            </w:pPr>
          </w:p>
        </w:tc>
      </w:tr>
      <w:tr>
        <w:trPr>
          <w:trHeight w:val="220"/>
        </w:trPr>
        <w:tc>
          <w:tcPr>
            <w:tcW w:w="73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(835.9</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(3.8 )</w:t>
            </w: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160" w:type="dxa"/>
            <w:vAlign w:val="bottom"/>
          </w:tcPr>
          <w:p>
            <w:pPr>
              <w:spacing w:after="0"/>
              <w:rPr>
                <w:sz w:val="18"/>
                <w:szCs w:val="18"/>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(709.8 )</w:t>
            </w:r>
          </w:p>
        </w:tc>
        <w:tc>
          <w:tcPr>
            <w:tcW w:w="1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(549.4 )</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2,998.6</w:t>
            </w:r>
          </w:p>
        </w:tc>
        <w:tc>
          <w:tcPr>
            <w:tcW w:w="2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and cash equivalents, end of period</w:t>
            </w:r>
          </w:p>
        </w:tc>
        <w:tc>
          <w:tcPr>
            <w:tcW w:w="116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2,288.8</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and cash equivalents:</w:t>
            </w: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73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6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26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 included in funds receivable and funds held on behalf of clients</w:t>
            </w:r>
          </w:p>
        </w:tc>
        <w:tc>
          <w:tcPr>
            <w:tcW w:w="11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1,874.1</w:t>
            </w:r>
          </w:p>
        </w:tc>
        <w:tc>
          <w:tcPr>
            <w:tcW w:w="26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340" w:type="dxa"/>
            <w:vAlign w:val="bottom"/>
          </w:tcPr>
          <w:p>
            <w:pPr>
              <w:spacing w:after="0"/>
              <w:rPr>
                <w:sz w:val="19"/>
                <w:szCs w:val="19"/>
                <w:color w:val="auto"/>
              </w:rPr>
            </w:pPr>
          </w:p>
        </w:tc>
        <w:tc>
          <w:tcPr>
            <w:tcW w:w="116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2,288.8</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-4319905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-3136900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-1974850</wp:posOffset>
            </wp:positionV>
            <wp:extent cx="939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-1974850</wp:posOffset>
            </wp:positionV>
            <wp:extent cx="9398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-1653540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-1353820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-179705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3520"/>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CHANGES IN STOCKHOLDERS’ EQUITY </w:t>
      </w:r>
      <w:r>
        <w:rPr>
          <w:rFonts w:ascii="Times New Roman" w:cs="Times New Roman" w:eastAsia="Times New Roman" w:hAnsi="Times New Roman"/>
          <w:sz w:val="14"/>
          <w:szCs w:val="14"/>
          <w:b w:val="1"/>
          <w:bCs w:val="1"/>
          <w:color w:val="auto"/>
        </w:rPr>
        <w:t>(In millions)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42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ling</w:t>
            </w:r>
          </w:p>
        </w:tc>
        <w:tc>
          <w:tcPr>
            <w:tcW w:w="2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2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260" w:type="dxa"/>
            <w:vAlign w:val="bottom"/>
          </w:tcPr>
          <w:p>
            <w:pPr>
              <w:spacing w:after="0"/>
              <w:rPr>
                <w:sz w:val="18"/>
                <w:szCs w:val="18"/>
                <w:color w:val="auto"/>
              </w:rPr>
            </w:pPr>
          </w:p>
        </w:tc>
        <w:tc>
          <w:tcPr>
            <w:tcW w:w="3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5,371.0</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3,126.3</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(47.6 )</w:t>
            </w: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(47.6 )</w:t>
            </w:r>
          </w:p>
        </w:tc>
        <w:tc>
          <w:tcPr>
            <w:tcW w:w="0" w:type="dxa"/>
            <w:vAlign w:val="bottom"/>
          </w:tcPr>
          <w:p>
            <w:pPr>
              <w:spacing w:after="0"/>
              <w:rPr>
                <w:sz w:val="1"/>
                <w:szCs w:val="1"/>
                <w:color w:val="auto"/>
              </w:rPr>
            </w:pPr>
          </w:p>
        </w:tc>
      </w:tr>
      <w:tr>
        <w:trPr>
          <w:trHeight w:val="239"/>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dividends declared - $0.24 per</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(59.7 )</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(59.5 )</w:t>
            </w:r>
          </w:p>
        </w:tc>
        <w:tc>
          <w:tcPr>
            <w:tcW w:w="0" w:type="dxa"/>
            <w:vAlign w:val="bottom"/>
          </w:tcPr>
          <w:p>
            <w:pPr>
              <w:spacing w:after="0"/>
              <w:rPr>
                <w:sz w:val="1"/>
                <w:szCs w:val="1"/>
                <w:color w:val="auto"/>
              </w:rPr>
            </w:pPr>
          </w:p>
        </w:tc>
      </w:tr>
      <w:tr>
        <w:trPr>
          <w:trHeight w:val="227"/>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(52.9 )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(52.9 )</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5,468.2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3,224.2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(473.9 )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(1,787.1 )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40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26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42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ling</w:t>
            </w:r>
          </w:p>
        </w:tc>
        <w:tc>
          <w:tcPr>
            <w:tcW w:w="2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2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6"/>
                <w:szCs w:val="16"/>
                <w:color w:val="auto"/>
              </w:rPr>
            </w:pPr>
          </w:p>
        </w:tc>
        <w:tc>
          <w:tcPr>
            <w:tcW w:w="9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260" w:type="dxa"/>
            <w:vAlign w:val="bottom"/>
          </w:tcPr>
          <w:p>
            <w:pPr>
              <w:spacing w:after="0"/>
              <w:rPr>
                <w:sz w:val="18"/>
                <w:szCs w:val="18"/>
                <w:color w:val="auto"/>
              </w:rPr>
            </w:pPr>
          </w:p>
        </w:tc>
        <w:tc>
          <w:tcPr>
            <w:tcW w:w="3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5,111.6</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2,740.1</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(1,260.1</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Defined benefit pension adjustment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declared - $0.20 per</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(50.7 )</w:t>
            </w:r>
          </w:p>
        </w:tc>
        <w:tc>
          <w:tcPr>
            <w:tcW w:w="10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(50.7 )</w:t>
            </w:r>
          </w:p>
        </w:tc>
        <w:tc>
          <w:tcPr>
            <w:tcW w:w="0" w:type="dxa"/>
            <w:vAlign w:val="bottom"/>
          </w:tcPr>
          <w:p>
            <w:pPr>
              <w:spacing w:after="0"/>
              <w:rPr>
                <w:sz w:val="1"/>
                <w:szCs w:val="1"/>
                <w:color w:val="auto"/>
              </w:rPr>
            </w:pPr>
          </w:p>
        </w:tc>
      </w:tr>
      <w:tr>
        <w:trPr>
          <w:trHeight w:val="236"/>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(134.7 )</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(134.7 )</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26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5,168.7</w:t>
            </w:r>
          </w:p>
        </w:tc>
        <w:tc>
          <w:tcPr>
            <w:tcW w:w="260" w:type="dxa"/>
            <w:vAlign w:val="bottom"/>
          </w:tcPr>
          <w:p>
            <w:pPr>
              <w:spacing w:after="0"/>
              <w:rPr>
                <w:sz w:val="17"/>
                <w:szCs w:val="17"/>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2,815.4</w:t>
            </w:r>
          </w:p>
        </w:tc>
        <w:tc>
          <w:tcPr>
            <w:tcW w:w="24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(508.0 )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(1,394.8 )</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4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-141605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-141605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-141605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-141605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-141605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-141605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-141605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right="5300"/>
        <w:spacing w:after="0" w:line="268" w:lineRule="auto"/>
        <w:rPr>
          <w:sz w:val="20"/>
          <w:szCs w:val="20"/>
          <w:color w:val="auto"/>
        </w:rPr>
      </w:pPr>
      <w:r>
        <w:rPr>
          <w:rFonts w:ascii="Times New Roman" w:cs="Times New Roman" w:eastAsia="Times New Roman" w:hAnsi="Times New Roman"/>
          <w:sz w:val="18"/>
          <w:szCs w:val="18"/>
          <w:b w:val="1"/>
          <w:bCs w:val="1"/>
          <w:color w:val="auto"/>
        </w:rPr>
        <w:t>SS&amp;C TECHNOLOGIES HOLDINGS, INC. AND SUBSIDIARIES NOTES TO CONDENSED CONSOLIDATED FINANCIAL STATEMENTS (Unaudited)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 and Principles of Consolidation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2023, filed with the Securities and Exchange Commission (the “SEC”) on February 28, 2024 (the “2023 Form 10-K”).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March 31, 2024, the results of our operations for the three months ended March 31, 2024 and 2023, and our cash flows for the three months ended March 31, 2024 and 2023.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2023, which were included in the 2023 Form 10-K. The December 31, 2023 Consolidated Balance Sheet data were derived from audited financial statements but do not include all disclosures required by GAAP for annual financial statements. The results of operations for the three months ended March 31, 2024 are not necessarily indicative of the expected results for any subsequent quarters or the full year.</w:t>
      </w:r>
    </w:p>
    <w:p>
      <w:pPr>
        <w:spacing w:after="0" w:line="14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standard is applicable to all public entities, including public entities with a single reportable segment, and requires enhanced reportable segment disclosures. The disclosures include significant segment expenses regularly provided to the chief operating decision maker (“CODM”) and included within each reported measure of segment profit or loss. The standard also requires disclosure of the title and position of the CODM as well as how the CODM uses the reported measures of a segment’s profit or loss to assess segment performance and decide how to allocate resources. The new standard is effective for fiscal years beginning after December 15, 2023, and interim periods within fiscal years beginning after December 31, 2024. Early adoption is permitted. We are currently evaluating the potential impact the standard will have on our disclosures.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standard requires more enhanced disclosures specifically related to effective tax rate reconciliation and income taxes paid. The new requirements will be effective for fiscal years beginning after December 15, 2024, on a prospective basis. Early adoption and retrospective application are permitted. We are currently evaluating the potential impact the standard will have on our income tax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2—Property, Plant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and the related accumulated depreciation are as follows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r>
      <w:tr>
        <w:trPr>
          <w:trHeight w:val="237"/>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shd w:val="clear" w:color="auto" w:fill="CFF0FC"/>
          </w:tcPr>
          <w:p>
            <w:pPr>
              <w:spacing w:after="0"/>
              <w:rPr>
                <w:sz w:val="20"/>
                <w:szCs w:val="20"/>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300" w:type="dxa"/>
            <w:vAlign w:val="bottom"/>
          </w:tcPr>
          <w:p>
            <w:pPr>
              <w:spacing w:after="0"/>
              <w:rPr>
                <w:sz w:val="20"/>
                <w:szCs w:val="20"/>
                <w:color w:val="auto"/>
              </w:rPr>
            </w:pPr>
          </w:p>
        </w:tc>
      </w:tr>
      <w:tr>
        <w:trPr>
          <w:trHeight w:val="247"/>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2"/>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300" w:type="dxa"/>
            <w:vAlign w:val="bottom"/>
          </w:tcPr>
          <w:p>
            <w:pPr>
              <w:spacing w:after="0"/>
              <w:rPr>
                <w:sz w:val="20"/>
                <w:szCs w:val="20"/>
                <w:color w:val="auto"/>
              </w:rPr>
            </w:pPr>
          </w:p>
        </w:tc>
      </w:tr>
      <w:tr>
        <w:trPr>
          <w:trHeight w:val="247"/>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(528.7 )</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(513.6 )</w:t>
            </w:r>
          </w:p>
        </w:tc>
      </w:tr>
      <w:tr>
        <w:trPr>
          <w:trHeight w:val="237"/>
        </w:trPr>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300" w:type="dxa"/>
            <w:vAlign w:val="bottom"/>
            <w:tcBorders>
              <w:top w:val="single" w:sz="8" w:color="CFF0FC"/>
            </w:tcBorders>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-505460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-505460</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-187960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2024 and 2023 was $17.9 million and $19.0 million, respectively. As of March 31, 2024 and December 31, 2023, assets held for sale were $5.9 million and $9.0 million, respectively, and are presented in prepaid expenses and other current assets in our condensed consolidated balance sheet. Unpaid property, plant and equipment additions of $1.0 million and $2.9 million are included in accounts payable and other accrued expenses as of March 31, 2024 and December 31, 2023, respectively, in our condensed consolidated balance sheet.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3—Investments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are as follows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5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Partnership interests in private equity funds</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r>
      <w:tr>
        <w:trPr>
          <w:trHeight w:val="277"/>
        </w:trPr>
        <w:tc>
          <w:tcPr>
            <w:tcW w:w="6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-25400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20" w:firstLine="569"/>
        <w:spacing w:after="0" w:line="282" w:lineRule="auto"/>
        <w:rPr>
          <w:sz w:val="20"/>
          <w:szCs w:val="20"/>
          <w:color w:val="auto"/>
        </w:rPr>
      </w:pPr>
      <w:r>
        <w:rPr>
          <w:rFonts w:ascii="Times New Roman" w:cs="Times New Roman" w:eastAsia="Times New Roman" w:hAnsi="Times New Roman"/>
          <w:sz w:val="18"/>
          <w:szCs w:val="18"/>
          <w:color w:val="auto"/>
        </w:rPr>
        <w:t>There were no realized gains or losses for our equity securities in the three months ended March 31, 2024 and 2023. Unrealized gains for our equity securities are as follows (in millions):</w:t>
      </w:r>
    </w:p>
    <w:p>
      <w:pPr>
        <w:spacing w:after="0" w:line="14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16510</wp:posOffset>
            </wp:positionV>
            <wp:extent cx="18770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89" w:lineRule="exact"/>
        <w:rPr>
          <w:sz w:val="20"/>
          <w:szCs w:val="20"/>
          <w:color w:val="auto"/>
        </w:rPr>
      </w:pPr>
    </w:p>
    <w:p>
      <w:pPr>
        <w:ind w:left="8160"/>
        <w:spacing w:after="0"/>
        <w:tabs>
          <w:tab w:leader="none" w:pos="97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16510</wp:posOffset>
            </wp:positionV>
            <wp:extent cx="641223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41" w:lineRule="exact"/>
        <w:rPr>
          <w:sz w:val="20"/>
          <w:szCs w:val="20"/>
          <w:color w:val="auto"/>
        </w:rPr>
      </w:pPr>
    </w:p>
    <w:p>
      <w:pPr>
        <w:ind w:left="580"/>
        <w:spacing w:after="0"/>
        <w:tabs>
          <w:tab w:leader="none" w:pos="7620" w:val="left"/>
          <w:tab w:leader="none" w:pos="8720" w:val="left"/>
          <w:tab w:leader="none" w:pos="9240" w:val="left"/>
          <w:tab w:leader="none" w:pos="10320" w:val="left"/>
        </w:tabs>
        <w:rPr>
          <w:sz w:val="20"/>
          <w:szCs w:val="20"/>
          <w:color w:val="auto"/>
        </w:rPr>
      </w:pPr>
      <w:r>
        <w:rPr>
          <w:rFonts w:ascii="Times New Roman" w:cs="Times New Roman" w:eastAsia="Times New Roman" w:hAnsi="Times New Roman"/>
          <w:sz w:val="18"/>
          <w:szCs w:val="18"/>
          <w:color w:val="auto"/>
        </w:rPr>
        <w:t>Unrealized gains on equity securities held as of the end of the period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260" w:firstLine="562"/>
        <w:spacing w:after="0" w:line="261" w:lineRule="auto"/>
        <w:rPr>
          <w:sz w:val="20"/>
          <w:szCs w:val="20"/>
          <w:color w:val="auto"/>
        </w:rPr>
      </w:pPr>
      <w:r>
        <w:rPr>
          <w:rFonts w:ascii="Times New Roman" w:cs="Times New Roman" w:eastAsia="Times New Roman" w:hAnsi="Times New Roman"/>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39"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present assets and liabilities measured at fair value on a recurring basis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60" w:type="dxa"/>
            <w:vAlign w:val="bottom"/>
            <w:gridSpan w:val="9"/>
          </w:tcPr>
          <w:p>
            <w:pPr>
              <w:ind w:left="7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1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320" w:type="dxa"/>
            <w:vAlign w:val="bottom"/>
            <w:shd w:val="clear" w:color="auto" w:fill="CFF0FC"/>
          </w:tcPr>
          <w:p>
            <w:pPr>
              <w:spacing w:after="0"/>
              <w:rPr>
                <w:sz w:val="22"/>
                <w:szCs w:val="22"/>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12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70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4"/>
                <w:szCs w:val="24"/>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12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3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9"/>
          </w:tcPr>
          <w:p>
            <w:pPr>
              <w:ind w:left="7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1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320" w:type="dxa"/>
            <w:vAlign w:val="bottom"/>
            <w:shd w:val="clear" w:color="auto" w:fill="CFF0FC"/>
          </w:tcPr>
          <w:p>
            <w:pPr>
              <w:spacing w:after="0"/>
              <w:rPr>
                <w:sz w:val="22"/>
                <w:szCs w:val="22"/>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12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7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4"/>
                <w:szCs w:val="24"/>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1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3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3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-2416810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-2399665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-2416810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-2399665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-2416810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-2399665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-2416810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-2399665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-933450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-916305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-933450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-916305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-933450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-916305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both"/>
        <w:ind w:left="980" w:right="340" w:hanging="373"/>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included $112.3 million of cash and cash equivalents, $1.6 million of restricted cash and $1,667.7 million of funds receivable and funds held on behalf of clients on the Condensed Consolidated Balance Sheet. As of December 31, 2023, included $131.7 million of cash and cash equivalents, $1.8 million of restricted cash and $2,079.1 million of funds receivable and funds held on behalf of clients on the Condensed Consolidated Balance Sheet.</w:t>
      </w:r>
    </w:p>
    <w:p>
      <w:pPr>
        <w:spacing w:after="0" w:line="2" w:lineRule="exact"/>
        <w:rPr>
          <w:rFonts w:ascii="Times New Roman" w:cs="Times New Roman" w:eastAsia="Times New Roman" w:hAnsi="Times New Roman"/>
          <w:sz w:val="18"/>
          <w:szCs w:val="18"/>
          <w:color w:val="auto"/>
        </w:rPr>
      </w:pPr>
    </w:p>
    <w:p>
      <w:pPr>
        <w:ind w:left="980" w:hanging="373"/>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Investments on the Condensed Consolidated Balance Sheet.</w:t>
      </w:r>
    </w:p>
    <w:p>
      <w:pPr>
        <w:spacing w:after="0" w:line="9" w:lineRule="exact"/>
        <w:rPr>
          <w:rFonts w:ascii="Times New Roman" w:cs="Times New Roman" w:eastAsia="Times New Roman" w:hAnsi="Times New Roman"/>
          <w:sz w:val="18"/>
          <w:szCs w:val="18"/>
          <w:color w:val="auto"/>
        </w:rPr>
      </w:pPr>
    </w:p>
    <w:p>
      <w:pPr>
        <w:ind w:left="980" w:hanging="373"/>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on the Condensed Consolidated Balance Sheet.</w:t>
      </w:r>
    </w:p>
    <w:p>
      <w:pPr>
        <w:spacing w:after="0" w:line="166"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We have partnership interests in various private equity funds that are not included in the tables above. Our investments in private equity funds were $10.9 million and $11.5 million at March 31, 2024 and December 31, 2023, respectively, of which $9.3 million and $9.2 million, respectively, were measured using net asset value as a practical expedient for fair value and $1.6 million and $2.3 million, respectively, were accounted for under the equity method of accounting. The investments in private equity funds represent underlying investments in domestic and international markets across various industry sectors.</w:t>
      </w:r>
    </w:p>
    <w:p>
      <w:pPr>
        <w:spacing w:after="0" w:line="75" w:lineRule="exact"/>
        <w:rPr>
          <w:sz w:val="20"/>
          <w:szCs w:val="20"/>
          <w:color w:val="auto"/>
        </w:rPr>
      </w:pPr>
    </w:p>
    <w:p>
      <w:pPr>
        <w:jc w:val="both"/>
        <w:ind w:right="360" w:firstLine="569"/>
        <w:spacing w:after="0" w:line="266" w:lineRule="auto"/>
        <w:rPr>
          <w:sz w:val="20"/>
          <w:szCs w:val="20"/>
          <w:color w:val="auto"/>
        </w:rPr>
      </w:pPr>
      <w:r>
        <w:rPr>
          <w:rFonts w:ascii="Times New Roman" w:cs="Times New Roman" w:eastAsia="Times New Roman" w:hAnsi="Times New Roman"/>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4—Unconsolidated Affiliates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Investments in unconsolidated affiliates are as follows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Excess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Excess carrying</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investment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w w:val="98"/>
              </w:rPr>
              <w:t>over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investment over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share of net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 of net</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Orbit Private Investments L.P.</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1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20" w:firstLine="562"/>
        <w:spacing w:after="0" w:line="266" w:lineRule="auto"/>
        <w:rPr>
          <w:sz w:val="20"/>
          <w:szCs w:val="20"/>
          <w:color w:val="auto"/>
        </w:rPr>
      </w:pPr>
      <w:r>
        <w:rPr>
          <w:rFonts w:ascii="Times New Roman" w:cs="Times New Roman" w:eastAsia="Times New Roman" w:hAnsi="Times New Roman"/>
          <w:sz w:val="18"/>
          <w:szCs w:val="18"/>
          <w:color w:val="auto"/>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Statements of Comprehensive Income.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Equity in earnings of unconsolidated affiliates, net are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2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7220" w:type="dxa"/>
            <w:vAlign w:val="bottom"/>
          </w:tcPr>
          <w:p>
            <w:pPr>
              <w:spacing w:after="0"/>
              <w:rPr>
                <w:sz w:val="21"/>
                <w:szCs w:val="21"/>
                <w:color w:val="auto"/>
              </w:rPr>
            </w:pP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Orbit Private Investments L.P.</w:t>
            </w:r>
          </w:p>
        </w:tc>
        <w:tc>
          <w:tcPr>
            <w:tcW w:w="128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3"/>
                <w:szCs w:val="23"/>
                <w:color w:val="auto"/>
              </w:rPr>
            </w:pP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12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r>
      <w:tr>
        <w:trPr>
          <w:trHeight w:val="277"/>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128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(0.1 )</w:t>
            </w:r>
          </w:p>
        </w:tc>
        <w:tc>
          <w:tcPr>
            <w:tcW w:w="1260" w:type="dxa"/>
            <w:vAlign w:val="bottom"/>
            <w:shd w:val="clear" w:color="auto" w:fill="CFF0FC"/>
          </w:tcPr>
          <w:p>
            <w:pPr>
              <w:spacing w:after="0"/>
              <w:rPr>
                <w:sz w:val="24"/>
                <w:szCs w:val="2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12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(0.3 )</w:t>
            </w:r>
          </w:p>
        </w:tc>
        <w:tc>
          <w:tcPr>
            <w:tcW w:w="1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r>
      <w:tr>
        <w:trPr>
          <w:trHeight w:val="263"/>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128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spacing w:after="0"/>
              <w:rPr>
                <w:sz w:val="22"/>
                <w:szCs w:val="22"/>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36"/>
        </w:trPr>
        <w:tc>
          <w:tcPr>
            <w:tcW w:w="72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bottom w:val="single" w:sz="8" w:color="auto"/>
            </w:tcBorders>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top w:val="single" w:sz="8" w:color="CFF0FC"/>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FF0FC"/>
            </w:tcBorders>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-187960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carrying value of goodwill as of and for the three months ended March 31, 2024 is as follows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0" w:type="dxa"/>
            <w:vAlign w:val="bottom"/>
          </w:tcPr>
          <w:p>
            <w:pPr>
              <w:spacing w:after="0"/>
              <w:rPr>
                <w:sz w:val="23"/>
                <w:szCs w:val="23"/>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04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8,969.5</w:t>
            </w:r>
          </w:p>
        </w:tc>
        <w:tc>
          <w:tcPr>
            <w:tcW w:w="100" w:type="dxa"/>
            <w:vAlign w:val="bottom"/>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Adjustments to prior acquisitions</w:t>
            </w:r>
          </w:p>
        </w:tc>
        <w:tc>
          <w:tcPr>
            <w:tcW w:w="4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44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(36.4 )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444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8,933.2</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440" w:type="dxa"/>
            <w:vAlign w:val="bottom"/>
            <w:vMerge w:val="restart"/>
          </w:tcPr>
          <w:p>
            <w:pPr>
              <w:jc w:val="right"/>
              <w:ind w:right="3150"/>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-1096645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081"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6—Debt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2024 and December 31, 2023, debt consisted of the following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r>
      <w:tr>
        <w:trPr>
          <w:trHeight w:val="205"/>
        </w:trPr>
        <w:tc>
          <w:tcPr>
            <w:tcW w:w="60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Senior secured credit facilities, weighted-average interest rate of 7.32% and</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r>
      <w:tr>
        <w:trPr>
          <w:trHeight w:val="248"/>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7.35%, respectively</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4,755.1</w:t>
            </w:r>
          </w:p>
        </w:tc>
        <w:tc>
          <w:tcPr>
            <w:tcW w:w="340" w:type="dxa"/>
            <w:vAlign w:val="bottom"/>
            <w:shd w:val="clear" w:color="auto" w:fill="CFF0FC"/>
          </w:tcPr>
          <w:p>
            <w:pPr>
              <w:spacing w:after="0"/>
              <w:rPr>
                <w:sz w:val="21"/>
                <w:szCs w:val="21"/>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5.5% senior notes due 2027</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tcPr>
          <w:p>
            <w:pPr>
              <w:spacing w:after="0"/>
              <w:rPr>
                <w:sz w:val="20"/>
                <w:szCs w:val="20"/>
                <w:color w:val="auto"/>
              </w:rPr>
            </w:pPr>
          </w:p>
        </w:tc>
      </w:tr>
      <w:tr>
        <w:trPr>
          <w:trHeight w:val="247"/>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original issue discount and debt issuance costs</w:t>
            </w:r>
          </w:p>
        </w:tc>
        <w:tc>
          <w:tcPr>
            <w:tcW w:w="3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(30.9 )</w:t>
            </w:r>
          </w:p>
        </w:tc>
        <w:tc>
          <w:tcPr>
            <w:tcW w:w="26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(35.1 )</w:t>
            </w:r>
          </w:p>
        </w:tc>
      </w:tr>
      <w:tr>
        <w:trPr>
          <w:trHeight w:val="232"/>
        </w:trPr>
        <w:tc>
          <w:tcPr>
            <w:tcW w:w="60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6,644.3</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6,720.0</w:t>
            </w:r>
          </w:p>
        </w:tc>
        <w:tc>
          <w:tcPr>
            <w:tcW w:w="340" w:type="dxa"/>
            <w:vAlign w:val="bottom"/>
            <w:tcBorders>
              <w:top w:val="single" w:sz="8" w:color="CFF0FC"/>
            </w:tcBorders>
          </w:tcPr>
          <w:p>
            <w:pPr>
              <w:spacing w:after="0"/>
              <w:rPr>
                <w:sz w:val="20"/>
                <w:szCs w:val="20"/>
                <w:color w:val="auto"/>
              </w:rPr>
            </w:pPr>
          </w:p>
        </w:tc>
      </w:tr>
      <w:tr>
        <w:trPr>
          <w:trHeight w:val="247"/>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40" w:type="dxa"/>
            <w:vAlign w:val="bottom"/>
            <w:tcBorders>
              <w:bottom w:val="single" w:sz="8" w:color="CFF0FC"/>
            </w:tcBorders>
            <w:shd w:val="clear" w:color="auto" w:fill="CFF0FC"/>
          </w:tcPr>
          <w:p>
            <w:pPr>
              <w:spacing w:after="0"/>
              <w:rPr>
                <w:sz w:val="21"/>
                <w:szCs w:val="21"/>
                <w:color w:val="auto"/>
              </w:rPr>
            </w:pPr>
          </w:p>
        </w:tc>
      </w:tr>
      <w:tr>
        <w:trPr>
          <w:trHeight w:val="237"/>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6,593.5</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6,668.5</w:t>
            </w:r>
          </w:p>
        </w:tc>
        <w:tc>
          <w:tcPr>
            <w:tcW w:w="340" w:type="dxa"/>
            <w:vAlign w:val="bottom"/>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-505460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-505460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-187960</wp:posOffset>
            </wp:positionV>
            <wp:extent cx="59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the key terms of our Senior Secured Credit Facilities and Senior Notes: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300" w:type="dxa"/>
            <w:vAlign w:val="bottom"/>
          </w:tcPr>
          <w:p>
            <w:pPr>
              <w:spacing w:after="0"/>
              <w:rPr>
                <w:sz w:val="13"/>
                <w:szCs w:val="13"/>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Quarterly</w:t>
            </w: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300" w:type="dxa"/>
            <w:vAlign w:val="bottom"/>
          </w:tcPr>
          <w:p>
            <w:pPr>
              <w:spacing w:after="0"/>
              <w:rPr>
                <w:sz w:val="15"/>
                <w:szCs w:val="15"/>
                <w:color w:val="auto"/>
              </w:rPr>
            </w:pPr>
          </w:p>
        </w:tc>
        <w:tc>
          <w:tcPr>
            <w:tcW w:w="2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Required</w:t>
            </w:r>
          </w:p>
        </w:tc>
        <w:tc>
          <w:tcPr>
            <w:tcW w:w="0" w:type="dxa"/>
            <w:vAlign w:val="bottom"/>
          </w:tcPr>
          <w:p>
            <w:pPr>
              <w:spacing w:after="0"/>
              <w:rPr>
                <w:sz w:val="1"/>
                <w:szCs w:val="1"/>
                <w:color w:val="auto"/>
              </w:rPr>
            </w:pPr>
          </w:p>
        </w:tc>
      </w:tr>
      <w:tr>
        <w:trPr>
          <w:trHeight w:val="183"/>
        </w:trPr>
        <w:tc>
          <w:tcPr>
            <w:tcW w:w="33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Senior Secured Credit Facilities</w:t>
            </w: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Term Loan B-3</w:t>
            </w:r>
          </w:p>
        </w:tc>
        <w:tc>
          <w:tcPr>
            <w:tcW w:w="9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300" w:type="dxa"/>
            <w:vAlign w:val="bottom"/>
          </w:tcPr>
          <w:p>
            <w:pPr>
              <w:spacing w:after="0"/>
              <w:rPr>
                <w:sz w:val="23"/>
                <w:szCs w:val="2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2025</w:t>
            </w:r>
          </w:p>
        </w:tc>
        <w:tc>
          <w:tcPr>
            <w:tcW w:w="19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250"/>
        </w:trPr>
        <w:tc>
          <w:tcPr>
            <w:tcW w:w="33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Loan B-4</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300" w:type="dxa"/>
            <w:vAlign w:val="bottom"/>
            <w:shd w:val="clear" w:color="auto" w:fill="CFF0FC"/>
          </w:tcPr>
          <w:p>
            <w:pPr>
              <w:spacing w:after="0"/>
              <w:rPr>
                <w:sz w:val="21"/>
                <w:szCs w:val="21"/>
                <w:color w:val="auto"/>
              </w:rPr>
            </w:pP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16, 2025</w:t>
            </w:r>
          </w:p>
        </w:tc>
        <w:tc>
          <w:tcPr>
            <w:tcW w:w="19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239"/>
        </w:trPr>
        <w:tc>
          <w:tcPr>
            <w:tcW w:w="3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Term Loan B-5</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30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2025</w:t>
            </w:r>
          </w:p>
        </w:tc>
        <w:tc>
          <w:tcPr>
            <w:tcW w:w="19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247"/>
        </w:trPr>
        <w:tc>
          <w:tcPr>
            <w:tcW w:w="33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Loan B-6</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300" w:type="dxa"/>
            <w:vAlign w:val="bottom"/>
            <w:shd w:val="clear" w:color="auto" w:fill="CFF0FC"/>
          </w:tcPr>
          <w:p>
            <w:pPr>
              <w:spacing w:after="0"/>
              <w:rPr>
                <w:sz w:val="21"/>
                <w:szCs w:val="21"/>
                <w:color w:val="auto"/>
              </w:rPr>
            </w:pP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22, 2029</w:t>
            </w:r>
          </w:p>
        </w:tc>
        <w:tc>
          <w:tcPr>
            <w:tcW w:w="19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239"/>
        </w:trPr>
        <w:tc>
          <w:tcPr>
            <w:tcW w:w="3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Term Loan B-7</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30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22, 2029</w:t>
            </w:r>
          </w:p>
        </w:tc>
        <w:tc>
          <w:tcPr>
            <w:tcW w:w="19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247"/>
        </w:trPr>
        <w:tc>
          <w:tcPr>
            <w:tcW w:w="33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28, 2027</w:t>
            </w: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89"/>
        </w:trPr>
        <w:tc>
          <w:tcPr>
            <w:tcW w:w="3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Notes</w:t>
            </w:r>
          </w:p>
        </w:tc>
        <w:tc>
          <w:tcPr>
            <w:tcW w:w="220" w:type="dxa"/>
            <w:vAlign w:val="bottom"/>
          </w:tcPr>
          <w:p>
            <w:pPr>
              <w:spacing w:after="0"/>
              <w:rPr>
                <w:sz w:val="16"/>
                <w:szCs w:val="16"/>
                <w:color w:val="auto"/>
              </w:rPr>
            </w:pP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300" w:type="dxa"/>
            <w:vAlign w:val="bottom"/>
          </w:tcPr>
          <w:p>
            <w:pPr>
              <w:spacing w:after="0"/>
              <w:rPr>
                <w:sz w:val="16"/>
                <w:szCs w:val="16"/>
                <w:color w:val="auto"/>
              </w:rPr>
            </w:pPr>
          </w:p>
        </w:tc>
        <w:tc>
          <w:tcPr>
            <w:tcW w:w="2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September 30, 2027</w:t>
            </w:r>
          </w:p>
        </w:tc>
        <w:tc>
          <w:tcPr>
            <w:tcW w:w="220" w:type="dxa"/>
            <w:vAlign w:val="bottom"/>
          </w:tcPr>
          <w:p>
            <w:pPr>
              <w:spacing w:after="0"/>
              <w:rPr>
                <w:sz w:val="16"/>
                <w:szCs w:val="16"/>
                <w:color w:val="auto"/>
              </w:rPr>
            </w:pP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intend to refinance the $3,515.3 million Term Loans B-3, B-4 and B-5, which are due April 16, 2025, in the near term. However, there can be no assurance that we will be able to obtain such financing on acceptable terms, or at all.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and fair values of financial instruments are as follows (in millions):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58"/>
        </w:trPr>
        <w:tc>
          <w:tcPr>
            <w:tcW w:w="4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61"/>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419"/>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41"/>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179"/>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r>
      <w:tr>
        <w:trPr>
          <w:trHeight w:val="187"/>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4,646.9</w:t>
            </w: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4,688.4</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4,774.4</w:t>
            </w:r>
          </w:p>
        </w:tc>
        <w:tc>
          <w:tcPr>
            <w:tcW w:w="100" w:type="dxa"/>
            <w:vAlign w:val="bottom"/>
            <w:shd w:val="clear" w:color="auto" w:fill="CFF0FC"/>
          </w:tcPr>
          <w:p>
            <w:pPr>
              <w:spacing w:after="0"/>
              <w:rPr>
                <w:sz w:val="21"/>
                <w:szCs w:val="21"/>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 senior notes due 2027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1,997.4</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280" w:firstLine="509"/>
        <w:spacing w:after="0" w:line="312" w:lineRule="auto"/>
        <w:rPr>
          <w:sz w:val="20"/>
          <w:szCs w:val="20"/>
          <w:color w:val="auto"/>
        </w:rPr>
      </w:pPr>
      <w:r>
        <w:rPr>
          <w:rFonts w:ascii="Times New Roman" w:cs="Times New Roman" w:eastAsia="Times New Roman" w:hAnsi="Times New Roman"/>
          <w:sz w:val="17"/>
          <w:szCs w:val="17"/>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both July 2022 and July 2023,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During the three months ended March 31, 2024 and 2023, we repurchased 0.8 million and 2.3 million shares, respectively, of common stock for approximately $52.9 million and $134.7 million, respectively, which includes a 1% excise tax on share repurchases. We use the cost method to account for treasury stock purchases. Under the cost method, the price paid for the stock is charged to the treasury stock account.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paid a quarterly cash dividend of $0.24 per share of common stock in March 2024 totaling $59.7 million. We paid a quarterly cash dividend of $0.20 per share of common stock in March 2023 totaling $50.7 million.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 balances, net of tax, consist of the following (in millions):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87"/>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6"/>
                <w:szCs w:val="16"/>
                <w:color w:val="auto"/>
              </w:rPr>
            </w:pPr>
          </w:p>
        </w:tc>
      </w:tr>
      <w:tr>
        <w:trPr>
          <w:trHeight w:val="16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(424.5 )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(426.3 )</w:t>
            </w:r>
          </w:p>
        </w:tc>
      </w:tr>
      <w:tr>
        <w:trPr>
          <w:trHeight w:val="176"/>
        </w:trPr>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current period other comprehensive loss</w:t>
            </w:r>
          </w:p>
        </w:tc>
        <w:tc>
          <w:tcPr>
            <w:tcW w:w="12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(47.6 )</w:t>
            </w:r>
          </w:p>
        </w:tc>
        <w:tc>
          <w:tcPr>
            <w:tcW w:w="12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(47.6 )</w:t>
            </w: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March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(472.1 )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(473.9 )</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Adjustments to accumulated other comprehensive loss are as follows (in millions):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80" w:type="dxa"/>
            <w:vAlign w:val="bottom"/>
          </w:tcPr>
          <w:p>
            <w:pPr>
              <w:spacing w:after="0"/>
              <w:rPr>
                <w:sz w:val="15"/>
                <w:szCs w:val="15"/>
                <w:color w:val="auto"/>
              </w:rPr>
            </w:pPr>
          </w:p>
        </w:tc>
        <w:tc>
          <w:tcPr>
            <w:tcW w:w="10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00" w:type="dxa"/>
            <w:vAlign w:val="bottom"/>
          </w:tcPr>
          <w:p>
            <w:pPr>
              <w:spacing w:after="0"/>
              <w:rPr>
                <w:sz w:val="15"/>
                <w:szCs w:val="15"/>
                <w:color w:val="auto"/>
              </w:rPr>
            </w:pPr>
          </w:p>
        </w:tc>
      </w:tr>
      <w:tr>
        <w:trPr>
          <w:trHeight w:val="183"/>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Unrealized net gains on defined benefit pension plan</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5"/>
                <w:szCs w:val="15"/>
                <w:color w:val="auto"/>
              </w:rPr>
            </w:pPr>
          </w:p>
        </w:tc>
      </w:tr>
      <w:tr>
        <w:trPr>
          <w:trHeight w:val="191"/>
        </w:trPr>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188"/>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Current period translation adjustments</w:t>
            </w:r>
          </w:p>
        </w:tc>
        <w:tc>
          <w:tcPr>
            <w:tcW w:w="2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(48.6 )</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(2.2 )</w:t>
            </w:r>
          </w:p>
        </w:tc>
      </w:tr>
      <w:tr>
        <w:trPr>
          <w:trHeight w:val="20"/>
        </w:trPr>
        <w:tc>
          <w:tcPr>
            <w:tcW w:w="46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(loss) income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(48.6 )</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(2.1 )</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-410845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-410845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-410845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-410845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-144780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-144780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-144780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-144780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8—Variable Interest Entity</w:t>
      </w:r>
    </w:p>
    <w:p>
      <w:pPr>
        <w:spacing w:after="0" w:line="112" w:lineRule="exact"/>
        <w:rPr>
          <w:sz w:val="20"/>
          <w:szCs w:val="20"/>
          <w:color w:val="auto"/>
        </w:rPr>
      </w:pPr>
    </w:p>
    <w:p>
      <w:pPr>
        <w:ind w:right="200" w:firstLine="569"/>
        <w:spacing w:after="0" w:line="260" w:lineRule="auto"/>
        <w:rPr>
          <w:sz w:val="20"/>
          <w:szCs w:val="20"/>
          <w:color w:val="auto"/>
        </w:rPr>
      </w:pPr>
      <w:r>
        <w:rPr>
          <w:rFonts w:ascii="Times New Roman" w:cs="Times New Roman" w:eastAsia="Times New Roman" w:hAnsi="Times New Roman"/>
          <w:sz w:val="18"/>
          <w:szCs w:val="18"/>
          <w:color w:val="auto"/>
        </w:rPr>
        <w:t>In July 2021, we entered into an agreement whereby we obtained an 80.2% interest in DomaniRx,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DomaniRx</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spacing w:after="0" w:line="74"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The carrying value of the assets and liabilities associated with DomaniRx included in our condensed consolidated balance sheet at March 31, 2024 and December 31, 2023, which are limited for use in its operations and do not have recourse against our general credit or our senior secured credit facilities, are as follows:</w:t>
      </w:r>
    </w:p>
    <w:p>
      <w:pPr>
        <w:spacing w:after="0" w:line="156"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6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6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FF0FC"/>
          </w:tcPr>
          <w:p>
            <w:pPr>
              <w:spacing w:after="0"/>
              <w:rPr>
                <w:sz w:val="21"/>
                <w:szCs w:val="21"/>
                <w:color w:val="auto"/>
              </w:rPr>
            </w:pPr>
          </w:p>
        </w:tc>
      </w:tr>
      <w:tr>
        <w:trPr>
          <w:trHeight w:val="239"/>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Pr>
          <w:p>
            <w:pPr>
              <w:spacing w:after="0"/>
              <w:rPr>
                <w:sz w:val="20"/>
                <w:szCs w:val="20"/>
                <w:color w:val="auto"/>
              </w:rPr>
            </w:pPr>
          </w:p>
        </w:tc>
      </w:tr>
      <w:tr>
        <w:trPr>
          <w:trHeight w:val="247"/>
        </w:trPr>
        <w:tc>
          <w:tcPr>
            <w:tcW w:w="6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9—Revenues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spacing w:after="0" w:line="148" w:lineRule="exact"/>
        <w:rPr>
          <w:sz w:val="20"/>
          <w:szCs w:val="20"/>
          <w:color w:val="auto"/>
        </w:rPr>
      </w:pPr>
    </w:p>
    <w:p>
      <w:pPr>
        <w:ind w:right="80" w:firstLine="569"/>
        <w:spacing w:after="0" w:line="258" w:lineRule="auto"/>
        <w:rPr>
          <w:sz w:val="20"/>
          <w:szCs w:val="20"/>
          <w:color w:val="auto"/>
        </w:rPr>
      </w:pPr>
      <w:r>
        <w:rPr>
          <w:rFonts w:ascii="Times New Roman" w:cs="Times New Roman" w:eastAsia="Times New Roman" w:hAnsi="Times New Roman"/>
          <w:sz w:val="18"/>
          <w:szCs w:val="18"/>
          <w:color w:val="auto"/>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 level. Accordingly, as of March 31, 2024 and December 31, 2023, approximately $68.5 million and $72.0 million, respectively, of deferred revenue is presented net within contract assets arising from the same contracts. The amount of revenues recognized in the period that was included in the opening deferred revenues balance was $158.2 million for the three months ended March 31, 2024.</w:t>
      </w:r>
    </w:p>
    <w:p>
      <w:pPr>
        <w:spacing w:after="0" w:line="156"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As of March 31, 2024, revenue of approximately $1,005.2 million is expected to be recognized from remaining performance obligations for license, maintenance and related revenues, of which $496.2 million is expected to be recognized over the next twelve months.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record revenue net of any taxes assessed by governmental authorities.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Disaggregation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disaggregates our revenues by geography (in millions):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992.3</w:t>
            </w:r>
          </w:p>
        </w:tc>
        <w:tc>
          <w:tcPr>
            <w:tcW w:w="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(excluding United Kingdom), Middle East and Africa</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Asia-Pacific and Japan</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Americas, excluding United States and Canada</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r>
      <w:tr>
        <w:trPr>
          <w:trHeight w:val="277"/>
        </w:trPr>
        <w:tc>
          <w:tcPr>
            <w:tcW w:w="6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1,435.0</w:t>
            </w:r>
          </w:p>
        </w:tc>
        <w:tc>
          <w:tcPr>
            <w:tcW w:w="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shd w:val="clear" w:color="auto" w:fill="CFF0FC"/>
          </w:tcPr>
          <w:p>
            <w:pPr>
              <w:spacing w:after="0"/>
              <w:rPr>
                <w:sz w:val="24"/>
                <w:szCs w:val="24"/>
                <w:color w:val="auto"/>
              </w:rPr>
            </w:pPr>
          </w:p>
        </w:tc>
      </w:tr>
      <w:tr>
        <w:trPr>
          <w:trHeight w:val="413"/>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following table disaggregates our revenues by source (in millions):</w:t>
            </w:r>
          </w:p>
        </w:tc>
        <w:tc>
          <w:tcPr>
            <w:tcW w:w="3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65"/>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6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term licenses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r>
      <w:tr>
        <w:trPr>
          <w:trHeight w:val="277"/>
        </w:trPr>
        <w:tc>
          <w:tcPr>
            <w:tcW w:w="66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-1464945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-1447800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-1464945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-1447800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10—Stock 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tock options, SARs, PSUs and RSUs</w:t>
      </w:r>
    </w:p>
    <w:p>
      <w:pPr>
        <w:spacing w:after="0" w:line="22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amount of stock-based compensation expense recognized in our Condensed Consolidated Statements of Comprehensive Income for the three months ended March 31, 2024 and 2023 was as follows (in millions):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Classification</w:t>
            </w:r>
          </w:p>
        </w:tc>
        <w:tc>
          <w:tcPr>
            <w:tcW w:w="220" w:type="dxa"/>
            <w:vAlign w:val="bottom"/>
            <w:vMerge w:val="restart"/>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software-enabled services</w:t>
            </w: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2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license, maintenance and other related</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cost of revenues</w:t>
            </w:r>
          </w:p>
        </w:tc>
        <w:tc>
          <w:tcPr>
            <w:tcW w:w="5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3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50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3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3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2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-779145</wp:posOffset>
            </wp:positionV>
            <wp:extent cx="59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-779145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-179070</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6"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The stock-based compensation expense related to performance awards is adjusted for changes in our assessment of the performance target level that is probable of being achieved and the number of performance-based equity awards expected to vest. In December 2021, we granted performance-based stock options (“PSOs”) for which the 3-year performance period ends in December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2" w:name="page13"/>
    <w:bookmarkEnd w:id="12"/>
    <w:p>
      <w:pPr>
        <w:ind w:right="60"/>
        <w:spacing w:after="0" w:line="282" w:lineRule="auto"/>
        <w:rPr>
          <w:sz w:val="20"/>
          <w:szCs w:val="20"/>
          <w:color w:val="auto"/>
        </w:rPr>
      </w:pPr>
      <w:r>
        <w:rPr>
          <w:rFonts w:ascii="Times New Roman" w:cs="Times New Roman" w:eastAsia="Times New Roman" w:hAnsi="Times New Roman"/>
          <w:sz w:val="18"/>
          <w:szCs w:val="18"/>
          <w:color w:val="auto"/>
        </w:rPr>
        <w:t>2024. If the threshold level of performance is not achieved for these PSOs, $42.7 million of previously recorded stock-based compensation expense will be reversed.</w:t>
      </w:r>
    </w:p>
    <w:p>
      <w:pPr>
        <w:spacing w:after="0" w:line="54" w:lineRule="exact"/>
        <w:rPr>
          <w:sz w:val="20"/>
          <w:szCs w:val="20"/>
          <w:color w:val="auto"/>
        </w:rPr>
      </w:pPr>
    </w:p>
    <w:p>
      <w:pPr>
        <w:ind w:right="38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and stock appreciation rights (“SARs”) activity, as well as performance stock units (“PSUs”) and restricted stock units (“RSUs”) activity, for the three months ended March 31, 2024 (shares in millions):</w:t>
      </w:r>
    </w:p>
    <w:p>
      <w:pPr>
        <w:spacing w:after="0" w:line="4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 Options and</w:t>
            </w:r>
          </w:p>
        </w:tc>
        <w:tc>
          <w:tcPr>
            <w:tcW w:w="17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PSUs and RSUs</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SARs</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300" w:type="dxa"/>
            <w:vAlign w:val="bottom"/>
            <w:shd w:val="clear" w:color="auto" w:fill="CFF0FC"/>
          </w:tcPr>
          <w:p>
            <w:pPr>
              <w:spacing w:after="0"/>
              <w:rPr>
                <w:sz w:val="22"/>
                <w:szCs w:val="22"/>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(0.5 )</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63"/>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(1.3 )</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7"/>
        </w:trPr>
        <w:tc>
          <w:tcPr>
            <w:tcW w:w="4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300" w:type="dxa"/>
            <w:vAlign w:val="bottom"/>
            <w:tcBorders>
              <w:top w:val="single" w:sz="8" w:color="CFF0FC"/>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-187960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11—Income Taxes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effective tax rate was 29.7% and 29.4% for the three months ended March 31, 2024 and 2023, respectively. The change in the effective tax rate for the three months ended March 31, 2024 compared to the prior year was primarily due to a proportionate change in the composition of income before income taxes from foreign and domestic tax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12—Earnings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(in millions, except per share amounts):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260" w:type="dxa"/>
            <w:vAlign w:val="bottom"/>
          </w:tcPr>
          <w:p>
            <w:pPr>
              <w:spacing w:after="0"/>
              <w:rPr>
                <w:sz w:val="16"/>
                <w:szCs w:val="16"/>
                <w:color w:val="auto"/>
              </w:rPr>
            </w:pPr>
          </w:p>
        </w:tc>
        <w:tc>
          <w:tcPr>
            <w:tcW w:w="28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2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SS&amp;C common stockholders</w:t>
            </w:r>
          </w:p>
        </w:tc>
        <w:tc>
          <w:tcPr>
            <w:tcW w:w="820" w:type="dxa"/>
            <w:vAlign w:val="bottom"/>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attributable to SS&amp;C:</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used in calculation of basic EPS</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stock equivalents – stock options and restricted shares</w:t>
            </w:r>
          </w:p>
        </w:tc>
        <w:tc>
          <w:tcPr>
            <w:tcW w:w="8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7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common and common equivalent shares outstanding – used in calculation of</w:t>
            </w:r>
          </w:p>
        </w:tc>
        <w:tc>
          <w:tcPr>
            <w:tcW w:w="82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Basic</w:t>
            </w: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Diluted</w:t>
            </w:r>
          </w:p>
        </w:tc>
        <w:tc>
          <w:tcPr>
            <w:tcW w:w="820" w:type="dxa"/>
            <w:vAlign w:val="bottom"/>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-762000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-762000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Weighted-average stock options, SARs, RSUs and PSUs representing 18.4 million and 25.0 million shares were outstanding for the three months ended March 31, 2024 and 2023, respectively, but were not included in the computation of diluted EPS because the effect of including them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3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2023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spacing w:after="0" w:line="16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Ongoing macroeconomic conditions, such as increases in interest rates, inflation and changes in foreign currency exchange rates, could have impacts on our results that are uncertain and, in many respects, outside our control. The situations remain dynamic and subject to rapid and possibly material change, which ultimately could result in material negative effects on our business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results of operations. We will continue to evaluate the nature and extent of the potential impacts to our business, consolidated results of operations, liquidity and capital resources.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2023 Form 10-K. Our critical accounting policies are described in the 2023 Form 10-K and include:</w:t>
      </w:r>
    </w:p>
    <w:p>
      <w:pPr>
        <w:spacing w:after="0" w:line="8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 Goodwill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Capitalization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67"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Our results of operations below include the results of our recent acquisition from the date which it was acquired. The Iress Managed Funds Administration Business (“2023 acquisition”) was acquired in October 2023.</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our total revenues represented by each of the following sources of revenues for the periods indicated:</w:t>
      </w:r>
    </w:p>
    <w:p>
      <w:pPr>
        <w:spacing w:after="0" w:line="6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r>
      <w:tr>
        <w:trPr>
          <w:trHeight w:val="22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82.8 %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81.8 %</w:t>
            </w:r>
          </w:p>
        </w:tc>
      </w:tr>
      <w:tr>
        <w:trPr>
          <w:trHeight w:val="252"/>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8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0"/>
        </w:trPr>
        <w:tc>
          <w:tcPr>
            <w:tcW w:w="5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100.0 %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-496570</wp:posOffset>
            </wp:positionV>
            <wp:extent cx="4989195"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-179705</wp:posOffset>
            </wp:positionV>
            <wp:extent cx="4989195"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89195" cy="180340"/>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p>
      <w:pPr>
        <w:spacing w:after="0" w:line="23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The following table sets forth revenues (dollars in millions) and percent change in revenues for the periods indicated:</w:t>
      </w:r>
    </w:p>
    <w:p>
      <w:pPr>
        <w:spacing w:after="0" w:line="200" w:lineRule="exact"/>
        <w:rPr>
          <w:sz w:val="20"/>
          <w:szCs w:val="20"/>
          <w:color w:val="auto"/>
        </w:rPr>
      </w:pPr>
    </w:p>
    <w:p>
      <w:pPr>
        <w:spacing w:after="0" w:line="38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10"/>
        </w:trPr>
        <w:tc>
          <w:tcPr>
            <w:tcW w:w="5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w:t>
            </w:r>
          </w:p>
        </w:tc>
      </w:tr>
      <w:tr>
        <w:trPr>
          <w:trHeight w:val="25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3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1,362.7</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6412230" cy="18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Percent</w:t>
      </w:r>
    </w:p>
    <w:p>
      <w:pPr>
        <w:jc w:val="center"/>
        <w:ind w:right="900"/>
        <w:spacing w:after="0" w:line="229" w:lineRule="auto"/>
        <w:rPr>
          <w:sz w:val="20"/>
          <w:szCs w:val="20"/>
          <w:color w:val="auto"/>
        </w:rPr>
      </w:pPr>
      <w:r>
        <w:rPr>
          <w:rFonts w:ascii="Times New Roman" w:cs="Times New Roman" w:eastAsia="Times New Roman" w:hAnsi="Times New Roman"/>
          <w:sz w:val="14"/>
          <w:szCs w:val="14"/>
          <w:b w:val="1"/>
          <w:bCs w:val="1"/>
          <w:color w:val="auto"/>
        </w:rPr>
        <w:t>Change from</w:t>
      </w:r>
    </w:p>
    <w:p>
      <w:pPr>
        <w:jc w:val="center"/>
        <w:ind w:right="900"/>
        <w:spacing w:after="0" w:line="221" w:lineRule="auto"/>
        <w:rPr>
          <w:sz w:val="20"/>
          <w:szCs w:val="20"/>
          <w:color w:val="auto"/>
        </w:rPr>
      </w:pPr>
      <w:r>
        <w:rPr>
          <w:rFonts w:ascii="Times New Roman" w:cs="Times New Roman" w:eastAsia="Times New Roman" w:hAnsi="Times New Roman"/>
          <w:sz w:val="14"/>
          <w:szCs w:val="14"/>
          <w:b w:val="1"/>
          <w:bCs w:val="1"/>
          <w:color w:val="auto"/>
        </w:rPr>
        <w:t>Prior</w:t>
      </w:r>
    </w:p>
    <w:p>
      <w:pPr>
        <w:spacing w:after="0" w:line="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5080</wp:posOffset>
            </wp:positionV>
            <wp:extent cx="8483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6.6 %</w:t>
      </w:r>
    </w:p>
    <w:p>
      <w:pPr>
        <w:spacing w:after="0" w:line="50"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(0.5 )%</w:t>
      </w:r>
    </w:p>
    <w:p>
      <w:pPr>
        <w:spacing w:after="0" w:line="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5.3 %</w:t>
      </w:r>
    </w:p>
    <w:p>
      <w:pPr>
        <w:spacing w:after="0" w:line="240" w:lineRule="exact"/>
        <w:rPr>
          <w:sz w:val="20"/>
          <w:szCs w:val="20"/>
          <w:color w:val="auto"/>
        </w:rPr>
      </w:pPr>
    </w:p>
    <w:p>
      <w:pPr>
        <w:sectPr>
          <w:pgSz w:w="11900" w:h="16838" w:orient="portrait"/>
          <w:cols w:equalWidth="0" w:num="2">
            <w:col w:w="9060" w:space="440"/>
            <w:col w:w="1720"/>
          </w:cols>
          <w:pgMar w:left="320" w:top="1161" w:right="35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type w:val="continuous"/>
        </w:sectPr>
      </w:pPr>
    </w:p>
    <w:bookmarkStart w:id="14" w:name="page15"/>
    <w:bookmarkEnd w:id="14"/>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Three Months Ended March 31, 2024 and 2023</w:t>
      </w:r>
      <w:r>
        <w:rPr>
          <w:rFonts w:ascii="Times New Roman" w:cs="Times New Roman" w:eastAsia="Times New Roman" w:hAnsi="Times New Roman"/>
          <w:sz w:val="18"/>
          <w:szCs w:val="18"/>
          <w:color w:val="auto"/>
        </w:rPr>
        <w:t>. Our revenues increased $72.3 million, or 5.3%, primarily due to an increase of $63.8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revenues driven by strength in the SS&amp;C GlobeOp fund administration and virtual data room services businesses. Our revenues also increased due to the favorable impact from foreign currency translation of $5.6 million and the 2023 acquisition, which contributed $2.9 million in revenues. Software-enabled services revenues increased $73.5 million, or 6.6%, primarily due to an increase in organic revenues of $65.5 million and the favorable impact from foreign currency translation of $5.4 million, as well as the acquisition, which added $2.6 million in revenues. License, maintenance and related revenues decreased $1.2 million, or 0.5%, primarily due to a decrease in organic revenues of $1.7 million. Those decreases were partially offset by the acquisition, which added $0.3 million in revenues, and the favorable impact from foreign currency translation of $0.2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each of the following cost of revenues as a percentage of their respective revenue source for the periods indicated:</w:t>
      </w:r>
    </w:p>
    <w:p>
      <w:pPr>
        <w:spacing w:after="0" w:line="12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1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r>
      <w:tr>
        <w:trPr>
          <w:trHeight w:val="22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56.6 %</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38.1 %</w:t>
            </w:r>
          </w:p>
        </w:tc>
      </w:tr>
      <w:tr>
        <w:trPr>
          <w:trHeight w:val="243"/>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r>
      <w:tr>
        <w:trPr>
          <w:trHeight w:val="24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-607695</wp:posOffset>
            </wp:positionV>
            <wp:extent cx="498919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-299720</wp:posOffset>
            </wp:positionV>
            <wp:extent cx="498919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cost of revenues (dollars in millions) and percent change in cost of revenues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1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631.0</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5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8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1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725.7</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6412230" cy="180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Three Months Ended March 31, 2024 and 2023</w:t>
      </w:r>
      <w:r>
        <w:rPr>
          <w:rFonts w:ascii="Times New Roman" w:cs="Times New Roman" w:eastAsia="Times New Roman" w:hAnsi="Times New Roman"/>
          <w:sz w:val="18"/>
          <w:szCs w:val="18"/>
          <w:color w:val="auto"/>
        </w:rPr>
        <w:t>. Our total cost of revenues increased by $2.1 million, or 0.3%, due to the 2023 acquisition,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costs of $4.7 million, and the unfavorable impact from foreign currency translation, which increased costs by $3.1 million. These increases were partially offset by a $5.7 million decrease in organic costs. Our organic cost decrease reflects continued efficiency improvement efforts in delivering client service. Cost of software-enabled services revenues increased $2.8 million, or 0.4%, primarily due to the 2023 acquisition, which added $4.7 million in costs, and the unfavorable impact from foreign currency translation of $2.6 million. These increases were partially offset by a $4.5 million decrease in organic costs. Cost of license, maintenance and related revenues decreased $0.7 million, or 0.7%, primarily due to a $1.2 million decrease in organic costs, partially offset by the unfavorable impact from foreign currency translation of $0.5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percentage of our total revenues represented by each of the following operating expenses for the periods indicated:</w:t>
      </w:r>
    </w:p>
    <w:p>
      <w:pPr>
        <w:spacing w:after="0" w:line="12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1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r>
      <w:tr>
        <w:trPr>
          <w:trHeight w:val="22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5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26.3 %</w:t>
            </w:r>
          </w:p>
        </w:tc>
      </w:tr>
      <w:tr>
        <w:trPr>
          <w:trHeight w:val="20"/>
        </w:trPr>
        <w:tc>
          <w:tcPr>
            <w:tcW w:w="5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-650875</wp:posOffset>
            </wp:positionV>
            <wp:extent cx="498919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-342265</wp:posOffset>
            </wp:positionV>
            <wp:extent cx="498919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22222"/>
        </w:rPr>
        <w:t>The following table sets forth operating expenses (dollars in millions) and percent change in operating expenses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1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139.8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118.2</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6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3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1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356.9</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1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Three Months Ended March 31, 2024 and 2023</w:t>
      </w:r>
      <w:r>
        <w:rPr>
          <w:rFonts w:ascii="Times New Roman" w:cs="Times New Roman" w:eastAsia="Times New Roman" w:hAnsi="Times New Roman"/>
          <w:sz w:val="18"/>
          <w:szCs w:val="18"/>
          <w:color w:val="auto"/>
        </w:rPr>
        <w:t>. Operating expenses increased $17.4 million, or 4.9%, due to an increase of $15.1 million in organic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the unfavorable impact from foreign currency translation of $1.8 million and the 2023 acquisition, which added $0.5 million in expenses. Total operating expenses, excluding the impact of acquisitions and foreign currency translation, primarily increased due to shifting resources to support organic growth.</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2024 and 2023 for Interest, Taxes and Other</w:t>
      </w:r>
    </w:p>
    <w:p>
      <w:pPr>
        <w:spacing w:after="0" w:line="185" w:lineRule="exact"/>
        <w:rPr>
          <w:sz w:val="20"/>
          <w:szCs w:val="20"/>
          <w:color w:val="auto"/>
        </w:rPr>
      </w:pPr>
    </w:p>
    <w:p>
      <w:pPr>
        <w:jc w:val="both"/>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Net interest expense totaled $116.0 million for the three months ended March 31, 2024 compared to $111.9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The increase in interest expense, net for 2024 as compared to 2023, is due to a higher average interest rate on debt. We had an average interest rate of 6.86% and 6.21%, respectively, for the three months ended March 31, 2024 and 2023.</w:t>
      </w:r>
    </w:p>
    <w:p>
      <w:pPr>
        <w:spacing w:after="0" w:line="14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$6.6 million for the three months ended March 31, 2024 compared to $5.4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2023. For the three months ended March 31, 2024, other income, consisted primarily of dividend income of $10.5 million, partially offset by foreign currency translation losses of $4.7 million. For the three months ended March 31, 2023, other income, net consisted primarily of dividend income of $10.2 million, partially offset by losses of $6.1 million related to the fair value adjustments on assets held for sale.</w:t>
      </w:r>
    </w:p>
    <w:p>
      <w:pPr>
        <w:spacing w:after="0" w:line="139"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in earnings of unconsolidated affiliates, net. </w:t>
      </w:r>
      <w:r>
        <w:rPr>
          <w:rFonts w:ascii="Times New Roman" w:cs="Times New Roman" w:eastAsia="Times New Roman" w:hAnsi="Times New Roman"/>
          <w:sz w:val="18"/>
          <w:szCs w:val="18"/>
          <w:color w:val="auto"/>
        </w:rPr>
        <w:t>Equity in earnings of unconsolidated affiliates, net totaled $2.3 million and $5.7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and 2023. Our equity in earnings of unconsolidated affiliates, net in 2023 included a $4.8 million adjustment to increase the carrying value of one of our investments.</w:t>
      </w:r>
    </w:p>
    <w:p>
      <w:pPr>
        <w:spacing w:after="0" w:line="133"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following table sets forth the provision for income taxes (dollars in millions) and effective tax rates for the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indicated:</w:t>
      </w:r>
    </w:p>
    <w:p>
      <w:pPr>
        <w:ind w:left="7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9525</wp:posOffset>
            </wp:positionV>
            <wp:extent cx="21342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7860"/>
        <w:spacing w:after="0"/>
        <w:tabs>
          <w:tab w:leader="none" w:pos="96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5"/>
              </w:rPr>
              <w:t>66.7</w:t>
            </w:r>
          </w:p>
        </w:tc>
        <w:tc>
          <w:tcPr>
            <w:tcW w:w="26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5"/>
              </w:rPr>
              <w:t>52.5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60" w:type="dxa"/>
            <w:vAlign w:val="bottom"/>
          </w:tcPr>
          <w:p>
            <w:pPr>
              <w:spacing w:after="0"/>
              <w:rPr>
                <w:sz w:val="22"/>
                <w:szCs w:val="22"/>
                <w:color w:val="auto"/>
              </w:rPr>
            </w:pP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29.7 %</w:t>
            </w:r>
          </w:p>
        </w:tc>
        <w:tc>
          <w:tcPr>
            <w:tcW w:w="660" w:type="dxa"/>
            <w:vAlign w:val="bottom"/>
          </w:tcPr>
          <w:p>
            <w:pPr>
              <w:spacing w:after="0"/>
              <w:rPr>
                <w:sz w:val="22"/>
                <w:szCs w:val="22"/>
                <w:color w:val="auto"/>
              </w:rPr>
            </w:pPr>
          </w:p>
        </w:tc>
        <w:tc>
          <w:tcPr>
            <w:tcW w:w="10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0"/>
              </w:rPr>
              <w:t>29.4 %</w:t>
            </w:r>
          </w:p>
        </w:tc>
      </w:tr>
    </w:tbl>
    <w:p>
      <w:pPr>
        <w:spacing w:after="0" w:line="25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effective tax rates for the three months ended March 31, 2024 and 2023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months ended March 31, 2024 compared to the prior year was primarily due to a proportionate change in the composition of income before income taxes from foreign and domestic tax jurisdictions. While we have income from multiple foreign sources, the majority of our non-U.S. operations are in the United Kingdom and India. We anticipate the statutory tax rates in 2024 to be 25.0% in the United Kingdom and approximately 28.0% in India. A future change in the composition of income before income taxes from foreign and domestic tax jurisdictions could impact our periodic effective tax 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6" w:name="page17"/>
    <w:bookmarkEnd w:id="16"/>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which includes a 15% corporate alternative minimum tax and a 1% excise tax on stock repurchases. The provisions were effective January 1, 2023 and were immaterial to our financial results, financial position and cash flows. The 1% excise tax on share repurchases is included as a cost to acquire treasury stock.</w:t>
      </w:r>
    </w:p>
    <w:p>
      <w:pPr>
        <w:spacing w:after="0" w:line="14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2021, the OECD (“Organisation for Economic Co-operation and Development”)/G20 Inclusive Framework on Base Erosion and Profit Shifting released Model Global Anti-Base Erosion rules under Pillar Two. Further guidance has been released throughout 2022 and 2023. Certain aspects of Pillar Two are effective January 1, 2024 and other aspects are effective January 1, 2025. Many non-U.S. tax jurisdictions in which we operate have either recently enacted legislation or are in the process of enacting legislation to adopt certain components of the Pillar Two Model Rules beginning in 2024 or in future years. We do not expect the provisions effective in 2024 to materially impact our financial results, financial position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intend to refinance the $3,515.3 million Term Loans B-3, B-4 and B-5, which are due April 16, 2025, in the near term. However, there can be no assurance that we will be able to obtain such financing on acceptable terms, or at all. Provided that we do obtain such financing, we expect our cash on hand, cash flows from operations and cash available under our Credit Agreement to provide sufficient liquidity to fund our current obligations, projected working capital requirements and capital spending for at least the next twelve months.</w:t>
      </w:r>
    </w:p>
    <w:p>
      <w:pPr>
        <w:spacing w:after="0" w:line="15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paid a quarterly cash dividend of $0.24 per share of common stock in March 2024 totaling $59.7 million. We paid a quarterly cash dividend of $0.20 per share of common stock in March 2023 totaling $50.7 million.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$2,027.0 million of client funds obligations at March 31, 2024.</w:t>
      </w:r>
    </w:p>
    <w:p>
      <w:pPr>
        <w:spacing w:after="0" w:line="139"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our Condensed Consolidated Statements of Cash Flows, are summarized in the following table (in millions):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cash, cash equivalents and restricted cash provided by (used in):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70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Prior 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240" w:type="dxa"/>
            <w:vAlign w:val="bottom"/>
          </w:tcPr>
          <w:p>
            <w:pPr>
              <w:spacing w:after="0"/>
              <w:rPr>
                <w:sz w:val="22"/>
                <w:szCs w:val="22"/>
                <w:color w:val="auto"/>
              </w:rPr>
            </w:pP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(74.3 )</w:t>
            </w:r>
          </w:p>
        </w:tc>
        <w:tc>
          <w:tcPr>
            <w:tcW w:w="0" w:type="dxa"/>
            <w:vAlign w:val="bottom"/>
          </w:tcPr>
          <w:p>
            <w:pPr>
              <w:spacing w:after="0"/>
              <w:rPr>
                <w:sz w:val="1"/>
                <w:szCs w:val="1"/>
                <w:color w:val="auto"/>
              </w:rPr>
            </w:pPr>
          </w:p>
        </w:tc>
      </w:tr>
      <w:tr>
        <w:trPr>
          <w:trHeight w:val="280"/>
        </w:trPr>
        <w:tc>
          <w:tcPr>
            <w:tcW w:w="5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880" w:type="dxa"/>
            <w:vAlign w:val="bottom"/>
            <w:shd w:val="clear" w:color="auto" w:fill="CFF0FC"/>
          </w:tcPr>
          <w:p>
            <w:pPr>
              <w:spacing w:after="0"/>
              <w:rPr>
                <w:sz w:val="24"/>
                <w:szCs w:val="2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(50.6 )</w:t>
            </w:r>
          </w:p>
        </w:tc>
        <w:tc>
          <w:tcPr>
            <w:tcW w:w="900" w:type="dxa"/>
            <w:vAlign w:val="bottom"/>
            <w:shd w:val="clear" w:color="auto" w:fill="CFF0FC"/>
          </w:tcPr>
          <w:p>
            <w:pPr>
              <w:spacing w:after="0"/>
              <w:rPr>
                <w:sz w:val="24"/>
                <w:szCs w:val="24"/>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(49.8 )</w:t>
            </w:r>
          </w:p>
        </w:tc>
        <w:tc>
          <w:tcPr>
            <w:tcW w:w="12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60"/>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88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(835.9 )</w:t>
            </w:r>
          </w:p>
        </w:tc>
        <w:tc>
          <w:tcPr>
            <w:tcW w:w="90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8"/>
              </w:rPr>
              <w:t>(755.3 )</w:t>
            </w:r>
          </w:p>
        </w:tc>
        <w:tc>
          <w:tcPr>
            <w:tcW w:w="12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(80.6 )</w:t>
            </w:r>
          </w:p>
        </w:tc>
        <w:tc>
          <w:tcPr>
            <w:tcW w:w="0" w:type="dxa"/>
            <w:vAlign w:val="bottom"/>
          </w:tcPr>
          <w:p>
            <w:pPr>
              <w:spacing w:after="0"/>
              <w:rPr>
                <w:sz w:val="1"/>
                <w:szCs w:val="1"/>
                <w:color w:val="auto"/>
              </w:rPr>
            </w:pPr>
          </w:p>
        </w:tc>
      </w:tr>
      <w:tr>
        <w:trPr>
          <w:trHeight w:val="263"/>
        </w:trPr>
        <w:tc>
          <w:tcPr>
            <w:tcW w:w="5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88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(3.8 )</w:t>
            </w: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(709.8 )</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8"/>
              </w:rPr>
              <w:t>(549.4 )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(160.4 )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-179070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-179070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$180.5 million for the three months ended March 31, 2024. Cash provided by operating activities primarily resulted from net income of $158.0 million adjusted for non-cash items of $186.1 million, partially offset by changes in our working capital accounts totaling $163.6 million. The changes in our working capital accounts were driven by decreases in accrued expenses, an increase in accounts receivable and a decrease in accounts payable, partially offset by an increase in deferred revenue and change in income taxes prepaid and payable. The change in income taxes prepaid and payable is primarily driven by the timing of tax payments.</w:t>
      </w:r>
    </w:p>
    <w:p>
      <w:pPr>
        <w:spacing w:after="0" w:line="15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Investing activities used net cash of $50.6 million for the three months ended March 31, 2024, primarily related to $50.0 million in capitalized software development costs and $5.8 million in capital expenditures, partially offset by proceeds from the sale of property and equipment of $3.3 million and the collection of other non-current receivables of $2.5 million.</w:t>
      </w:r>
    </w:p>
    <w:p>
      <w:pPr>
        <w:spacing w:after="0" w:line="13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Financing activities used net cash of $835.9 million for the three months ended March 31, 2024, primarily representing a net decrease in client fund obligations of $690.0 million, $79.9 million of net debt repayments, $59.7 million in quarterly dividends paid and $52.9 million of purchases of common stock for treasury. These expenditures were partially offset by proceeds of $53.4 million from stock option exercises.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7" w:name="page18"/>
    <w:bookmarkEnd w:id="17"/>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made a permanent reinvestment determination in certain non-U.S. operations that have historically generated positive operating cash flows. At March 31, 2024, we held approximately $225.2 million in cash and cash equivalents at non-U.S. subsidiaries where we had made such a determination and in turn no provision for income taxes had been made. At March 31, 2024, we held approximately $111.2 million in cash that was available to our foreign borrowers under our senior secured credit facility and will be used to facilitate debt servicing of those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 and Senior Notes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summary of the key terms of our Senior Secured Credit Facilities and Senior Notes: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340" w:type="dxa"/>
            <w:vAlign w:val="bottom"/>
          </w:tcPr>
          <w:p>
            <w:pPr>
              <w:spacing w:after="0"/>
              <w:rPr>
                <w:sz w:val="13"/>
                <w:szCs w:val="13"/>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Quarterly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340" w:type="dxa"/>
            <w:vAlign w:val="bottom"/>
          </w:tcPr>
          <w:p>
            <w:pPr>
              <w:spacing w:after="0"/>
              <w:rPr>
                <w:sz w:val="15"/>
                <w:szCs w:val="15"/>
                <w:color w:val="auto"/>
              </w:rPr>
            </w:pPr>
          </w:p>
        </w:tc>
        <w:tc>
          <w:tcPr>
            <w:tcW w:w="2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Required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Senior Secured Credit Facilities</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Term Loan B-3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340" w:type="dxa"/>
            <w:vAlign w:val="bottom"/>
          </w:tcPr>
          <w:p>
            <w:pPr>
              <w:spacing w:after="0"/>
              <w:rPr>
                <w:sz w:val="23"/>
                <w:szCs w:val="2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2025</w:t>
            </w:r>
          </w:p>
        </w:tc>
        <w:tc>
          <w:tcPr>
            <w:tcW w:w="23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40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Loan B-4</w:t>
            </w:r>
          </w:p>
        </w:tc>
        <w:tc>
          <w:tcPr>
            <w:tcW w:w="2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340" w:type="dxa"/>
            <w:vAlign w:val="bottom"/>
            <w:shd w:val="clear" w:color="auto" w:fill="CFF0FC"/>
          </w:tcPr>
          <w:p>
            <w:pPr>
              <w:spacing w:after="0"/>
              <w:rPr>
                <w:sz w:val="21"/>
                <w:szCs w:val="21"/>
                <w:color w:val="auto"/>
              </w:rPr>
            </w:pP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16, 2025</w:t>
            </w:r>
          </w:p>
        </w:tc>
        <w:tc>
          <w:tcPr>
            <w:tcW w:w="230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Term Loan B-5</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34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2025</w:t>
            </w:r>
          </w:p>
        </w:tc>
        <w:tc>
          <w:tcPr>
            <w:tcW w:w="23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0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Loan B-6</w:t>
            </w:r>
          </w:p>
        </w:tc>
        <w:tc>
          <w:tcPr>
            <w:tcW w:w="2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340" w:type="dxa"/>
            <w:vAlign w:val="bottom"/>
            <w:shd w:val="clear" w:color="auto" w:fill="CFF0FC"/>
          </w:tcPr>
          <w:p>
            <w:pPr>
              <w:spacing w:after="0"/>
              <w:rPr>
                <w:sz w:val="21"/>
                <w:szCs w:val="21"/>
                <w:color w:val="auto"/>
              </w:rPr>
            </w:pP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22, 2029</w:t>
            </w:r>
          </w:p>
        </w:tc>
        <w:tc>
          <w:tcPr>
            <w:tcW w:w="230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Term Loan B-7</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34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22, 2029</w:t>
            </w:r>
          </w:p>
        </w:tc>
        <w:tc>
          <w:tcPr>
            <w:tcW w:w="23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0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28, 2027</w:t>
            </w:r>
          </w:p>
        </w:tc>
        <w:tc>
          <w:tcPr>
            <w:tcW w:w="220" w:type="dxa"/>
            <w:vAlign w:val="bottom"/>
            <w:shd w:val="clear" w:color="auto" w:fill="CFF0FC"/>
          </w:tcPr>
          <w:p>
            <w:pPr>
              <w:spacing w:after="0"/>
              <w:rPr>
                <w:sz w:val="21"/>
                <w:szCs w:val="21"/>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Senior Notes</w:t>
            </w:r>
          </w:p>
        </w:tc>
        <w:tc>
          <w:tcPr>
            <w:tcW w:w="30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340" w:type="dxa"/>
            <w:vAlign w:val="bottom"/>
          </w:tcPr>
          <w:p>
            <w:pPr>
              <w:spacing w:after="0"/>
              <w:rPr>
                <w:sz w:val="16"/>
                <w:szCs w:val="16"/>
                <w:color w:val="auto"/>
              </w:rPr>
            </w:pPr>
          </w:p>
        </w:tc>
        <w:tc>
          <w:tcPr>
            <w:tcW w:w="2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September 30, 2027</w:t>
            </w:r>
          </w:p>
        </w:tc>
        <w:tc>
          <w:tcPr>
            <w:tcW w:w="220" w:type="dxa"/>
            <w:vAlign w:val="bottom"/>
          </w:tcPr>
          <w:p>
            <w:pPr>
              <w:spacing w:after="0"/>
              <w:rPr>
                <w:sz w:val="16"/>
                <w:szCs w:val="16"/>
                <w:color w:val="auto"/>
              </w:rPr>
            </w:pPr>
          </w:p>
        </w:tc>
        <w:tc>
          <w:tcPr>
            <w:tcW w:w="2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senior secured credit facility has a revolving credit facility available for borrowings by SS&amp;C with $600.0 million in available commitments (“Revolving Credit Facility”), of which $596.2 million was available as of March 31, 2024. The Revolving Credit Facility also contains a $75.0 million letter of credit sub-facility, of which $3.8 million was utilized as of March 31, 2024.</w:t>
      </w:r>
    </w:p>
    <w:p>
      <w:pPr>
        <w:spacing w:after="0" w:line="13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obligations under the Term Loans are guaranteed by (i) our existing and future U.S. wholly-owned restricted subsidiaries, in the case of the Term B-3 Loan, Term B-5 Loan, Term B-6 Loan and the Revolving Credit Facility and (ii) our existing and future wholly-owned restricted subsidiaries, in the case of the Term B-4 Loan and Term B-7 Loan.</w:t>
      </w:r>
    </w:p>
    <w:p>
      <w:pPr>
        <w:spacing w:after="0" w:line="13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obligations of the U.S.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amended senior secured credit facility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6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minimum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March 31, 2024, we were in compliance with all financial and non-financial covenants.</w:t>
      </w:r>
    </w:p>
    <w:p>
      <w:pPr>
        <w:spacing w:after="0" w:line="1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Senior Notes are guaranteed, jointly and severally, by SS&amp;C Holdings and all of its existing and future domestic restricted subsidiaries that guarantee our existing senior secured credit facilities or certain other indebtedness. The Senior Notes are unsecured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ind w:right="40"/>
        <w:spacing w:after="0" w:line="282" w:lineRule="auto"/>
        <w:rPr>
          <w:sz w:val="20"/>
          <w:szCs w:val="20"/>
          <w:color w:val="auto"/>
        </w:rPr>
      </w:pPr>
      <w:r>
        <w:rPr>
          <w:rFonts w:ascii="Times New Roman" w:cs="Times New Roman" w:eastAsia="Times New Roman" w:hAnsi="Times New Roman"/>
          <w:sz w:val="18"/>
          <w:szCs w:val="18"/>
          <w:color w:val="auto"/>
        </w:rPr>
        <w:t>senior obligations that are equal in right of payment to all of our existing and future senior unsecured indebtedness. Interest on the Senior Notes is payable on March 30 and September 30 of each year.</w:t>
      </w:r>
    </w:p>
    <w:p>
      <w:pPr>
        <w:spacing w:after="0" w:line="135" w:lineRule="exact"/>
        <w:rPr>
          <w:sz w:val="20"/>
          <w:szCs w:val="20"/>
          <w:color w:val="auto"/>
        </w:rPr>
      </w:pPr>
    </w:p>
    <w:p>
      <w:pPr>
        <w:ind w:right="100" w:firstLine="584"/>
        <w:spacing w:after="0" w:line="282" w:lineRule="auto"/>
        <w:rPr>
          <w:sz w:val="20"/>
          <w:szCs w:val="20"/>
          <w:color w:val="auto"/>
        </w:rPr>
      </w:pPr>
      <w:r>
        <w:rPr>
          <w:rFonts w:ascii="Times New Roman" w:cs="Times New Roman" w:eastAsia="Times New Roman" w:hAnsi="Times New Roman"/>
          <w:sz w:val="18"/>
          <w:szCs w:val="18"/>
          <w:color w:val="auto"/>
        </w:rPr>
        <w:t>At any time and from time to time, we may, at our option, redeem some or all of the Senior Notes, in whole or in part, at the redemption prices set forth in the following table, expressed as a percentage of the principal amount, plus accrued and unpaid interest to the redemption date:</w:t>
      </w:r>
    </w:p>
    <w:p>
      <w:pPr>
        <w:spacing w:after="0" w:line="34"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4700" w:type="dxa"/>
            <w:vAlign w:val="bottom"/>
          </w:tcPr>
          <w:p>
            <w:pPr>
              <w:spacing w:after="0"/>
              <w:rPr>
                <w:sz w:val="16"/>
                <w:szCs w:val="16"/>
                <w:color w:val="auto"/>
              </w:rPr>
            </w:pPr>
          </w:p>
        </w:tc>
        <w:tc>
          <w:tcPr>
            <w:tcW w:w="16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r>
      <w:tr>
        <w:trPr>
          <w:trHeight w:val="221"/>
        </w:trPr>
        <w:tc>
          <w:tcPr>
            <w:tcW w:w="5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or after March 30, 2024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101.375 %</w:t>
            </w:r>
          </w:p>
        </w:tc>
      </w:tr>
      <w:tr>
        <w:trPr>
          <w:trHeight w:val="238"/>
        </w:trPr>
        <w:tc>
          <w:tcPr>
            <w:tcW w:w="5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2025 and thereafter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-299720</wp:posOffset>
            </wp:positionV>
            <wp:extent cx="4774565"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74565" cy="154305"/>
                    </a:xfrm>
                    <a:prstGeom prst="rect">
                      <a:avLst/>
                    </a:prstGeom>
                    <a:noFill/>
                  </pic:spPr>
                </pic:pic>
              </a:graphicData>
            </a:graphic>
          </wp:anchor>
        </w:drawing>
      </w:r>
    </w:p>
    <w:p>
      <w:pPr>
        <w:spacing w:after="0" w:line="151" w:lineRule="exact"/>
        <w:rPr>
          <w:sz w:val="20"/>
          <w:szCs w:val="20"/>
          <w:color w:val="auto"/>
        </w:rPr>
      </w:pPr>
    </w:p>
    <w:p>
      <w:pPr>
        <w:ind w:right="60" w:firstLine="584"/>
        <w:spacing w:after="0" w:line="282" w:lineRule="auto"/>
        <w:rPr>
          <w:sz w:val="20"/>
          <w:szCs w:val="20"/>
          <w:color w:val="auto"/>
        </w:rPr>
      </w:pPr>
      <w:r>
        <w:rPr>
          <w:rFonts w:ascii="Times New Roman" w:cs="Times New Roman" w:eastAsia="Times New Roman" w:hAnsi="Times New Roman"/>
          <w:sz w:val="18"/>
          <w:szCs w:val="18"/>
          <w:color w:val="auto"/>
        </w:rPr>
        <w:t>We may also, from time to time in our sole discretion, purchase, redeem, or retire any outstanding Senior Notes, through tender offers, in privately negotiated or open market transactions, or otherwise.</w:t>
      </w:r>
    </w:p>
    <w:p>
      <w:pPr>
        <w:spacing w:after="0" w:line="121"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the Senior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4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5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75" w:lineRule="exact"/>
        <w:rPr>
          <w:sz w:val="20"/>
          <w:szCs w:val="20"/>
          <w:color w:val="auto"/>
        </w:rPr>
      </w:pPr>
    </w:p>
    <w:p>
      <w:pPr>
        <w:ind w:left="5540" w:right="2440" w:hanging="5197"/>
        <w:spacing w:after="0" w:line="532" w:lineRule="auto"/>
        <w:tabs>
          <w:tab w:leader="none" w:pos="7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significant interest expense we incur as a result of our debt leverage;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19" w:name="page20"/>
    <w:bookmarkEnd w:id="19"/>
    <w:p>
      <w:pPr>
        <w:ind w:left="720" w:hanging="37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provision of income tax expense in our various jurisdictions;</w:t>
      </w:r>
    </w:p>
    <w:p>
      <w:pPr>
        <w:spacing w:after="0" w:line="117" w:lineRule="exact"/>
        <w:rPr>
          <w:rFonts w:ascii="Times New Roman" w:cs="Times New Roman" w:eastAsia="Times New Roman" w:hAnsi="Times New Roman"/>
          <w:sz w:val="18"/>
          <w:szCs w:val="18"/>
          <w:color w:val="auto"/>
        </w:rPr>
      </w:pPr>
    </w:p>
    <w:p>
      <w:pPr>
        <w:ind w:left="720" w:right="440" w:hanging="377"/>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any attribution of costs to our operations related to our investments and capital expenditures through depreciation and amortization charges;</w:t>
      </w:r>
    </w:p>
    <w:p>
      <w:pPr>
        <w:spacing w:after="0" w:line="53"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cost of compensation we provide to our employees in the form of stock-based awards;</w:t>
      </w:r>
    </w:p>
    <w:p>
      <w:pPr>
        <w:spacing w:after="0" w:line="117"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equity in earnings of unconsolidated affiliates; and</w:t>
      </w:r>
    </w:p>
    <w:p>
      <w:pPr>
        <w:spacing w:after="0" w:line="117" w:lineRule="exact"/>
        <w:rPr>
          <w:rFonts w:ascii="Times New Roman" w:cs="Times New Roman" w:eastAsia="Times New Roman" w:hAnsi="Times New Roman"/>
          <w:sz w:val="18"/>
          <w:szCs w:val="18"/>
          <w:color w:val="auto"/>
        </w:rPr>
      </w:pPr>
    </w:p>
    <w:p>
      <w:pPr>
        <w:ind w:left="720" w:right="520" w:hanging="377"/>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excludes expenses and income that are permitted to be excluded per the terms of our amended senior secured credit facility, but which others may believe are normal expenses for the operation of a business.</w:t>
      </w:r>
    </w:p>
    <w:p>
      <w:pPr>
        <w:spacing w:after="0" w:line="200" w:lineRule="exact"/>
        <w:rPr>
          <w:sz w:val="20"/>
          <w:szCs w:val="20"/>
          <w:color w:val="auto"/>
        </w:rPr>
      </w:pPr>
    </w:p>
    <w:p>
      <w:pPr>
        <w:spacing w:after="0" w:line="28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following is a reconciliation of net income to Consolidated EBITDA attributable to SS&amp;C common stockholders as defined in our amended senior secured credit facility.</w:t>
      </w:r>
    </w:p>
    <w:tbl>
      <w:tblPr>
        <w:tblLayout w:type="fixed"/>
        <w:tblInd w:w="580" w:type="dxa"/>
        <w:tblCellMar>
          <w:top w:w="0" w:type="dxa"/>
          <w:left w:w="0" w:type="dxa"/>
          <w:bottom w:w="0" w:type="dxa"/>
          <w:right w:w="0" w:type="dxa"/>
        </w:tblCellMar>
      </w:tblPr>
      <w:tr>
        <w:trPr>
          <w:trHeight w:val="13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jc w:val="right"/>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EBITDA</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Acquired EBITDA and cost savings (1)</w:t>
            </w:r>
          </w:p>
        </w:tc>
        <w:tc>
          <w:tcPr>
            <w:tcW w:w="2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(2.3 )</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(5.7 )</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(96.6 )</w:t>
            </w: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Purchase accounting adjustments (2)</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ASC 606 adoption impact</w:t>
            </w:r>
          </w:p>
        </w:tc>
        <w:tc>
          <w:tcPr>
            <w:tcW w:w="2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(0.7 )</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(0.7 )</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losses (gains)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(0.5 )</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gains (3)</w:t>
            </w:r>
          </w:p>
        </w:tc>
        <w:tc>
          <w:tcPr>
            <w:tcW w:w="2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(10.6 )</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(11.2 )</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(18.4 )</w:t>
            </w: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Facilities and workforce restructuring</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 related (4)</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2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(5)</w:t>
            </w:r>
          </w:p>
        </w:tc>
        <w:tc>
          <w:tcPr>
            <w:tcW w:w="2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(0.5 )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Consolidated EBITDA</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EBITDA attributable to noncontrolling interest (6)</w:t>
            </w:r>
          </w:p>
        </w:tc>
        <w:tc>
          <w:tcPr>
            <w:tcW w:w="2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(1.1 )</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(0.6 )</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66"/>
        </w:trPr>
        <w:tc>
          <w:tcPr>
            <w:tcW w:w="5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Consolidated EBITDA attributable to SS&amp;C common stockholders</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556.8</w:t>
            </w:r>
          </w:p>
        </w:tc>
        <w:tc>
          <w:tcPr>
            <w:tcW w:w="3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509.0</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2,155.5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-334010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-334010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520" w:right="24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ind w:left="520" w:right="60" w:hanging="512"/>
        <w:spacing w:after="0" w:line="265" w:lineRule="auto"/>
        <w:tabs>
          <w:tab w:leader="none" w:pos="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w:t>
      </w:r>
    </w:p>
    <w:p>
      <w:pPr>
        <w:ind w:left="520" w:right="1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an adjustment to increase or decrease rent expense by the amount that would have been recognized if lease obligations were not adjusted to fair value at the date of acquisitions.</w:t>
      </w: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includes unrealized fair value adjustments of investments and dividend income received on investments.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includes costs related to both current acquisitions and the resolution of pre-acquisition matters.</w:t>
      </w:r>
    </w:p>
    <w:p>
      <w:pPr>
        <w:spacing w:after="0" w:line="9"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additional expenses and income that are permitted to be excluded per the terms of our amended senior secured credit facility from Consolidated EBITDA, a financial measure used in calculating our covenant compliance.</w:t>
      </w:r>
    </w:p>
    <w:p>
      <w:pPr>
        <w:ind w:left="520" w:right="440" w:hanging="512"/>
        <w:spacing w:after="0" w:line="26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attributable to noncontrolling interest represents Consolidated EBITDA based on the ownership interest retained by the noncontrolling parties of DomaniRx, our consolidated variable interest entity.</w:t>
      </w:r>
    </w:p>
    <w:p>
      <w:pPr>
        <w:spacing w:after="0" w:line="28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covenant requirement for consolidated net secured leverage ratio and the actual ratio as of March 31, 2024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560" w:type="dxa"/>
            <w:vAlign w:val="bottom"/>
          </w:tcPr>
          <w:p>
            <w:pPr>
              <w:spacing w:after="0"/>
              <w:rPr>
                <w:sz w:val="16"/>
                <w:szCs w:val="16"/>
                <w:color w:val="auto"/>
              </w:rPr>
            </w:pPr>
          </w:p>
        </w:tc>
      </w:tr>
      <w:tr>
        <w:trPr>
          <w:trHeight w:val="171"/>
        </w:trPr>
        <w:tc>
          <w:tcPr>
            <w:tcW w:w="580" w:type="dxa"/>
            <w:vAlign w:val="bottom"/>
          </w:tcPr>
          <w:p>
            <w:pPr>
              <w:spacing w:after="0"/>
              <w:rPr>
                <w:sz w:val="14"/>
                <w:szCs w:val="14"/>
                <w:color w:val="auto"/>
              </w:rPr>
            </w:pPr>
          </w:p>
        </w:tc>
        <w:tc>
          <w:tcPr>
            <w:tcW w:w="41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Maximum consolidated net secured leverage to</w:t>
            </w:r>
          </w:p>
        </w:tc>
        <w:tc>
          <w:tcPr>
            <w:tcW w:w="27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r>
      <w:tr>
        <w:trPr>
          <w:trHeight w:val="281"/>
        </w:trPr>
        <w:tc>
          <w:tcPr>
            <w:tcW w:w="580" w:type="dxa"/>
            <w:vAlign w:val="bottom"/>
          </w:tcPr>
          <w:p>
            <w:pPr>
              <w:spacing w:after="0"/>
              <w:rPr>
                <w:sz w:val="24"/>
                <w:szCs w:val="24"/>
                <w:color w:val="auto"/>
              </w:rPr>
            </w:pPr>
          </w:p>
        </w:tc>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Consolidated EBITDA ratio</w:t>
            </w:r>
            <w:r>
              <w:rPr>
                <w:rFonts w:ascii="Times New Roman" w:cs="Times New Roman" w:eastAsia="Times New Roman" w:hAnsi="Times New Roman"/>
                <w:sz w:val="24"/>
                <w:szCs w:val="24"/>
                <w:color w:val="auto"/>
                <w:vertAlign w:val="superscript"/>
              </w:rPr>
              <w:t>(1)</w:t>
            </w:r>
          </w:p>
        </w:tc>
        <w:tc>
          <w:tcPr>
            <w:tcW w:w="2760" w:type="dxa"/>
            <w:vAlign w:val="bottom"/>
            <w:shd w:val="clear" w:color="auto" w:fill="CFF0FC"/>
          </w:tcPr>
          <w:p>
            <w:pPr>
              <w:spacing w:after="0"/>
              <w:rPr>
                <w:sz w:val="24"/>
                <w:szCs w:val="24"/>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6.25x</w:t>
            </w:r>
          </w:p>
        </w:tc>
        <w:tc>
          <w:tcPr>
            <w:tcW w:w="160" w:type="dxa"/>
            <w:vAlign w:val="bottom"/>
            <w:shd w:val="clear" w:color="auto" w:fill="CFF0FC"/>
          </w:tcPr>
          <w:p>
            <w:pPr>
              <w:spacing w:after="0"/>
              <w:rPr>
                <w:sz w:val="24"/>
                <w:szCs w:val="24"/>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2.02x</w:t>
            </w:r>
          </w:p>
        </w:tc>
        <w:tc>
          <w:tcPr>
            <w:tcW w:w="560" w:type="dxa"/>
            <w:vAlign w:val="bottom"/>
          </w:tcPr>
          <w:p>
            <w:pPr>
              <w:spacing w:after="0"/>
              <w:rPr>
                <w:sz w:val="24"/>
                <w:szCs w:val="24"/>
                <w:color w:val="auto"/>
              </w:rPr>
            </w:pPr>
          </w:p>
        </w:tc>
      </w:tr>
      <w:tr>
        <w:trPr>
          <w:trHeight w:val="648"/>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76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9"/>
          <w:szCs w:val="9"/>
          <w:color w:val="auto"/>
        </w:rPr>
        <w:t>_____________________________________________________</w:t>
      </w:r>
    </w:p>
    <w:p>
      <w:pPr>
        <w:spacing w:after="0" w:line="2" w:lineRule="exact"/>
        <w:rPr>
          <w:sz w:val="20"/>
          <w:szCs w:val="20"/>
          <w:color w:val="auto"/>
        </w:rPr>
      </w:pPr>
    </w:p>
    <w:p>
      <w:pPr>
        <w:ind w:left="520" w:right="20" w:hanging="512"/>
        <w:spacing w:after="0" w:line="253"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ratio of consolidated net secured funded indebtedness, net of cash and cash equivalents, excluding $95.1 million of cash and cash equivalents held at DomaniRx,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11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standard is applicable to all public entities, including public entities with a single reportable segment, and requires enhanced reportable segment disclosures. The disclosures include significant segment expenses regularly provided to the chief operating decision maker (“CODM”) and included within each reported measure of segment profit or loss. The standard also requires disclosure of the title and position of the CODM as well as how the CODM uses the reported measures of a segment’s profit or loss to assess segment performance and decide how to allocate resources. The new standard is effective for fiscal years beginning after December 15, 2023, and interim periods within fiscal years beginning after December 31, 2024. Early adoption is permitted. We are currently evaluating the potential impact the standard will have on our disclosures.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standard requires more enhanced disclosures specifically related to effective tax rate reconciliation and income taxes paid. The new requirements will be effective for fiscal years beginning after December 15, 2024, on a prospective basis. Early adoption and retrospective application are permitted. We are currently evaluating the potential impact the standard will have on our income tax disclosures.</w:t>
      </w:r>
    </w:p>
    <w:p>
      <w:pPr>
        <w:spacing w:after="0" w:line="17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derive service revenues from investment earnings related to cash balances maintained in bank accounts on which we are the agent for clients. The balances maintained in the bank accounts will fluctuate. For the three months ended March 31, 2024, our average daily cash balances of approximately $1,821.3 million were maintained in such accounts. We estimate that a 100 basis point change in the interest earnings rate would equal approximately $9.7 million of net income, net of income taxes, on an annual basis. The effect of changes in interest rates attributable to earnings derived from cash balances we hold for clients is offset by changes in interest rates on our variable debt.</w:t>
      </w:r>
    </w:p>
    <w:p>
      <w:pPr>
        <w:spacing w:after="0" w:line="14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At March 31, 2024, total variable interest rate debt was approximately $4,675.2 million. As of March 31, 2024, a 100 basis point increase in interest rates would result in an increase in interest expense of approximately $46.8 million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March 31, 2024 was approximately $49.0 million. The impact of a 10% change in fair value of these investments would have been approximately $3.6 million to net income, net of income taxes. Changes in equity values of our investments could have a material effect on our results of operations and our financial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approximately 31%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income, net. These amounts were not material for the three months ended March 31, 2024. The amount of these balances can fluctuate in the future as we bill customers and buy products or services in currencies other than our functional currency, which could increase our exposure to foreign currency exchange rates. We continue to monitor our exposure to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1" w:name="page22"/>
    <w:bookmarkEnd w:id="21"/>
    <w:p>
      <w:pPr>
        <w:ind w:right="240"/>
        <w:spacing w:after="0" w:line="282" w:lineRule="auto"/>
        <w:rPr>
          <w:sz w:val="20"/>
          <w:szCs w:val="20"/>
          <w:color w:val="auto"/>
        </w:rPr>
      </w:pPr>
      <w:r>
        <w:rPr>
          <w:rFonts w:ascii="Times New Roman" w:cs="Times New Roman" w:eastAsia="Times New Roman" w:hAnsi="Times New Roman"/>
          <w:sz w:val="18"/>
          <w:szCs w:val="18"/>
          <w:color w:val="auto"/>
        </w:rPr>
        <w:t>foreign exchange rates because of our acquisitions and changes in our operations. We do not enter into any market risk sensitive instruments for trading purposes.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2024.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2024, our chief executive officer and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defined in Rules 13a-15(f) and 15d-15(f) under the Exchange Act) that occurred during the fiscal quarter ended March 31, 2024 that have materially affected, or are reasonably likely to materially affect, our internal control over financial reporting.</w:t>
      </w: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regarding certain legal proceedings in which we are involved as set forth in Note 13 – Commitments and Contingencies of the Notes to the Condensed Consolidated Financial Statements (Part I, Item 1 of this Quarterly Report on Form 10-Q) is incorporated by reference into this Item 1.</w:t>
      </w:r>
    </w:p>
    <w:p>
      <w:pPr>
        <w:spacing w:after="0" w:line="14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spacing w:after="0" w:line="16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have been no material changes to the risk factors we previously disclosed in our Annual Report on Form 10-K for the year ended December 31, 2023.</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2" w:name="page23"/>
    <w:bookmarkEnd w:id="2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repurchases of our common stock in the first quarter of 2024 (in millions, except average price per share):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3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 Average</w:t>
            </w: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4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 May</w:t>
            </w:r>
          </w:p>
        </w:tc>
        <w:tc>
          <w:tcPr>
            <w:tcW w:w="0" w:type="dxa"/>
            <w:vAlign w:val="bottom"/>
          </w:tcPr>
          <w:p>
            <w:pPr>
              <w:spacing w:after="0"/>
              <w:rPr>
                <w:sz w:val="1"/>
                <w:szCs w:val="1"/>
                <w:color w:val="auto"/>
              </w:rPr>
            </w:pPr>
          </w:p>
        </w:tc>
      </w:tr>
      <w:tr>
        <w:trPr>
          <w:trHeight w:val="148"/>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340" w:type="dxa"/>
            <w:vAlign w:val="bottom"/>
          </w:tcPr>
          <w:p>
            <w:pPr>
              <w:spacing w:after="0"/>
              <w:rPr>
                <w:sz w:val="12"/>
                <w:szCs w:val="12"/>
                <w:color w:val="auto"/>
              </w:rPr>
            </w:pPr>
          </w:p>
        </w:tc>
        <w:tc>
          <w:tcPr>
            <w:tcW w:w="17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w:t>
            </w:r>
          </w:p>
        </w:tc>
        <w:tc>
          <w:tcPr>
            <w:tcW w:w="0" w:type="dxa"/>
            <w:vAlign w:val="bottom"/>
          </w:tcPr>
          <w:p>
            <w:pPr>
              <w:spacing w:after="0"/>
              <w:rPr>
                <w:sz w:val="1"/>
                <w:szCs w:val="1"/>
                <w:color w:val="auto"/>
              </w:rPr>
            </w:pPr>
          </w:p>
        </w:tc>
      </w:tr>
      <w:tr>
        <w:trPr>
          <w:trHeight w:val="187"/>
        </w:trPr>
        <w:tc>
          <w:tcPr>
            <w:tcW w:w="5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(2)</w:t>
            </w: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(3)</w:t>
            </w: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Plans or Programs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3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-162560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-162560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0</wp:posOffset>
            </wp:positionV>
            <wp:extent cx="7029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0</wp:posOffset>
            </wp:positionV>
            <wp:extent cx="8572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 w:lineRule="exact"/>
        <w:rPr>
          <w:sz w:val="20"/>
          <w:szCs w:val="20"/>
          <w:color w:val="auto"/>
        </w:rPr>
      </w:pPr>
    </w:p>
    <w:p>
      <w:pPr>
        <w:ind w:left="780" w:hanging="26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based on trade dates of repurchase transactions.</w:t>
      </w:r>
    </w:p>
    <w:p>
      <w:pPr>
        <w:spacing w:after="0" w:line="2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repurchased in open market transactions pursuant to the Common Stock Repurchase Program.</w:t>
      </w:r>
    </w:p>
    <w:p>
      <w:pPr>
        <w:spacing w:after="0" w:line="9" w:lineRule="exact"/>
        <w:rPr>
          <w:rFonts w:ascii="Times New Roman" w:cs="Times New Roman" w:eastAsia="Times New Roman" w:hAnsi="Times New Roman"/>
          <w:sz w:val="18"/>
          <w:szCs w:val="18"/>
          <w:color w:val="auto"/>
        </w:rPr>
      </w:pPr>
    </w:p>
    <w:p>
      <w:pPr>
        <w:jc w:val="both"/>
        <w:ind w:left="520" w:right="180" w:hanging="3"/>
        <w:spacing w:after="0" w:line="255" w:lineRule="auto"/>
        <w:tabs>
          <w:tab w:leader="none" w:pos="7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were made pursuant to our Common Stock Repurchase Program, most recently authorized by our Board of Directors in July 2023. The program allows for the purchase of up to $1 billion of outstanding common stock in one or more transactions on the open market or in privately negotiated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-701040</wp:posOffset>
            </wp:positionV>
            <wp:extent cx="7029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-701040</wp:posOffset>
            </wp:positionV>
            <wp:extent cx="8572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24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The exhibits listed in the Exhibit Index immediately preceding such exhibits are filed as part of this Report.</w:t>
            </w:r>
          </w:p>
        </w:tc>
        <w:tc>
          <w:tcPr>
            <w:tcW w:w="0" w:type="dxa"/>
            <w:vAlign w:val="bottom"/>
          </w:tcPr>
          <w:p>
            <w:pPr>
              <w:spacing w:after="0"/>
              <w:rPr>
                <w:sz w:val="1"/>
                <w:szCs w:val="1"/>
                <w:color w:val="auto"/>
              </w:rPr>
            </w:pPr>
          </w:p>
        </w:tc>
      </w:tr>
      <w:tr>
        <w:trPr>
          <w:trHeight w:val="418"/>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5"/>
          </w:tcPr>
          <w:p>
            <w:pPr>
              <w:ind w:left="38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7"/>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First Supplemental Indenture, dated as of April 26, 2024, by and among SS&amp;C Technologies, Inc., certain of SS&amp;C Technologies Holdings,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Inc.’s subsidiaries, as guarantors, and Wilmington Trust, National Association, as trustee*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Registrant’s Chief Executive Officer pursuant to Section 302 of the Sarbanes-Oxley Act of 2002*</w:t>
            </w:r>
          </w:p>
        </w:tc>
        <w:tc>
          <w:tcPr>
            <w:tcW w:w="1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Registrant’s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40" w:right="20" w:hanging="1019"/>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-313055</wp:posOffset>
            </wp:positionV>
            <wp:extent cx="64719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-175895</wp:posOffset>
            </wp:positionV>
            <wp:extent cx="64496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4969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-38735</wp:posOffset>
            </wp:positionV>
            <wp:extent cx="11734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840" w:type="dxa"/>
            <w:vAlign w:val="bottom"/>
          </w:tcPr>
          <w:p>
            <w:pPr>
              <w:spacing w:after="0"/>
              <w:rPr>
                <w:sz w:val="20"/>
                <w:szCs w:val="20"/>
                <w:color w:val="auto"/>
              </w:rPr>
            </w:pP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39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39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57" w:lineRule="exact"/>
        <w:rPr>
          <w:sz w:val="20"/>
          <w:szCs w:val="20"/>
          <w:color w:val="auto"/>
        </w:rPr>
      </w:pPr>
    </w:p>
    <w:p>
      <w:pPr>
        <w:ind w:right="3640" w:firstLine="21"/>
        <w:spacing w:after="0" w:line="508" w:lineRule="auto"/>
        <w:tabs>
          <w:tab w:leader="none" w:pos="102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SS&amp;C TECHNOLOGIES HOLDINGS, INC.</w:t>
      </w:r>
    </w:p>
    <w:p>
      <w:pPr>
        <w:spacing w:after="0" w:line="306" w:lineRule="exact"/>
        <w:rPr>
          <w:sz w:val="20"/>
          <w:szCs w:val="20"/>
          <w:color w:val="auto"/>
        </w:rPr>
      </w:pPr>
    </w:p>
    <w:p>
      <w:pPr>
        <w:ind w:left="620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26035</wp:posOffset>
            </wp:positionV>
            <wp:extent cx="29146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Brian N. Schell</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(Duly Authorized Officer, Principal Financial and Accounting</w:t>
      </w:r>
    </w:p>
    <w:p>
      <w:pPr>
        <w:spacing w:after="0" w:line="2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FIRST SUPPLEMENTAL INDENTURE</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First Supplemental Indenture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is dated as of April 26, 2024, by and among SS&amp;C Technologies, Inc., a Delaware corporation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ALPS Fund Services, Inc., a Colorado corporation, SS&amp;C Retirement Solutions, LLC, a Delaware limited liability company, DST Realty, Inc., a Missouri corporation, and DST Technologies, Inc., a Missouri corporation (each, a “</w:t>
      </w:r>
      <w:r>
        <w:rPr>
          <w:rFonts w:ascii="Times New Roman" w:cs="Times New Roman" w:eastAsia="Times New Roman" w:hAnsi="Times New Roman"/>
          <w:sz w:val="22"/>
          <w:szCs w:val="22"/>
          <w:u w:val="single" w:color="auto"/>
          <w:color w:val="auto"/>
        </w:rPr>
        <w:t>Guaranteeing Subsidiary</w:t>
      </w:r>
      <w:r>
        <w:rPr>
          <w:rFonts w:ascii="Times New Roman" w:cs="Times New Roman" w:eastAsia="Times New Roman" w:hAnsi="Times New Roman"/>
          <w:sz w:val="22"/>
          <w:szCs w:val="22"/>
          <w:color w:val="auto"/>
        </w:rPr>
        <w:t>”) and Wilmington Trust, National Association, as trustee under the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Issuer has heretofore executed and delivered to the Trustee an indenture, dated as of March 28, 2019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the Issuer’s 5.500% Senior Notes due 2027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the Indenture provides that under certain circumstances the Guaranteeing Subsidiaries shall execute and deliver to the Trustee a supplemental indenture pursuant to which the Guaranteeing Subsidiaries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and</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WHEREAS, pursuant to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of the Indenture, the Issuer and the Trustee are authorized to execute and deliver this Supplemental Indenture without the consent of the Holders of the Notes.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69" w:lineRule="exact"/>
        <w:rPr>
          <w:sz w:val="20"/>
          <w:szCs w:val="20"/>
          <w:color w:val="auto"/>
        </w:rPr>
      </w:pPr>
    </w:p>
    <w:p>
      <w:pPr>
        <w:ind w:left="160" w:firstLine="596"/>
        <w:spacing w:after="0" w:line="262" w:lineRule="auto"/>
        <w:tabs>
          <w:tab w:leader="none" w:pos="10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to them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Indenture.</w:t>
      </w:r>
    </w:p>
    <w:p>
      <w:pPr>
        <w:spacing w:after="0" w:line="149" w:lineRule="exact"/>
        <w:rPr>
          <w:rFonts w:ascii="Times New Roman" w:cs="Times New Roman" w:eastAsia="Times New Roman" w:hAnsi="Times New Roman"/>
          <w:sz w:val="22"/>
          <w:szCs w:val="22"/>
          <w:color w:val="auto"/>
        </w:rPr>
      </w:pPr>
    </w:p>
    <w:p>
      <w:pPr>
        <w:jc w:val="both"/>
        <w:ind w:left="160" w:firstLine="596"/>
        <w:spacing w:after="0" w:line="238" w:lineRule="auto"/>
        <w:tabs>
          <w:tab w:leader="none" w:pos="10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Agreement to Guarantee</w:t>
      </w:r>
      <w:r>
        <w:rPr>
          <w:rFonts w:ascii="Times New Roman" w:cs="Times New Roman" w:eastAsia="Times New Roman" w:hAnsi="Times New Roman"/>
          <w:sz w:val="22"/>
          <w:szCs w:val="22"/>
          <w:color w:val="auto"/>
        </w:rPr>
        <w:t>. Each of the Guaranteeing Subsidiaries hereby (a) jointly and severally agrees, along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all the other Guaranteeing Subsidiaries and with all existing Guarantors, to provide an unconditional Guarantee of the Notes on the terms set forth in the Indenture including but not limited to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thereof and (b) becomes a party to the Indenture as a Guarantor and, as such, will have the rights and be subject to all of the obligations and agreements of a Guarantor under the Indenture.</w:t>
      </w:r>
    </w:p>
    <w:p>
      <w:pPr>
        <w:spacing w:after="0" w:line="176" w:lineRule="exact"/>
        <w:rPr>
          <w:rFonts w:ascii="Times New Roman" w:cs="Times New Roman" w:eastAsia="Times New Roman" w:hAnsi="Times New Roman"/>
          <w:sz w:val="22"/>
          <w:szCs w:val="22"/>
          <w:color w:val="auto"/>
        </w:rPr>
      </w:pPr>
    </w:p>
    <w:p>
      <w:pPr>
        <w:jc w:val="both"/>
        <w:ind w:left="160" w:firstLine="596"/>
        <w:spacing w:after="0" w:line="238" w:lineRule="auto"/>
        <w:tabs>
          <w:tab w:leader="none" w:pos="10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Recourse Against Others</w:t>
      </w:r>
      <w:r>
        <w:rPr>
          <w:rFonts w:ascii="Times New Roman" w:cs="Times New Roman" w:eastAsia="Times New Roman" w:hAnsi="Times New Roman"/>
          <w:sz w:val="22"/>
          <w:szCs w:val="22"/>
          <w:color w:val="auto"/>
        </w:rPr>
        <w:t>. No director, officer, employee, incorporator, member, partner or stockholder of each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Guaranteeing Subsidiaries shall have any liability for any obligations of the Issuer or the Guarantors (including the Guaranteeing Subsidiaries) under the Notes, any Guarantees, the Indenture or this Supplemental Indenture or for any claim based on, in respect of, or by reason of, such obligations or their creation. Each Holder by accepting the Notes waives and releases all such liability. The waiver and release are part of the consideration for issuance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 w:name="page27"/>
    <w:bookmarkEnd w:id="26"/>
    <w:p>
      <w:pPr>
        <w:ind w:firstLine="596"/>
        <w:spacing w:after="0" w:line="262" w:lineRule="auto"/>
        <w:tabs>
          <w:tab w:leader="none" w:pos="86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SUPPLEMENTAL INDENTURE SHALL BE GOVERNED BY AND CONSTRUED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THE LAWS OF THE STATE OF NEW YORK.</w:t>
      </w:r>
    </w:p>
    <w:p>
      <w:pPr>
        <w:spacing w:after="0" w:line="109" w:lineRule="exact"/>
        <w:rPr>
          <w:rFonts w:ascii="Times New Roman" w:cs="Times New Roman" w:eastAsia="Times New Roman" w:hAnsi="Times New Roman"/>
          <w:sz w:val="22"/>
          <w:szCs w:val="22"/>
          <w:color w:val="auto"/>
        </w:rPr>
      </w:pPr>
    </w:p>
    <w:p>
      <w:pPr>
        <w:jc w:val="both"/>
        <w:ind w:firstLine="596"/>
        <w:spacing w:after="0" w:line="238" w:lineRule="auto"/>
        <w:tabs>
          <w:tab w:leader="none" w:pos="86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spacing w:after="0" w:line="149" w:lineRule="exact"/>
        <w:rPr>
          <w:rFonts w:ascii="Times New Roman" w:cs="Times New Roman" w:eastAsia="Times New Roman" w:hAnsi="Times New Roman"/>
          <w:sz w:val="22"/>
          <w:szCs w:val="22"/>
          <w:color w:val="auto"/>
        </w:rPr>
      </w:pPr>
    </w:p>
    <w:p>
      <w:pPr>
        <w:ind w:left="860" w:hanging="264"/>
        <w:spacing w:after="0"/>
        <w:tabs>
          <w:tab w:leader="none" w:pos="8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pacing w:after="0" w:line="137" w:lineRule="exact"/>
        <w:rPr>
          <w:rFonts w:ascii="Times New Roman" w:cs="Times New Roman" w:eastAsia="Times New Roman" w:hAnsi="Times New Roman"/>
          <w:sz w:val="22"/>
          <w:szCs w:val="22"/>
          <w:color w:val="auto"/>
        </w:rPr>
      </w:pPr>
    </w:p>
    <w:p>
      <w:pPr>
        <w:jc w:val="both"/>
        <w:ind w:firstLine="596"/>
        <w:spacing w:after="0" w:line="246" w:lineRule="auto"/>
        <w:tabs>
          <w:tab w:leader="none" w:pos="86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Trustee</w:t>
      </w:r>
      <w:r>
        <w:rPr>
          <w:rFonts w:ascii="Times New Roman" w:cs="Times New Roman" w:eastAsia="Times New Roman" w:hAnsi="Times New Roman"/>
          <w:sz w:val="22"/>
          <w:szCs w:val="22"/>
          <w:color w:val="auto"/>
        </w:rPr>
        <w:t>. The Trustee shall not be responsible in any manner whatsoever for or in respect of the validity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sufficiency of this Supplemental Indenture or for or in respect of the recitals contained herein, all of which recitals are made solely by the Guaranteeing Subsidiaries.</w:t>
      </w:r>
    </w:p>
    <w:p>
      <w:pPr>
        <w:spacing w:after="0" w:line="126" w:lineRule="exact"/>
        <w:rPr>
          <w:rFonts w:ascii="Times New Roman" w:cs="Times New Roman" w:eastAsia="Times New Roman" w:hAnsi="Times New Roman"/>
          <w:sz w:val="22"/>
          <w:szCs w:val="22"/>
          <w:color w:val="auto"/>
        </w:rPr>
      </w:pPr>
    </w:p>
    <w:p>
      <w:pPr>
        <w:ind w:firstLine="596"/>
        <w:spacing w:after="0" w:line="262" w:lineRule="auto"/>
        <w:tabs>
          <w:tab w:leader="none" w:pos="86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All notices or other communications to the Guarantors shall be given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Indenture.</w:t>
      </w:r>
    </w:p>
    <w:p>
      <w:pPr>
        <w:spacing w:after="0" w:line="122" w:lineRule="exact"/>
        <w:rPr>
          <w:rFonts w:ascii="Times New Roman" w:cs="Times New Roman" w:eastAsia="Times New Roman" w:hAnsi="Times New Roman"/>
          <w:sz w:val="22"/>
          <w:szCs w:val="22"/>
          <w:color w:val="auto"/>
        </w:rPr>
      </w:pPr>
    </w:p>
    <w:p>
      <w:pPr>
        <w:jc w:val="both"/>
        <w:ind w:firstLine="596"/>
        <w:spacing w:after="0" w:line="241" w:lineRule="auto"/>
        <w:tabs>
          <w:tab w:leader="none" w:pos="86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Ratification of Indenture; Supplemental Indentures Part of Indenture</w:t>
      </w:r>
      <w:r>
        <w:rPr>
          <w:rFonts w:ascii="Times New Roman" w:cs="Times New Roman" w:eastAsia="Times New Roman" w:hAnsi="Times New Roman"/>
          <w:sz w:val="22"/>
          <w:szCs w:val="22"/>
          <w:color w:val="auto"/>
        </w:rPr>
        <w:t>. Except as expressly amended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supplemented hereby, the Indenture is in all respects ratified and confirmed and all the terms, conditions and provisions thereof shall remain in full force and effect. This Supplemental Indenture shall form a part of the Indenture for all purposes, and every Holder of the Notes heretofore or hereafter authenticated and delivered shall be bound hereby.</w:t>
      </w:r>
    </w:p>
    <w:p>
      <w:pPr>
        <w:spacing w:after="0" w:line="1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1166495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404" w:right="339" w:bottom="1440" w:gutter="0" w:footer="0" w:header="0"/>
        </w:sectPr>
      </w:pPr>
    </w:p>
    <w:bookmarkStart w:id="27" w:name="page28"/>
    <w:bookmarkEnd w:id="27"/>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all as of the date first above written.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SS&amp;C TECHNOLOGIES, INC.,</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Rahul Kanwar</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Name: Rahul Kanwar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-160020</wp:posOffset>
            </wp:positionV>
            <wp:extent cx="33000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ALPS FUND SERVICES, INC.,</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Neal Chansky</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Name: Neal Chansky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-160020</wp:posOffset>
            </wp:positionV>
            <wp:extent cx="3497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SS&amp;C RETIREMENT SOLUTIONS, LLC,</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SS&amp;C GIDS, Inc., is sole member</w:t>
      </w:r>
    </w:p>
    <w:p>
      <w:pPr>
        <w:spacing w:after="0" w:line="2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/s/ Brian N. Schell</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Name: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-160020</wp:posOffset>
            </wp:positionV>
            <wp:extent cx="3497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DST REALTY, INC.,</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Brian N. Schell</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Name: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-160020</wp:posOffset>
            </wp:positionV>
            <wp:extent cx="3497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DST TECHNOLOGIES, INC.,</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Brian N. Schell</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Name: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-160020</wp:posOffset>
            </wp:positionV>
            <wp:extent cx="3497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975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8" w:name="page29"/>
    <w:bookmarkEnd w:id="28"/>
    <w:p>
      <w:pPr>
        <w:ind w:left="8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WILMINGTON TRUST, NATIONAL ASSOCIATION, as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Trustee</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Barry D. Somrock</w:t>
            </w:r>
          </w:p>
        </w:tc>
        <w:tc>
          <w:tcPr>
            <w:tcW w:w="5840" w:type="dxa"/>
            <w:vAlign w:val="bottom"/>
          </w:tcPr>
          <w:p>
            <w:pPr>
              <w:spacing w:after="0"/>
              <w:rPr>
                <w:sz w:val="24"/>
                <w:szCs w:val="24"/>
                <w:color w:val="auto"/>
              </w:rPr>
            </w:pPr>
          </w:p>
        </w:tc>
      </w:tr>
      <w:tr>
        <w:trPr>
          <w:trHeight w:val="250"/>
        </w:trPr>
        <w:tc>
          <w:tcPr>
            <w:tcW w:w="780" w:type="dxa"/>
            <w:vAlign w:val="bottom"/>
          </w:tcPr>
          <w:p>
            <w:pPr>
              <w:spacing w:after="0"/>
              <w:rPr>
                <w:sz w:val="21"/>
                <w:szCs w:val="21"/>
                <w:color w:val="auto"/>
              </w:rPr>
            </w:pPr>
          </w:p>
        </w:tc>
        <w:tc>
          <w:tcPr>
            <w:tcW w:w="462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Barry D. Somrock</w:t>
            </w:r>
          </w:p>
        </w:tc>
        <w:tc>
          <w:tcPr>
            <w:tcW w:w="5840" w:type="dxa"/>
            <w:vAlign w:val="bottom"/>
          </w:tcPr>
          <w:p>
            <w:pPr>
              <w:spacing w:after="0"/>
              <w:rPr>
                <w:sz w:val="21"/>
                <w:szCs w:val="21"/>
                <w:color w:val="auto"/>
              </w:rPr>
            </w:pPr>
          </w:p>
        </w:tc>
      </w:tr>
      <w:tr>
        <w:trPr>
          <w:trHeight w:val="282"/>
        </w:trPr>
        <w:tc>
          <w:tcPr>
            <w:tcW w:w="7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Vice President</w:t>
            </w:r>
          </w:p>
        </w:tc>
        <w:tc>
          <w:tcPr>
            <w:tcW w:w="5840" w:type="dxa"/>
            <w:vAlign w:val="bottom"/>
          </w:tcPr>
          <w:p>
            <w:pPr>
              <w:spacing w:after="0"/>
              <w:rPr>
                <w:sz w:val="24"/>
                <w:szCs w:val="24"/>
                <w:color w:val="auto"/>
              </w:rPr>
            </w:pPr>
          </w:p>
        </w:tc>
      </w:tr>
      <w:tr>
        <w:trPr>
          <w:trHeight w:val="1872"/>
        </w:trPr>
        <w:tc>
          <w:tcPr>
            <w:tcW w:w="7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Stone, certify that:</w:t>
      </w:r>
    </w:p>
    <w:p>
      <w:pPr>
        <w:spacing w:after="0" w:line="117"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SS&amp;C Technologies Holdings,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7"/>
          <w:szCs w:val="17"/>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C. Stone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N. Schell, certify that:</w:t>
      </w:r>
    </w:p>
    <w:p>
      <w:pPr>
        <w:spacing w:after="0" w:line="117"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SS&amp;C Technologies Holdings,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7"/>
          <w:szCs w:val="17"/>
          <w:color w:val="auto"/>
        </w:rPr>
        <w:t>/s/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Brian N. Schell</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SS&amp;C Technologies Holdings, Inc. (the “Company”) for the period ended March 31, 2024 as filed with the Securities and Exchange Commission on the date hereof (the “Report”), the undersigned officers of the Company hereby certify to their knowledge, pursuant to 18 U.S.C. Section 1350, that:</w:t>
      </w:r>
    </w:p>
    <w:p>
      <w:pPr>
        <w:spacing w:after="0" w:line="68" w:lineRule="exact"/>
        <w:rPr>
          <w:sz w:val="20"/>
          <w:szCs w:val="20"/>
          <w:color w:val="auto"/>
        </w:rPr>
      </w:pPr>
    </w:p>
    <w:p>
      <w:pPr>
        <w:ind w:left="820" w:hanging="36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20" w:hanging="36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William C. Stone</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Brian N. Schell</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2"/>
    </w:lvl>
  </w:abstractNum>
  <w:abstractNum w:abstractNumId="10">
    <w:nsid w:val="109CF92E"/>
    <w:multiLevelType w:val="hybridMultilevel"/>
    <w:lvl w:ilvl="0">
      <w:lvlJc w:val="left"/>
      <w:lvlText w:val="*"/>
      <w:numFmt w:val="bullet"/>
      <w:start w:val="1"/>
    </w:lvl>
    <w:lvl w:ilvl="1">
      <w:lvlJc w:val="left"/>
      <w:lvlText w:val="%2"/>
      <w:numFmt w:val="decimal"/>
      <w:start w:val="104"/>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2024-05-01T15:15:53Z</dcterms:created>
  <dcterms:modified xsi:type="dcterms:W3CDTF">2024-05-01T15:15:53Z</dcterms:modified>
</cp:coreProperties>
</file>