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2" w:lineRule="exact"/>
        <w:rPr>
          <w:sz w:val="24"/>
          <w:szCs w:val="24"/>
          <w:color w:val="auto"/>
        </w:rPr>
      </w:pPr>
    </w:p>
    <w:p>
      <w:pPr>
        <w:ind w:left="2480" w:hanging="211"/>
        <w:spacing w:after="0"/>
        <w:tabs>
          <w:tab w:leader="none" w:pos="2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QUARTERLY REPORT PURSUANT TO SECTION 13 OR 15(d) OF THE</w:t>
      </w:r>
    </w:p>
    <w:p>
      <w:pPr>
        <w:spacing w:after="0" w:line="25"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-307975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40" w:lineRule="exact"/>
        <w:rPr>
          <w:sz w:val="24"/>
          <w:szCs w:val="24"/>
          <w:color w:val="auto"/>
        </w:rPr>
      </w:pPr>
    </w:p>
    <w:p>
      <w:pPr>
        <w:ind w:left="2480" w:hanging="211"/>
        <w:spacing w:after="0"/>
        <w:tabs>
          <w:tab w:leader="none" w:pos="2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TRANSITION REPORT PURSUANT TO SECTION 13 OR 15(d) OF THE</w:t>
      </w:r>
    </w:p>
    <w:p>
      <w:pPr>
        <w:spacing w:after="0" w:line="25"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20"/>
          <w:szCs w:val="20"/>
          <w:b w:val="1"/>
          <w:bCs w:val="1"/>
          <w:color w:val="auto"/>
        </w:rPr>
        <w:t>SECURITIES EXCHANGE ACT OF 1934</w:t>
      </w:r>
    </w:p>
    <w:p>
      <w:pPr>
        <w:spacing w:after="0" w:line="113" w:lineRule="exact"/>
        <w:rPr>
          <w:sz w:val="24"/>
          <w:szCs w:val="24"/>
          <w:color w:val="auto"/>
        </w:rPr>
      </w:pPr>
    </w:p>
    <w:p>
      <w:pPr>
        <w:ind w:left="402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66040</wp:posOffset>
            </wp:positionV>
            <wp:extent cx="1885950" cy="1097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595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2"/>
          <w:szCs w:val="42"/>
          <w:b w:val="1"/>
          <w:bCs w:val="1"/>
          <w:color w:val="auto"/>
        </w:rPr>
        <w:t>SS&amp;C TECHNOLOGIES HOLDINGS, INC.</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p>
      <w:pPr>
        <w:spacing w:after="0" w:line="228"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71-0987913</w:t>
      </w:r>
    </w:p>
    <w:p>
      <w:pPr>
        <w:spacing w:after="0" w:line="54" w:lineRule="exact"/>
        <w:rPr>
          <w:sz w:val="24"/>
          <w:szCs w:val="24"/>
          <w:color w:val="auto"/>
        </w:rPr>
      </w:pPr>
    </w:p>
    <w:p>
      <w:pPr>
        <w:sectPr>
          <w:pgSz w:w="11900" w:h="16838" w:orient="portrait"/>
          <w:cols w:equalWidth="0" w:num="2">
            <w:col w:w="7340" w:space="720"/>
            <w:col w:w="3120"/>
          </w:cols>
          <w:pgMar w:left="320" w:top="1307" w:right="39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3" w:lineRule="exact"/>
        <w:rPr>
          <w:sz w:val="24"/>
          <w:szCs w:val="24"/>
          <w:color w:val="auto"/>
        </w:rPr>
      </w:pPr>
    </w:p>
    <w:p>
      <w:pPr>
        <w:sectPr>
          <w:pgSz w:w="11900" w:h="16838" w:orient="portrait"/>
          <w:cols w:equalWidth="0" w:num="2">
            <w:col w:w="7340" w:space="720"/>
            <w:col w:w="3120"/>
          </w:cols>
          <w:pgMar w:left="320" w:top="1307" w:right="399" w:bottom="1440" w:gutter="0" w:footer="0" w:header="0"/>
          <w:type w:val="continuous"/>
        </w:sectPr>
      </w:pPr>
    </w:p>
    <w:p>
      <w:pPr>
        <w:ind w:left="5000"/>
        <w:spacing w:after="0"/>
        <w:rPr>
          <w:sz w:val="20"/>
          <w:szCs w:val="20"/>
          <w:color w:val="auto"/>
        </w:rPr>
      </w:pPr>
      <w:r>
        <w:rPr>
          <w:rFonts w:ascii="Times New Roman" w:cs="Times New Roman" w:eastAsia="Times New Roman" w:hAnsi="Times New Roman"/>
          <w:sz w:val="14"/>
          <w:szCs w:val="14"/>
          <w:b w:val="1"/>
          <w:bCs w:val="1"/>
          <w:color w:val="auto"/>
        </w:rPr>
        <w:t>80 Lamberton Road</w:t>
      </w:r>
    </w:p>
    <w:p>
      <w:pPr>
        <w:ind w:left="5020"/>
        <w:spacing w:after="0" w:line="228" w:lineRule="auto"/>
        <w:rPr>
          <w:sz w:val="20"/>
          <w:szCs w:val="20"/>
          <w:color w:val="auto"/>
        </w:rPr>
      </w:pPr>
      <w:r>
        <w:rPr>
          <w:rFonts w:ascii="Times New Roman" w:cs="Times New Roman" w:eastAsia="Times New Roman" w:hAnsi="Times New Roman"/>
          <w:sz w:val="14"/>
          <w:szCs w:val="14"/>
          <w:b w:val="1"/>
          <w:bCs w:val="1"/>
          <w:color w:val="auto"/>
        </w:rPr>
        <w:t>Windsor, CT 06095</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860-298-4500</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type w:val="continuous"/>
        </w:sectPr>
      </w:pPr>
    </w:p>
    <w:p>
      <w:pPr>
        <w:spacing w:after="0" w:line="163" w:lineRule="exact"/>
        <w:rPr>
          <w:sz w:val="24"/>
          <w:szCs w:val="24"/>
          <w:color w:val="auto"/>
        </w:rPr>
      </w:pPr>
    </w:p>
    <w:p>
      <w:pPr>
        <w:ind w:right="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6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52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3" w:lineRule="exact"/>
        <w:rPr>
          <w:sz w:val="24"/>
          <w:szCs w:val="24"/>
          <w:color w:val="auto"/>
        </w:rPr>
      </w:pPr>
    </w:p>
    <w:p>
      <w:pPr>
        <w:jc w:val="both"/>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520"/>
        <w:spacing w:after="0" w:line="161" w:lineRule="exact"/>
        <w:tabs>
          <w:tab w:leader="none" w:pos="7180" w:val="left"/>
          <w:tab w:leader="none" w:pos="77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06"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6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Trading Symbol</w:t>
            </w:r>
          </w:p>
        </w:tc>
        <w:tc>
          <w:tcPr>
            <w:tcW w:w="284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94"/>
        </w:trPr>
        <w:tc>
          <w:tcPr>
            <w:tcW w:w="29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SSNC</w:t>
            </w:r>
          </w:p>
        </w:tc>
        <w:tc>
          <w:tcPr>
            <w:tcW w:w="30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6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247,685,131 shares of the registrant’s common stock outstanding as of October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SS&amp;C TECHNOLOGIES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3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1. FINANCIAL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98"/>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2024 and December 31,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2024 and 2023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60" w:type="dxa"/>
            <w:vAlign w:val="bottom"/>
            <w:tcBorders>
              <w:right w:val="single" w:sz="8" w:color="0000EE"/>
            </w:tcBorders>
            <w:gridSpan w:val="2"/>
          </w:tcPr>
          <w:p>
            <w:pPr>
              <w:spacing w:after="0" w:line="20" w:lineRule="exact"/>
              <w:rPr>
                <w:sz w:val="1"/>
                <w:szCs w:val="1"/>
                <w:color w:val="auto"/>
              </w:rPr>
            </w:pPr>
          </w:p>
        </w:tc>
        <w:tc>
          <w:tcPr>
            <w:tcW w:w="9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5660" w:type="dxa"/>
            <w:vAlign w:val="bottom"/>
            <w:tcBorders>
              <w:left w:val="single" w:sz="8" w:color="0000FF"/>
            </w:tcBorders>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66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105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60" w:type="dxa"/>
            <w:vAlign w:val="bottom"/>
            <w:gridSpan w:val="7"/>
            <w:shd w:val="clear" w:color="auto" w:fill="0000FF"/>
          </w:tcPr>
          <w:p>
            <w:pPr>
              <w:spacing w:after="0" w:line="20" w:lineRule="exact"/>
              <w:rPr>
                <w:sz w:val="1"/>
                <w:szCs w:val="1"/>
                <w:color w:val="auto"/>
              </w:rPr>
            </w:pPr>
          </w:p>
        </w:tc>
        <w:tc>
          <w:tcPr>
            <w:tcW w:w="56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100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EXHIBIT INDEX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2023, filed with the Securities and Exchange Commission on February 28, 2024,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8"/>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Funds receivable and funds held on behalf of clients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2,081.5</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$31.5 and $25.1, respectively</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934.0</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Contract assets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3,890.7</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2)</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(Note 3)</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Unconsolidated affiliates (Note 4)</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Goodwill (Note 6)</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9,374.4</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8,969.5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and other assets, net of accumulated amortization of $4,537.8 and $4,063.4, respectively</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4,042.6</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18,438.4</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18,102.5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77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portion of long-term debt (Note 7)</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Client funds obligations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employee compensation and benefits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payable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accrued expenses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3,219.7</w:t>
            </w: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 (Note 7)</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7,155.6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11,550.3</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 (Note 8):</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Preferred stock, $0.01 par value per share, 5.0 million shares authorized; no shares issued</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77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Class A non-voting common stock, $0.01 par value per share, 5.0 million shares authorized;</w:t>
            </w:r>
          </w:p>
        </w:tc>
        <w:tc>
          <w:tcPr>
            <w:tcW w:w="220" w:type="dxa"/>
            <w:vAlign w:val="bottom"/>
          </w:tcPr>
          <w:p>
            <w:pPr>
              <w:spacing w:after="0"/>
              <w:rPr>
                <w:sz w:val="12"/>
                <w:szCs w:val="12"/>
                <w:color w:val="auto"/>
              </w:rPr>
            </w:pPr>
          </w:p>
        </w:tc>
        <w:tc>
          <w:tcPr>
            <w:tcW w:w="16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 shares issued</w:t>
            </w:r>
          </w:p>
        </w:tc>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$0.01 par value per share, 400.0 million shares authorized; 282.3 million shares and 275.9 million shares</w:t>
            </w:r>
          </w:p>
        </w:tc>
        <w:tc>
          <w:tcPr>
            <w:tcW w:w="22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issued, respectively, and 247.3 million shares and 246.6 million shares outstanding, respectively</w:t>
            </w:r>
          </w:p>
        </w:tc>
        <w:tc>
          <w:tcPr>
            <w:tcW w:w="22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5,770.9</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(312.1 )</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(426.3 )</w:t>
            </w: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Retained earnings</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Cost of common stock in treasury, 35.0 and 29.3 million shares, respectively</w:t>
            </w:r>
          </w:p>
        </w:tc>
        <w:tc>
          <w:tcPr>
            <w:tcW w:w="2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(2,103.5 )</w:t>
            </w:r>
          </w:p>
        </w:tc>
        <w:tc>
          <w:tcPr>
            <w:tcW w:w="2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(1,734.2 )</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Total SS&amp;C stockholders’ equity</w:t>
            </w: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6,814.1</w:t>
            </w:r>
          </w:p>
        </w:tc>
        <w:tc>
          <w:tcPr>
            <w:tcW w:w="3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6,339.6</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Noncontrolling interest (Note 9)</w:t>
            </w:r>
          </w:p>
        </w:tc>
        <w:tc>
          <w:tcPr>
            <w:tcW w:w="2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3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6,888.1</w:t>
            </w: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18,438.4</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18,102.5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-3522345</wp:posOffset>
            </wp:positionV>
            <wp:extent cx="77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-3505200</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-1816735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77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-264795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460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w:t>
      </w:r>
      <w:r>
        <w:rPr>
          <w:rFonts w:ascii="Times New Roman" w:cs="Times New Roman" w:eastAsia="Times New Roman" w:hAnsi="Times New Roman"/>
          <w:sz w:val="14"/>
          <w:szCs w:val="14"/>
          <w:b w:val="1"/>
          <w:bCs w:val="1"/>
          <w:color w:val="auto"/>
        </w:rPr>
        <w:t>(In millions, except per share data)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4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1,122.1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3,586.3</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3,342.8</w:t>
            </w:r>
          </w:p>
        </w:tc>
        <w:tc>
          <w:tcPr>
            <w:tcW w:w="100" w:type="dxa"/>
            <w:vAlign w:val="bottom"/>
            <w:shd w:val="clear" w:color="auto" w:fill="CFF0FC"/>
          </w:tcPr>
          <w:p>
            <w:pPr>
              <w:spacing w:after="0"/>
              <w:rPr>
                <w:sz w:val="20"/>
                <w:szCs w:val="20"/>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748.4</w:t>
            </w:r>
          </w:p>
        </w:tc>
        <w:tc>
          <w:tcPr>
            <w:tcW w:w="100" w:type="dxa"/>
            <w:vAlign w:val="bottom"/>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1,465.8</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4,352.3</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7"/>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Software-enabled services</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661.9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1,949.7</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1,877.4</w:t>
            </w:r>
          </w:p>
        </w:tc>
        <w:tc>
          <w:tcPr>
            <w:tcW w:w="100" w:type="dxa"/>
            <w:vAlign w:val="bottom"/>
            <w:shd w:val="clear" w:color="auto" w:fill="CFF0FC"/>
          </w:tcPr>
          <w:p>
            <w:pPr>
              <w:spacing w:after="0"/>
              <w:rPr>
                <w:sz w:val="20"/>
                <w:szCs w:val="20"/>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License, maintenance and related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00" w:type="dxa"/>
            <w:vAlign w:val="bottom"/>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cost of revenues</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2,242.6</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1,932.5</w:t>
            </w:r>
          </w:p>
        </w:tc>
        <w:tc>
          <w:tcPr>
            <w:tcW w:w="100" w:type="dxa"/>
            <w:vAlign w:val="bottom"/>
          </w:tcPr>
          <w:p>
            <w:pPr>
              <w:spacing w:after="0"/>
              <w:rPr>
                <w:sz w:val="19"/>
                <w:szCs w:val="19"/>
                <w:color w:val="auto"/>
              </w:rPr>
            </w:pPr>
          </w:p>
        </w:tc>
      </w:tr>
      <w:tr>
        <w:trPr>
          <w:trHeight w:val="22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100" w:type="dxa"/>
            <w:vAlign w:val="bottom"/>
          </w:tcPr>
          <w:p>
            <w:pPr>
              <w:spacing w:after="0"/>
              <w:rPr>
                <w:sz w:val="19"/>
                <w:szCs w:val="19"/>
                <w:color w:val="auto"/>
              </w:rPr>
            </w:pPr>
          </w:p>
        </w:tc>
      </w:tr>
      <w:tr>
        <w:trPr>
          <w:trHeight w:val="239"/>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380.9</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shd w:val="clear" w:color="auto" w:fill="CFF0FC"/>
          </w:tcPr>
          <w:p>
            <w:pPr>
              <w:spacing w:after="0"/>
              <w:rPr>
                <w:sz w:val="20"/>
                <w:szCs w:val="20"/>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100" w:type="dxa"/>
            <w:vAlign w:val="bottom"/>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1,124.1</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874.7</w:t>
            </w:r>
          </w:p>
        </w:tc>
        <w:tc>
          <w:tcPr>
            <w:tcW w:w="100" w:type="dxa"/>
            <w:vAlign w:val="bottom"/>
          </w:tcPr>
          <w:p>
            <w:pPr>
              <w:spacing w:after="0"/>
              <w:rPr>
                <w:sz w:val="18"/>
                <w:szCs w:val="18"/>
                <w:color w:val="auto"/>
              </w:rPr>
            </w:pPr>
          </w:p>
        </w:tc>
      </w:tr>
      <w:tr>
        <w:trPr>
          <w:trHeight w:val="239"/>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(109.6 )</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(120.6 )</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(338.9 )</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(350.5 )</w:t>
            </w:r>
          </w:p>
        </w:tc>
      </w:tr>
      <w:tr>
        <w:trPr>
          <w:trHeight w:val="220"/>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(5.0 )</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9"/>
                <w:szCs w:val="19"/>
                <w:color w:val="auto"/>
              </w:rPr>
            </w:pPr>
          </w:p>
        </w:tc>
      </w:tr>
      <w:tr>
        <w:trPr>
          <w:trHeight w:val="239"/>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shd w:val="clear" w:color="auto" w:fill="CFF0FC"/>
          </w:tcPr>
          <w:p>
            <w:pPr>
              <w:spacing w:after="0"/>
              <w:rPr>
                <w:sz w:val="20"/>
                <w:szCs w:val="20"/>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(1.3 )</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(0.5 )</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(30.1 )</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r>
      <w:tr>
        <w:trPr>
          <w:trHeight w:val="22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2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653.8</w:t>
            </w:r>
          </w:p>
        </w:tc>
        <w:tc>
          <w:tcPr>
            <w:tcW w:w="22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00" w:type="dxa"/>
            <w:vAlign w:val="bottom"/>
            <w:shd w:val="clear" w:color="auto" w:fill="CFF0FC"/>
          </w:tcPr>
          <w:p>
            <w:pPr>
              <w:spacing w:after="0"/>
              <w:rPr>
                <w:sz w:val="19"/>
                <w:szCs w:val="19"/>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Pr>
          <w:p>
            <w:pPr>
              <w:spacing w:after="0"/>
              <w:rPr>
                <w:sz w:val="19"/>
                <w:szCs w:val="19"/>
                <w:color w:val="auto"/>
              </w:rPr>
            </w:pPr>
          </w:p>
        </w:tc>
      </w:tr>
      <w:tr>
        <w:trPr>
          <w:trHeight w:val="22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00" w:type="dxa"/>
            <w:vAlign w:val="bottom"/>
            <w:shd w:val="clear" w:color="auto" w:fill="CFF0FC"/>
          </w:tcPr>
          <w:p>
            <w:pPr>
              <w:spacing w:after="0"/>
              <w:rPr>
                <w:sz w:val="19"/>
                <w:szCs w:val="19"/>
                <w:color w:val="auto"/>
              </w:rPr>
            </w:pPr>
          </w:p>
        </w:tc>
      </w:tr>
      <w:tr>
        <w:trPr>
          <w:trHeight w:val="227"/>
        </w:trPr>
        <w:tc>
          <w:tcPr>
            <w:tcW w:w="5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(0.2 )</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(0.6 )</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r>
      <w:tr>
        <w:trPr>
          <w:trHeight w:val="263"/>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SS&amp;C common stockholders</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2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3"/>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 attributable to SS&amp;C common stockholders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FF0FC"/>
          </w:tcPr>
          <w:p>
            <w:pPr>
              <w:spacing w:after="0"/>
              <w:rPr>
                <w:sz w:val="19"/>
                <w:szCs w:val="19"/>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attributable to SS&amp;C common stockholders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2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2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9"/>
                <w:szCs w:val="19"/>
                <w:color w:val="auto"/>
              </w:rPr>
            </w:pPr>
          </w:p>
        </w:tc>
      </w:tr>
      <w:tr>
        <w:trPr>
          <w:trHeight w:val="239"/>
        </w:trPr>
        <w:tc>
          <w:tcPr>
            <w:tcW w:w="5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weighted-average number of common shares outstanding</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19"/>
                <w:szCs w:val="19"/>
                <w:color w:val="auto"/>
              </w:rPr>
            </w:pPr>
          </w:p>
        </w:tc>
      </w:tr>
      <w:tr>
        <w:trPr>
          <w:trHeight w:val="212"/>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weighted-average number of common and common equivalent shares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00" w:type="dxa"/>
            <w:vAlign w:val="bottom"/>
            <w:shd w:val="clear" w:color="auto" w:fill="CFF0FC"/>
          </w:tcPr>
          <w:p>
            <w:pPr>
              <w:spacing w:after="0"/>
              <w:rPr>
                <w:sz w:val="19"/>
                <w:szCs w:val="19"/>
                <w:color w:val="auto"/>
              </w:rPr>
            </w:pPr>
          </w:p>
        </w:tc>
      </w:tr>
      <w:tr>
        <w:trPr>
          <w:trHeight w:val="23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3"/>
        </w:trPr>
        <w:tc>
          <w:tcPr>
            <w:tcW w:w="5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Foreign currency exchange translation adjustment</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(113.0 )</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r>
      <w:tr>
        <w:trPr>
          <w:trHeight w:val="226"/>
        </w:trPr>
        <w:tc>
          <w:tcPr>
            <w:tcW w:w="54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defined benefit pension obligation</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(113.0 )</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r>
      <w:tr>
        <w:trPr>
          <w:trHeight w:val="230"/>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100" w:type="dxa"/>
            <w:vAlign w:val="bottom"/>
            <w:tcBorders>
              <w:top w:val="single" w:sz="8" w:color="CFF0FC"/>
            </w:tcBorders>
          </w:tcPr>
          <w:p>
            <w:pPr>
              <w:spacing w:after="0"/>
              <w:rPr>
                <w:sz w:val="19"/>
                <w:szCs w:val="19"/>
                <w:color w:val="auto"/>
              </w:rPr>
            </w:pPr>
          </w:p>
        </w:tc>
      </w:tr>
      <w:tr>
        <w:trPr>
          <w:trHeight w:val="236"/>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(0.2 )</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(0.6 )</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(1.0 )</w:t>
            </w: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r>
      <w:tr>
        <w:trPr>
          <w:trHeight w:val="223"/>
        </w:trPr>
        <w:tc>
          <w:tcPr>
            <w:tcW w:w="5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SS&amp;C common stockholders</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w:t>
            </w: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4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626.5</w:t>
            </w: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00" w:type="dxa"/>
            <w:vAlign w:val="bottom"/>
            <w:tcBorders>
              <w:top w:val="single" w:sz="8" w:color="CFF0FC"/>
            </w:tcBorders>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-5408295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-5408295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-5408295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-5408295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-4808220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-4808220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-4808220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-4808220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-3908425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-3908425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-3908425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-2416810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-2399665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-2416810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-2399665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-2416810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-2399665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-487680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-487680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-487680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-179070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-179070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-179070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3180" w:type="dxa"/>
            <w:vAlign w:val="bottom"/>
            <w:tcBorders>
              <w:bottom w:val="single" w:sz="8" w:color="auto"/>
            </w:tcBorders>
            <w:gridSpan w:val="4"/>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40" w:type="dxa"/>
            <w:vAlign w:val="bottom"/>
          </w:tcPr>
          <w:p>
            <w:pPr>
              <w:spacing w:after="0"/>
              <w:rPr>
                <w:sz w:val="14"/>
                <w:szCs w:val="14"/>
                <w:color w:val="auto"/>
              </w:rPr>
            </w:pPr>
          </w:p>
        </w:tc>
        <w:tc>
          <w:tcPr>
            <w:tcW w:w="11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(20.7 )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(42.6 )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Distributions received from unconsolidated affiliates</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(gains) losses on investments</w:t>
            </w:r>
          </w:p>
        </w:tc>
        <w:tc>
          <w:tcPr>
            <w:tcW w:w="1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(2.5 )</w:t>
            </w: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write-offs of loan origination costs and original issue discounts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on sale or disposition of property and equipment</w:t>
            </w:r>
          </w:p>
        </w:tc>
        <w:tc>
          <w:tcPr>
            <w:tcW w:w="11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1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(52.6 )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(89.1 )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excluding effects from acquisitions:</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(100.4 )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(69.0 )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Contract assets</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(25.3 )</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(40.8 )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(75.7 )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(73.8 )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taxes prepaid and payable</w:t>
            </w:r>
          </w:p>
        </w:tc>
        <w:tc>
          <w:tcPr>
            <w:tcW w:w="1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(8.9 )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(16.3 )</w:t>
            </w:r>
          </w:p>
        </w:tc>
        <w:tc>
          <w:tcPr>
            <w:tcW w:w="0" w:type="dxa"/>
            <w:vAlign w:val="bottom"/>
          </w:tcPr>
          <w:p>
            <w:pPr>
              <w:spacing w:after="0"/>
              <w:rPr>
                <w:sz w:val="1"/>
                <w:szCs w:val="1"/>
                <w:color w:val="auto"/>
              </w:rPr>
            </w:pPr>
          </w:p>
        </w:tc>
      </w:tr>
      <w:tr>
        <w:trPr>
          <w:trHeight w:val="227"/>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(5.7 )</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902.0</w:t>
            </w:r>
          </w:p>
        </w:tc>
        <w:tc>
          <w:tcPr>
            <w:tcW w:w="2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 and asset acquisitions</w:t>
            </w:r>
          </w:p>
        </w:tc>
        <w:tc>
          <w:tcPr>
            <w:tcW w:w="1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(646.9 )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(41.7 )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(40.7 )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Additions to capitalized software</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(149.7 )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(140.9 )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Investments in securities</w:t>
            </w:r>
          </w:p>
        </w:tc>
        <w:tc>
          <w:tcPr>
            <w:tcW w:w="1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sales / maturities of investments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Distributions received from unconsolidated affiliates</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Collection of other non-current receivables</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(802.6 )</w:t>
            </w: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(167.1 )</w:t>
            </w:r>
          </w:p>
        </w:tc>
        <w:tc>
          <w:tcPr>
            <w:tcW w:w="0" w:type="dxa"/>
            <w:vAlign w:val="bottom"/>
          </w:tcPr>
          <w:p>
            <w:pPr>
              <w:spacing w:after="0"/>
              <w:rPr>
                <w:sz w:val="1"/>
                <w:szCs w:val="1"/>
                <w:color w:val="auto"/>
              </w:rPr>
            </w:pPr>
          </w:p>
        </w:tc>
      </w:tr>
      <w:tr>
        <w:trPr>
          <w:trHeight w:val="217"/>
        </w:trPr>
        <w:tc>
          <w:tcPr>
            <w:tcW w:w="7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Cash received from debt borrowings, net of original issue discount</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5,545.0</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Repayments of debt</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(5,060.1 )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(499.5 )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Payment of deferred financing fees</w:t>
            </w:r>
          </w:p>
        </w:tc>
        <w:tc>
          <w:tcPr>
            <w:tcW w:w="1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(36.6 )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decrease in client funds obligations</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(952.2 )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(163.7 )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Withholding taxes paid related to equity award net share settlement</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(20.3 )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39"/>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1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(369.3 )</w:t>
            </w:r>
          </w:p>
        </w:tc>
        <w:tc>
          <w:tcPr>
            <w:tcW w:w="1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(341.0 )</w:t>
            </w:r>
          </w:p>
        </w:tc>
        <w:tc>
          <w:tcPr>
            <w:tcW w:w="0" w:type="dxa"/>
            <w:vAlign w:val="bottom"/>
          </w:tcPr>
          <w:p>
            <w:pPr>
              <w:spacing w:after="0"/>
              <w:rPr>
                <w:sz w:val="1"/>
                <w:szCs w:val="1"/>
                <w:color w:val="auto"/>
              </w:rPr>
            </w:pPr>
          </w:p>
        </w:tc>
      </w:tr>
      <w:tr>
        <w:trPr>
          <w:trHeight w:val="220"/>
        </w:trPr>
        <w:tc>
          <w:tcPr>
            <w:tcW w:w="7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(182.6 )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(160.9 )</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Proceeds from noncontrolling interests</w:t>
            </w:r>
          </w:p>
        </w:tc>
        <w:tc>
          <w:tcPr>
            <w:tcW w:w="1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(790.1 )</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(812.6 )</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(688.5 )</w:t>
            </w:r>
          </w:p>
        </w:tc>
        <w:tc>
          <w:tcPr>
            <w:tcW w:w="1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(157.2 )</w:t>
            </w:r>
          </w:p>
        </w:tc>
        <w:tc>
          <w:tcPr>
            <w:tcW w:w="0" w:type="dxa"/>
            <w:vAlign w:val="bottom"/>
          </w:tcPr>
          <w:p>
            <w:pPr>
              <w:spacing w:after="0"/>
              <w:rPr>
                <w:sz w:val="1"/>
                <w:szCs w:val="1"/>
                <w:color w:val="auto"/>
              </w:rPr>
            </w:pPr>
          </w:p>
        </w:tc>
      </w:tr>
      <w:tr>
        <w:trPr>
          <w:trHeight w:val="23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11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2,998.6</w:t>
            </w:r>
          </w:p>
        </w:tc>
        <w:tc>
          <w:tcPr>
            <w:tcW w:w="2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and cash equivalents, end of period</w:t>
            </w:r>
          </w:p>
        </w:tc>
        <w:tc>
          <w:tcPr>
            <w:tcW w:w="114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and cash equivalents:</w:t>
            </w: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73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694.7</w:t>
            </w: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447.6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1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and cash equivalents included in funds receivable and funds held on behalf of clients</w:t>
            </w:r>
          </w:p>
        </w:tc>
        <w:tc>
          <w:tcPr>
            <w:tcW w:w="114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1,611.9</w:t>
            </w:r>
          </w:p>
        </w:tc>
        <w:tc>
          <w:tcPr>
            <w:tcW w:w="26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340" w:type="dxa"/>
            <w:vAlign w:val="bottom"/>
          </w:tcPr>
          <w:p>
            <w:pPr>
              <w:spacing w:after="0"/>
              <w:rPr>
                <w:sz w:val="19"/>
                <w:szCs w:val="19"/>
                <w:color w:val="auto"/>
              </w:rPr>
            </w:pPr>
          </w:p>
        </w:tc>
        <w:tc>
          <w:tcPr>
            <w:tcW w:w="114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2,310.1</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-4902835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-4902835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-3428365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-1962150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-1653540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-1353820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-179070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434"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352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CHANGES IN STOCKHOLDERS’ EQUITY </w:t>
      </w:r>
      <w:r>
        <w:rPr>
          <w:rFonts w:ascii="Times New Roman" w:cs="Times New Roman" w:eastAsia="Times New Roman" w:hAnsi="Times New Roman"/>
          <w:sz w:val="14"/>
          <w:szCs w:val="14"/>
          <w:b w:val="1"/>
          <w:bCs w:val="1"/>
          <w:color w:val="auto"/>
        </w:rPr>
        <w:t>(In millions)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5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5,557.0</w:t>
            </w:r>
          </w:p>
        </w:tc>
        <w:tc>
          <w:tcPr>
            <w:tcW w:w="380" w:type="dxa"/>
            <w:vAlign w:val="bottom"/>
            <w:gridSpan w:val="2"/>
            <w:shd w:val="clear" w:color="auto" w:fill="CFF0FC"/>
          </w:tcPr>
          <w:p>
            <w:pPr>
              <w:jc w:val="center"/>
              <w:ind w:left="14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(2,015.2 )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noncontrolling</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(88.3 )</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(88.3 )</w:t>
            </w: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 $0.25 per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(62.8 )</w:t>
            </w:r>
          </w:p>
        </w:tc>
        <w:tc>
          <w:tcPr>
            <w:tcW w:w="100" w:type="dxa"/>
            <w:vAlign w:val="bottom"/>
          </w:tcPr>
          <w:p>
            <w:pPr>
              <w:spacing w:after="0"/>
              <w:rPr>
                <w:sz w:val="17"/>
                <w:szCs w:val="17"/>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(62.7 )</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5,770.9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3,456.0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(312.1 )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(2,103.5 )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5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5,230.6</w:t>
            </w:r>
          </w:p>
        </w:tc>
        <w:tc>
          <w:tcPr>
            <w:tcW w:w="380" w:type="dxa"/>
            <w:vAlign w:val="bottom"/>
            <w:gridSpan w:val="2"/>
            <w:shd w:val="clear" w:color="auto" w:fill="CFF0FC"/>
          </w:tcPr>
          <w:p>
            <w:pPr>
              <w:jc w:val="center"/>
              <w:ind w:left="144"/>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2,895.6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(441.9 )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(1,506.7 )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4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(113.0 )</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(113.0 )</w:t>
            </w: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(97.8 )</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(97.8 )</w:t>
            </w: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dividends declared - $0.24 per</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(59.7 )</w:t>
            </w:r>
          </w:p>
        </w:tc>
        <w:tc>
          <w:tcPr>
            <w:tcW w:w="10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(59.7 )</w:t>
            </w:r>
          </w:p>
        </w:tc>
        <w:tc>
          <w:tcPr>
            <w:tcW w:w="0" w:type="dxa"/>
            <w:vAlign w:val="bottom"/>
          </w:tcPr>
          <w:p>
            <w:pPr>
              <w:spacing w:after="0"/>
              <w:rPr>
                <w:sz w:val="1"/>
                <w:szCs w:val="1"/>
                <w:color w:val="auto"/>
              </w:rPr>
            </w:pPr>
          </w:p>
        </w:tc>
      </w:tr>
      <w:tr>
        <w:trPr>
          <w:trHeight w:val="213"/>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60" w:type="dxa"/>
            <w:vAlign w:val="bottom"/>
          </w:tcPr>
          <w:p>
            <w:pPr>
              <w:spacing w:after="0"/>
              <w:rPr>
                <w:sz w:val="19"/>
                <w:szCs w:val="19"/>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5,308.7</w:t>
            </w:r>
          </w:p>
        </w:tc>
        <w:tc>
          <w:tcPr>
            <w:tcW w:w="26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2,991.9</w:t>
            </w:r>
          </w:p>
        </w:tc>
        <w:tc>
          <w:tcPr>
            <w:tcW w:w="24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(554.9 )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(1,604.5 )</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-2828290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-2811145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-2828290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-2811145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-2828290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-2811145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-2828290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-2811145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-2828290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-2811145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-2828290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-2811145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-2828290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-2811145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-179705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-179705</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-179705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-179705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-179705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-179705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-179705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SS&amp;C TECHNOLOGIES HOLDINGS, INC. AND SUBSIDIARIES</w:t>
      </w:r>
    </w:p>
    <w:p>
      <w:pPr>
        <w:spacing w:after="0" w:line="31" w:lineRule="exact"/>
        <w:rPr>
          <w:sz w:val="20"/>
          <w:szCs w:val="20"/>
          <w:color w:val="auto"/>
        </w:rPr>
      </w:pPr>
    </w:p>
    <w:p>
      <w:pPr>
        <w:ind w:right="352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CHANGES IN STOCKHOLDERS’ EQUITY </w:t>
      </w:r>
      <w:r>
        <w:rPr>
          <w:rFonts w:ascii="Times New Roman" w:cs="Times New Roman" w:eastAsia="Times New Roman" w:hAnsi="Times New Roman"/>
          <w:sz w:val="14"/>
          <w:szCs w:val="14"/>
          <w:b w:val="1"/>
          <w:bCs w:val="1"/>
          <w:color w:val="auto"/>
        </w:rPr>
        <w:t>(In millions)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6"/>
                <w:szCs w:val="16"/>
                <w:color w:val="auto"/>
              </w:rPr>
            </w:pPr>
          </w:p>
        </w:tc>
        <w:tc>
          <w:tcPr>
            <w:tcW w:w="9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260" w:type="dxa"/>
            <w:vAlign w:val="bottom"/>
          </w:tcPr>
          <w:p>
            <w:pPr>
              <w:spacing w:after="0"/>
              <w:rPr>
                <w:sz w:val="18"/>
                <w:szCs w:val="18"/>
                <w:color w:val="auto"/>
              </w:rPr>
            </w:pPr>
          </w:p>
        </w:tc>
        <w:tc>
          <w:tcPr>
            <w:tcW w:w="30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5,371.0</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3,126.3</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noncontrolling</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defined benefit plan</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obligation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4"/>
                <w:szCs w:val="24"/>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4"/>
                <w:szCs w:val="24"/>
                <w:color w:val="auto"/>
              </w:rPr>
            </w:pP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(369.3 )</w:t>
            </w:r>
          </w:p>
        </w:tc>
        <w:tc>
          <w:tcPr>
            <w:tcW w:w="120" w:type="dxa"/>
            <w:vAlign w:val="bottom"/>
            <w:shd w:val="clear" w:color="auto" w:fill="CFF0FC"/>
          </w:tcPr>
          <w:p>
            <w:pPr>
              <w:spacing w:after="0"/>
              <w:rPr>
                <w:sz w:val="24"/>
                <w:szCs w:val="2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(369.3 )</w:t>
            </w:r>
          </w:p>
        </w:tc>
        <w:tc>
          <w:tcPr>
            <w:tcW w:w="0" w:type="dxa"/>
            <w:vAlign w:val="bottom"/>
          </w:tcPr>
          <w:p>
            <w:pPr>
              <w:spacing w:after="0"/>
              <w:rPr>
                <w:sz w:val="1"/>
                <w:szCs w:val="1"/>
                <w:color w:val="auto"/>
              </w:rPr>
            </w:pPr>
          </w:p>
        </w:tc>
      </w:tr>
      <w:tr>
        <w:trPr>
          <w:trHeight w:val="202"/>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 $0.73 per</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(182.6 )</w:t>
            </w:r>
          </w:p>
        </w:tc>
        <w:tc>
          <w:tcPr>
            <w:tcW w:w="100" w:type="dxa"/>
            <w:vAlign w:val="bottom"/>
          </w:tcPr>
          <w:p>
            <w:pPr>
              <w:spacing w:after="0"/>
              <w:rPr>
                <w:sz w:val="17"/>
                <w:szCs w:val="17"/>
                <w:color w:val="auto"/>
              </w:rPr>
            </w:pPr>
          </w:p>
        </w:tc>
        <w:tc>
          <w:tcPr>
            <w:tcW w:w="12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(181.8 )</w:t>
            </w:r>
          </w:p>
        </w:tc>
        <w:tc>
          <w:tcPr>
            <w:tcW w:w="0" w:type="dxa"/>
            <w:vAlign w:val="bottom"/>
          </w:tcPr>
          <w:p>
            <w:pPr>
              <w:spacing w:after="0"/>
              <w:rPr>
                <w:sz w:val="1"/>
                <w:szCs w:val="1"/>
                <w:color w:val="auto"/>
              </w:rPr>
            </w:pPr>
          </w:p>
        </w:tc>
      </w:tr>
      <w:tr>
        <w:trPr>
          <w:trHeight w:val="213"/>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5,770.9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3,456.0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(312.1 )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(2,103.5 )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40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6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7"/>
          </w:tcPr>
          <w:p>
            <w:pPr>
              <w:jc w:val="center"/>
              <w:ind w:left="45"/>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SS&amp;C Stockholders</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2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6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26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3"/>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ling</w:t>
            </w:r>
          </w:p>
        </w:tc>
        <w:tc>
          <w:tcPr>
            <w:tcW w:w="22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560" w:type="dxa"/>
            <w:vAlign w:val="bottom"/>
            <w:gridSpan w:val="2"/>
            <w:shd w:val="clear" w:color="auto" w:fill="CFF0FC"/>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5,111.6</w:t>
            </w:r>
          </w:p>
        </w:tc>
        <w:tc>
          <w:tcPr>
            <w:tcW w:w="380" w:type="dxa"/>
            <w:vAlign w:val="bottom"/>
            <w:gridSpan w:val="2"/>
            <w:shd w:val="clear" w:color="auto" w:fill="CFF0FC"/>
          </w:tcPr>
          <w:p>
            <w:pPr>
              <w:jc w:val="center"/>
              <w:ind w:left="14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(550.1 )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(1,260.1 )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40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6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Exercise of options, net of</w:t>
            </w: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withholding taxes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2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(344.4 )</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(344.4 )</w:t>
            </w:r>
          </w:p>
        </w:tc>
        <w:tc>
          <w:tcPr>
            <w:tcW w:w="0" w:type="dxa"/>
            <w:vAlign w:val="bottom"/>
          </w:tcPr>
          <w:p>
            <w:pPr>
              <w:spacing w:after="0"/>
              <w:rPr>
                <w:sz w:val="1"/>
                <w:szCs w:val="1"/>
                <w:color w:val="auto"/>
              </w:rPr>
            </w:pPr>
          </w:p>
        </w:tc>
      </w:tr>
      <w:tr>
        <w:trPr>
          <w:trHeight w:val="212"/>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dividends declared - $0.64 per</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(160.9 )</w:t>
            </w:r>
          </w:p>
        </w:tc>
        <w:tc>
          <w:tcPr>
            <w:tcW w:w="10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(160.9 )</w:t>
            </w:r>
          </w:p>
        </w:tc>
        <w:tc>
          <w:tcPr>
            <w:tcW w:w="0" w:type="dxa"/>
            <w:vAlign w:val="bottom"/>
          </w:tcPr>
          <w:p>
            <w:pPr>
              <w:spacing w:after="0"/>
              <w:rPr>
                <w:sz w:val="1"/>
                <w:szCs w:val="1"/>
                <w:color w:val="auto"/>
              </w:rPr>
            </w:pPr>
          </w:p>
        </w:tc>
      </w:tr>
      <w:tr>
        <w:trPr>
          <w:trHeight w:val="213"/>
        </w:trPr>
        <w:tc>
          <w:tcPr>
            <w:tcW w:w="2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w:t>
            </w:r>
          </w:p>
        </w:tc>
        <w:tc>
          <w:tcPr>
            <w:tcW w:w="8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260" w:type="dxa"/>
            <w:vAlign w:val="bottom"/>
          </w:tcPr>
          <w:p>
            <w:pPr>
              <w:spacing w:after="0"/>
              <w:rPr>
                <w:sz w:val="19"/>
                <w:szCs w:val="19"/>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5,308.7</w:t>
            </w:r>
          </w:p>
        </w:tc>
        <w:tc>
          <w:tcPr>
            <w:tcW w:w="26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2,991.9</w:t>
            </w:r>
          </w:p>
        </w:tc>
        <w:tc>
          <w:tcPr>
            <w:tcW w:w="24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(554.9 )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(1,604.5 )</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4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-2931160</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-2914015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-2931160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-2914015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-2931160</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-2914015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-2931160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-2914015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-2931160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-2914015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-2931160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-2914015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-2931160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-2914015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-2931160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-179070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-179070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-179070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-179070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-179070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-179070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-179070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5280"/>
        <w:spacing w:after="0" w:line="268" w:lineRule="auto"/>
        <w:rPr>
          <w:sz w:val="20"/>
          <w:szCs w:val="20"/>
          <w:color w:val="auto"/>
        </w:rPr>
      </w:pPr>
      <w:r>
        <w:rPr>
          <w:rFonts w:ascii="Times New Roman" w:cs="Times New Roman" w:eastAsia="Times New Roman" w:hAnsi="Times New Roman"/>
          <w:sz w:val="18"/>
          <w:szCs w:val="18"/>
          <w:b w:val="1"/>
          <w:bCs w:val="1"/>
          <w:color w:val="auto"/>
        </w:rPr>
        <w:t>SS&amp;C TECHNOLOGIES HOLDINGS, INC. AND SUBSIDIARIES 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 and Principles of Consolidation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2023, filed with the Securities and Exchange Commission (the “SEC”) on February 28, 2024 (the “2023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September 30, 2024, the results of our operations for the three and nine months ended September 30, 2024 and 2023, and our cash flows for the nine months ended September 30, 2024 and 2023.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2023, which were included in the 2023 Form 10-K. The December 31, 2023 Consolidated Balance Sheet data were derived from audited financial statements but do not include all disclosures required by GAAP for annual financial statements. The results of operations for the three and nine months ended September 30, 2024 are not necessarily indicative of the expected results for any subsequent quarters or the full year.</w:t>
      </w:r>
    </w:p>
    <w:p>
      <w:pPr>
        <w:spacing w:after="0" w:line="14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is applicable to all public entities, including public entities with a single reportable segment, and requires enhanced reportable segment disclosures. The disclosures include significant segment expenses regularly provided to the chief operating decision maker (“CODM”) and included within each reported measure of segment profit or loss. The standard also requires disclosure of the title and position of the CODM as well as how the CODM uses the reported measures of a segment’s profit or loss to assess segment performance and decide how to allocate resources. The new standard is effective for fiscal years beginning after December 15, 2023, and interim periods within fiscal years beginning after December 31, 2024. Early adoption is permitted. We are currently evaluating the potential impact the standard will have on our disclosures.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standard requires more enhanced disclosures specifically related to effective tax rate reconciliation and income taxes paid. The new requirements will be effective for fiscal years beginning after December 15, 2024, on a prospective basis. Early adoption and retrospective application are permitted. We are currently evaluating the potential impact the standard will have on our income tax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2—Property, Plant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and the related accumulated depreciation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r>
      <w:tr>
        <w:trPr>
          <w:trHeight w:val="23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shd w:val="clear" w:color="auto" w:fill="CFF0FC"/>
          </w:tcPr>
          <w:p>
            <w:pPr>
              <w:spacing w:after="0"/>
              <w:rPr>
                <w:sz w:val="20"/>
                <w:szCs w:val="20"/>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300" w:type="dxa"/>
            <w:vAlign w:val="bottom"/>
          </w:tcPr>
          <w:p>
            <w:pPr>
              <w:spacing w:after="0"/>
              <w:rPr>
                <w:sz w:val="20"/>
                <w:szCs w:val="20"/>
                <w:color w:val="auto"/>
              </w:rPr>
            </w:pPr>
          </w:p>
        </w:tc>
      </w:tr>
      <w:tr>
        <w:trPr>
          <w:trHeight w:val="247"/>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1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3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2"/>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300" w:type="dxa"/>
            <w:vAlign w:val="bottom"/>
          </w:tcPr>
          <w:p>
            <w:pPr>
              <w:spacing w:after="0"/>
              <w:rPr>
                <w:sz w:val="20"/>
                <w:szCs w:val="20"/>
                <w:color w:val="auto"/>
              </w:rPr>
            </w:pPr>
          </w:p>
        </w:tc>
      </w:tr>
      <w:tr>
        <w:trPr>
          <w:trHeight w:val="247"/>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(563.9 )</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(513.6 )</w:t>
            </w:r>
          </w:p>
        </w:tc>
      </w:tr>
      <w:tr>
        <w:trPr>
          <w:trHeight w:val="237"/>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34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300" w:type="dxa"/>
            <w:vAlign w:val="bottom"/>
            <w:tcBorders>
              <w:top w:val="single" w:sz="8" w:color="CFF0FC"/>
            </w:tcBorders>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-504825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-504825</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-187960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2024 was $18.9 million and $55.2 million, respectively. Depreciation expense for the three and nine months ended September 30, 2023 was $18.0 million and $55.1 million, respectively. As of September 30, 2024 and December 31, 2023, assets held for sale were $5.9 million and $9.0 million, respectively, and are presented in prepaid expenses and other current assets in our condensed consolidated balance sheet. As of September 30, 2024, we are exploring a sale of certain real estate assets with a carrying value of approximately $49 million. As the potential sale is not currently considered probable within twelve months, these assets have not been classified as held for sale. An estimated loss of</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approximately $35 million would be recorded if the held for sale criteria were met. Unpaid property, plant and equipment additions of $5.9 million and</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$2.9 million are included in accounts payable and other accrued expenses as of September 30, 2024 and December 31, 2023, respectively, in our condensed consolidated balance sheet.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Partnership interests in private equity funds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r>
      <w:tr>
        <w:trPr>
          <w:trHeight w:val="277"/>
        </w:trPr>
        <w:tc>
          <w:tcPr>
            <w:tcW w:w="67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3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-25400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Realized and unrealized gains and losses for our equity securities are as follows (in millions):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5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0"/>
        </w:trPr>
        <w:tc>
          <w:tcPr>
            <w:tcW w:w="532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05"/>
        </w:trPr>
        <w:tc>
          <w:tcPr>
            <w:tcW w:w="53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Unrealized gains (losses) on equity securities held as of the end of the</w:t>
            </w: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(3.4 )</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r>
      <w:tr>
        <w:trPr>
          <w:trHeight w:val="25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for equity securities sold during the period</w:t>
            </w:r>
          </w:p>
        </w:tc>
        <w:tc>
          <w:tcPr>
            <w:tcW w:w="7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2"/>
                <w:szCs w:val="22"/>
                <w:color w:val="auto"/>
              </w:rPr>
            </w:pPr>
          </w:p>
        </w:tc>
      </w:tr>
      <w:tr>
        <w:trPr>
          <w:trHeight w:val="25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gains (losses) recognized in other income (expense), net</w:t>
            </w:r>
          </w:p>
        </w:tc>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22"/>
                <w:szCs w:val="22"/>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260" w:firstLine="562"/>
        <w:spacing w:after="0" w:line="261" w:lineRule="auto"/>
        <w:rPr>
          <w:sz w:val="20"/>
          <w:szCs w:val="20"/>
          <w:color w:val="auto"/>
        </w:rPr>
      </w:pPr>
      <w:r>
        <w:rPr>
          <w:rFonts w:ascii="Times New Roman" w:cs="Times New Roman" w:eastAsia="Times New Roman" w:hAnsi="Times New Roman"/>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39" w:lineRule="exact"/>
        <w:rPr>
          <w:sz w:val="20"/>
          <w:szCs w:val="20"/>
          <w:color w:val="auto"/>
        </w:rPr>
      </w:pPr>
    </w:p>
    <w:p>
      <w:pPr>
        <w:ind w:right="140" w:firstLine="569"/>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8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320" w:type="dxa"/>
            <w:vAlign w:val="bottom"/>
            <w:tcBorders>
              <w:top w:val="single" w:sz="8" w:color="auto"/>
            </w:tcBorders>
          </w:tcPr>
          <w:p>
            <w:pPr>
              <w:jc w:val="center"/>
              <w:ind w:left="81"/>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32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20" w:type="dxa"/>
            <w:vAlign w:val="bottom"/>
          </w:tcPr>
          <w:p>
            <w:pPr>
              <w:spacing w:after="0"/>
              <w:rPr>
                <w:sz w:val="16"/>
                <w:szCs w:val="16"/>
                <w:color w:val="auto"/>
              </w:rPr>
            </w:pPr>
          </w:p>
        </w:tc>
        <w:tc>
          <w:tcPr>
            <w:tcW w:w="1320" w:type="dxa"/>
            <w:vAlign w:val="bottom"/>
            <w:tcBorders>
              <w:bottom w:val="single" w:sz="8" w:color="auto"/>
            </w:tcBorders>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180" w:type="dxa"/>
            <w:vAlign w:val="bottom"/>
            <w:shd w:val="clear" w:color="auto" w:fill="CFF0FC"/>
          </w:tcPr>
          <w:p>
            <w:pPr>
              <w:spacing w:after="0"/>
              <w:rPr>
                <w:sz w:val="22"/>
                <w:szCs w:val="22"/>
                <w:color w:val="auto"/>
              </w:rPr>
            </w:pPr>
          </w:p>
        </w:tc>
        <w:tc>
          <w:tcPr>
            <w:tcW w:w="3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32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14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40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4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(11.9 )</w:t>
            </w:r>
          </w:p>
        </w:tc>
        <w:tc>
          <w:tcPr>
            <w:tcW w:w="1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3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1,622.9</w:t>
            </w:r>
          </w:p>
        </w:tc>
        <w:tc>
          <w:tcPr>
            <w:tcW w:w="3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ind w:right="1141"/>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-933450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-916305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-933450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-916305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-933450</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-916305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tbl>
      <w:tblPr>
        <w:tblLayout w:type="fixed"/>
        <w:tblInd w:w="58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60" w:type="dxa"/>
            <w:vAlign w:val="bottom"/>
            <w:gridSpan w:val="8"/>
          </w:tcPr>
          <w:p>
            <w:pPr>
              <w:ind w:left="7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1"/>
        </w:trPr>
        <w:tc>
          <w:tcPr>
            <w:tcW w:w="3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320" w:type="dxa"/>
            <w:vAlign w:val="bottom"/>
            <w:tcBorders>
              <w:top w:val="single" w:sz="8" w:color="auto"/>
            </w:tcBorders>
          </w:tcPr>
          <w:p>
            <w:pPr>
              <w:jc w:val="center"/>
              <w:ind w:left="81"/>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40" w:type="dxa"/>
            <w:vAlign w:val="bottom"/>
            <w:vMerge w:val="restart"/>
          </w:tcPr>
          <w:p>
            <w:pPr>
              <w:spacing w:after="0"/>
              <w:rPr>
                <w:sz w:val="12"/>
                <w:szCs w:val="12"/>
                <w:color w:val="auto"/>
              </w:rPr>
            </w:pPr>
          </w:p>
        </w:tc>
        <w:tc>
          <w:tcPr>
            <w:tcW w:w="18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320" w:type="dxa"/>
            <w:vAlign w:val="bottom"/>
          </w:tcPr>
          <w:p>
            <w:pPr>
              <w:jc w:val="center"/>
              <w:ind w:left="61"/>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340" w:type="dxa"/>
            <w:vAlign w:val="bottom"/>
          </w:tcPr>
          <w:p>
            <w:pPr>
              <w:spacing w:after="0"/>
              <w:rPr>
                <w:sz w:val="16"/>
                <w:szCs w:val="16"/>
                <w:color w:val="auto"/>
              </w:rPr>
            </w:pPr>
          </w:p>
        </w:tc>
        <w:tc>
          <w:tcPr>
            <w:tcW w:w="1320" w:type="dxa"/>
            <w:vAlign w:val="bottom"/>
            <w:tcBorders>
              <w:bottom w:val="single" w:sz="8" w:color="auto"/>
            </w:tcBorders>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42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340" w:type="dxa"/>
            <w:vAlign w:val="bottom"/>
            <w:shd w:val="clear" w:color="auto" w:fill="CFF0FC"/>
          </w:tcPr>
          <w:p>
            <w:pPr>
              <w:spacing w:after="0"/>
              <w:rPr>
                <w:sz w:val="22"/>
                <w:szCs w:val="22"/>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2,212.6</w:t>
            </w:r>
          </w:p>
        </w:tc>
        <w:tc>
          <w:tcPr>
            <w:tcW w:w="34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1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Seed capital investments (2)</w:t>
            </w:r>
          </w:p>
        </w:tc>
        <w:tc>
          <w:tcPr>
            <w:tcW w:w="4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equity securities (2)</w:t>
            </w:r>
          </w:p>
        </w:tc>
        <w:tc>
          <w:tcPr>
            <w:tcW w:w="42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shd w:val="clear" w:color="auto" w:fill="CFF0FC"/>
          </w:tcPr>
          <w:p>
            <w:pPr>
              <w:spacing w:after="0"/>
              <w:rPr>
                <w:sz w:val="24"/>
                <w:szCs w:val="24"/>
                <w:color w:val="auto"/>
              </w:rPr>
            </w:pPr>
          </w:p>
        </w:tc>
        <w:tc>
          <w:tcPr>
            <w:tcW w:w="13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liabilities (3)</w:t>
            </w:r>
          </w:p>
        </w:tc>
        <w:tc>
          <w:tcPr>
            <w:tcW w:w="4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(11.7 )</w:t>
            </w:r>
          </w:p>
        </w:tc>
        <w:tc>
          <w:tcPr>
            <w:tcW w:w="20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(11.7 )</w:t>
            </w:r>
          </w:p>
        </w:tc>
        <w:tc>
          <w:tcPr>
            <w:tcW w:w="13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3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ind w:right="112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left="980" w:right="20" w:hanging="373"/>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included $189.1 million of cash and cash equivalents, $2.5 million of restricted cash and $1,394.0 million of funds receivable and funds held on behalf of clients on the Condensed Consolidated Balance Sheet. As of December 31, 2023, included $131.7 million of cash and cash equivalents, $1.8 million of restricted cash and $2,079.1 million of funds receivable and funds held on behalf of clients on the Condensed Consolidated Balance Sheet.</w:t>
      </w:r>
    </w:p>
    <w:p>
      <w:pPr>
        <w:spacing w:after="0" w:line="2" w:lineRule="exact"/>
        <w:rPr>
          <w:rFonts w:ascii="Times New Roman" w:cs="Times New Roman" w:eastAsia="Times New Roman" w:hAnsi="Times New Roman"/>
          <w:sz w:val="18"/>
          <w:szCs w:val="18"/>
          <w:color w:val="auto"/>
        </w:rPr>
      </w:pPr>
    </w:p>
    <w:p>
      <w:pPr>
        <w:ind w:left="980" w:hanging="373"/>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Investments on the Condensed Consolidated Balance Sheet.</w:t>
      </w:r>
    </w:p>
    <w:p>
      <w:pPr>
        <w:spacing w:after="0" w:line="9" w:lineRule="exact"/>
        <w:rPr>
          <w:rFonts w:ascii="Times New Roman" w:cs="Times New Roman" w:eastAsia="Times New Roman" w:hAnsi="Times New Roman"/>
          <w:sz w:val="18"/>
          <w:szCs w:val="18"/>
          <w:color w:val="auto"/>
        </w:rPr>
      </w:pPr>
    </w:p>
    <w:p>
      <w:pPr>
        <w:ind w:left="980" w:hanging="373"/>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on the Condensed Consolidated Balance Sheet.</w:t>
      </w:r>
    </w:p>
    <w:p>
      <w:pPr>
        <w:spacing w:after="0" w:line="166" w:lineRule="exact"/>
        <w:rPr>
          <w:sz w:val="20"/>
          <w:szCs w:val="20"/>
          <w:color w:val="auto"/>
        </w:rPr>
      </w:pPr>
    </w:p>
    <w:p>
      <w:pPr>
        <w:ind w:firstLine="562"/>
        <w:spacing w:after="0" w:line="258" w:lineRule="auto"/>
        <w:rPr>
          <w:sz w:val="20"/>
          <w:szCs w:val="20"/>
          <w:color w:val="auto"/>
        </w:rPr>
      </w:pPr>
      <w:r>
        <w:rPr>
          <w:rFonts w:ascii="Times New Roman" w:cs="Times New Roman" w:eastAsia="Times New Roman" w:hAnsi="Times New Roman"/>
          <w:sz w:val="18"/>
          <w:szCs w:val="18"/>
          <w:color w:val="auto"/>
        </w:rPr>
        <w:t>We have partnership interests in various private equity funds that are not included in the tables above. Our investments in private equity funds were $11.4 million and $11.5 million at September 30, 2024 and December 31, 2023, respectively, of which $10.1 million and $9.2 million, respectively, were measured using net asset value as a practical expedient for fair value and $1.3 million and $2.3 million, respectively, were accounted for under the equity method of accounting. The investments in private equity funds represent underlying investments in domestic and international markets across various industry sectors.</w:t>
      </w:r>
    </w:p>
    <w:p>
      <w:pPr>
        <w:spacing w:after="0" w:line="75" w:lineRule="exact"/>
        <w:rPr>
          <w:sz w:val="20"/>
          <w:szCs w:val="20"/>
          <w:color w:val="auto"/>
        </w:rPr>
      </w:pPr>
    </w:p>
    <w:p>
      <w:pPr>
        <w:jc w:val="both"/>
        <w:ind w:right="340" w:firstLine="569"/>
        <w:spacing w:after="0" w:line="266" w:lineRule="auto"/>
        <w:rPr>
          <w:sz w:val="20"/>
          <w:szCs w:val="20"/>
          <w:color w:val="auto"/>
        </w:rPr>
      </w:pPr>
      <w:r>
        <w:rPr>
          <w:rFonts w:ascii="Times New Roman" w:cs="Times New Roman" w:eastAsia="Times New Roman" w:hAnsi="Times New Roman"/>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4—Unconsolidated Affiliates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Investments in unconsolidated affiliates are as follows (in millions):</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Excess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Excess carrying</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investment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8"/>
              </w:rPr>
              <w:t>over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investment over</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proportionate</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share of net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 of net</w:t>
            </w: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1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00" w:firstLine="562"/>
        <w:spacing w:after="0" w:line="266" w:lineRule="auto"/>
        <w:rPr>
          <w:sz w:val="20"/>
          <w:szCs w:val="20"/>
          <w:color w:val="auto"/>
        </w:rPr>
      </w:pPr>
      <w:r>
        <w:rPr>
          <w:rFonts w:ascii="Times New Roman" w:cs="Times New Roman" w:eastAsia="Times New Roman" w:hAnsi="Times New Roman"/>
          <w:sz w:val="18"/>
          <w:szCs w:val="18"/>
          <w:color w:val="auto"/>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Statements of Comprehensive Income.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3" w:right="359" w:bottom="1440" w:gutter="0" w:footer="0" w:header="0"/>
        </w:sectPr>
      </w:pPr>
    </w:p>
    <w:bookmarkStart w:id="10" w:name="page11"/>
    <w:bookmarkEnd w:id="10"/>
    <w:p>
      <w:pPr>
        <w:ind w:left="560"/>
        <w:spacing w:after="0"/>
        <w:rPr>
          <w:sz w:val="20"/>
          <w:szCs w:val="20"/>
          <w:color w:val="auto"/>
        </w:rPr>
      </w:pPr>
      <w:r>
        <w:rPr>
          <w:rFonts w:ascii="Times New Roman" w:cs="Times New Roman" w:eastAsia="Times New Roman" w:hAnsi="Times New Roman"/>
          <w:sz w:val="18"/>
          <w:szCs w:val="18"/>
          <w:color w:val="auto"/>
        </w:rPr>
        <w:t>Equity in earnings of unconsolidated affiliates, net are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31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0"/>
        </w:trPr>
        <w:tc>
          <w:tcPr>
            <w:tcW w:w="528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6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Orbit Private Investments L.P.</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FF0FC"/>
          </w:tcPr>
          <w:p>
            <w:pPr>
              <w:spacing w:after="0"/>
              <w:rPr>
                <w:sz w:val="22"/>
                <w:szCs w:val="22"/>
                <w:color w:val="auto"/>
              </w:rPr>
            </w:pP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Financial Data Services L.P.</w:t>
            </w:r>
          </w:p>
        </w:tc>
        <w:tc>
          <w:tcPr>
            <w:tcW w:w="9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r>
      <w:tr>
        <w:trPr>
          <w:trHeight w:val="27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Pershing Road Development Company, LLC</w:t>
            </w:r>
          </w:p>
        </w:tc>
        <w:tc>
          <w:tcPr>
            <w:tcW w:w="900" w:type="dxa"/>
            <w:vAlign w:val="bottom"/>
            <w:shd w:val="clear" w:color="auto" w:fill="CFF0FC"/>
          </w:tcPr>
          <w:p>
            <w:pPr>
              <w:spacing w:after="0"/>
              <w:rPr>
                <w:sz w:val="24"/>
                <w:szCs w:val="24"/>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30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Broadway Square Partners, LLP</w:t>
            </w:r>
          </w:p>
        </w:tc>
        <w:tc>
          <w:tcPr>
            <w:tcW w:w="90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300" w:type="dxa"/>
            <w:vAlign w:val="bottom"/>
          </w:tcPr>
          <w:p>
            <w:pPr>
              <w:spacing w:after="0"/>
              <w:rPr>
                <w:sz w:val="22"/>
                <w:szCs w:val="22"/>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(0.7 )</w:t>
            </w:r>
          </w:p>
        </w:tc>
        <w:tc>
          <w:tcPr>
            <w:tcW w:w="3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unconsolidated affiliates</w:t>
            </w:r>
          </w:p>
        </w:tc>
        <w:tc>
          <w:tcPr>
            <w:tcW w:w="900" w:type="dxa"/>
            <w:vAlign w:val="bottom"/>
            <w:shd w:val="clear" w:color="auto" w:fill="CFF0FC"/>
          </w:tcPr>
          <w:p>
            <w:pPr>
              <w:spacing w:after="0"/>
              <w:rPr>
                <w:sz w:val="22"/>
                <w:szCs w:val="22"/>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2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22"/>
                <w:szCs w:val="22"/>
                <w:color w:val="auto"/>
              </w:rPr>
            </w:pPr>
          </w:p>
        </w:tc>
      </w:tr>
      <w:tr>
        <w:trPr>
          <w:trHeight w:val="237"/>
        </w:trPr>
        <w:tc>
          <w:tcPr>
            <w:tcW w:w="52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top w:val="single" w:sz="8" w:color="CFF0FC"/>
            </w:tcBorders>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-187960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firstLine="562"/>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received a distribution of $26.9 million from our unconsolidated affiliate, Orbit Private Investments L.P. which reduced our investment in the affiliate. We recorded the distribution as a $2.4 million operating cash inflow and a $24.5 million investing cash inflow in our condensed consolidated statements of cash flows due to the nature of the distribution.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Battea-Class Action Services, LLC</w:t>
      </w:r>
    </w:p>
    <w:p>
      <w:pPr>
        <w:spacing w:after="0" w:line="11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On September 27, 2024, we purchased all of the outstanding stock of Battea-Class Action Services, LLC (“Battea”) for approximately $671 million in cash, plus the costs of effecting the transaction. We financed the acquisition in part by entering into an Incremental Joinder to our existing amended and restated credit agreement, dated as of April 16, 2018 (as amended, restated, amended and restated, supplemented or otherwise modified from time to time, the “Credit Agreement”). Battea is a market-leading provider of securities class action claims and settlement recovery services.</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net assets and results of operations of Battea have been included in our Condensed Consolidated Financial Statements from September 27, 2024. The fair value of the acquired receivables represents the contractual value net of the allowance for potentially uncollectible accounts. The preliminary fair value of the intangible assets, consisting of customer relationships, completed technologies and trade names, was determined using the income approach. The intangible assets will be amortized each year based on the ratio that the projected cash flows for the intangible assets bear to the total of current and expected future cash flows for the intangible assets. The customer relationships, completed technologies and trade names are expected to be amortized over approximately thirteen, eleven and thirteen years, respectively, in each case the estimated life of the assets. The remainder of the purchase price was allocated to goodwill which is attributed to intangible assets that do not qualify for separate recognition. A portion of goodwill is tax deductible.</w:t>
      </w:r>
    </w:p>
    <w:p>
      <w:pPr>
        <w:spacing w:after="0" w:line="8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There are $4.1 million in revenues from Battea’s operations included in the Condensed Consolidated Statements of Comprehensive Income from the date of acquisition through September 30,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summarizes the preliminary allocation of the purchase price for the September 2024 acquisition of Battea (in millions). The fair values of the acquired assets and the related evaluation of taxes, are provisional pending receipt of the final valuation for those assets. The valuation of the acquired liabilities is also preliminary.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Battea</w:t>
            </w:r>
          </w:p>
        </w:tc>
        <w:tc>
          <w:tcPr>
            <w:tcW w:w="100" w:type="dxa"/>
            <w:vAlign w:val="bottom"/>
          </w:tcPr>
          <w:p>
            <w:pPr>
              <w:spacing w:after="0"/>
              <w:rPr>
                <w:sz w:val="16"/>
                <w:szCs w:val="16"/>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1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20"/>
                <w:szCs w:val="20"/>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receivable and funds held on behalf of clients</w:t>
            </w:r>
          </w:p>
        </w:tc>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Completed technologies</w:t>
            </w:r>
          </w:p>
        </w:tc>
        <w:tc>
          <w:tcPr>
            <w:tcW w:w="4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shd w:val="clear" w:color="auto" w:fill="CFF0FC"/>
          </w:tcPr>
          <w:p>
            <w:pPr>
              <w:spacing w:after="0"/>
              <w:rPr>
                <w:sz w:val="21"/>
                <w:szCs w:val="21"/>
                <w:color w:val="auto"/>
              </w:rPr>
            </w:pP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other liabilities</w:t>
            </w:r>
          </w:p>
        </w:tc>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(67.2 )</w:t>
            </w: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8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(33.8 )</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funds obligations</w:t>
            </w:r>
          </w:p>
        </w:tc>
        <w:tc>
          <w:tcPr>
            <w:tcW w:w="4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(284.8 )</w:t>
            </w:r>
          </w:p>
        </w:tc>
      </w:tr>
      <w:tr>
        <w:trPr>
          <w:trHeight w:val="281"/>
        </w:trPr>
        <w:tc>
          <w:tcPr>
            <w:tcW w:w="47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Consideration paid, net of cash acquired</w:t>
            </w:r>
          </w:p>
        </w:tc>
        <w:tc>
          <w:tcPr>
            <w:tcW w:w="4840" w:type="dxa"/>
            <w:vAlign w:val="bottom"/>
            <w:tcBorders>
              <w:top w:val="single" w:sz="8" w:color="CFF0FC"/>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629"/>
        </w:trPr>
        <w:tc>
          <w:tcPr>
            <w:tcW w:w="4700" w:type="dxa"/>
            <w:vAlign w:val="bottom"/>
          </w:tcPr>
          <w:p>
            <w:pPr>
              <w:spacing w:after="0"/>
              <w:rPr>
                <w:sz w:val="24"/>
                <w:szCs w:val="24"/>
                <w:color w:val="auto"/>
              </w:rPr>
            </w:pPr>
          </w:p>
        </w:tc>
        <w:tc>
          <w:tcPr>
            <w:tcW w:w="484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7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information is provided for illustrative purposes only and assumes that the acquisition of Battea occurred on January 1, 2023,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 had actually occurred on that date, nor of the results that may be obtained in the future.</w:t>
      </w:r>
    </w:p>
    <w:p>
      <w:pPr>
        <w:spacing w:after="0" w:line="66"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50"/>
        </w:trPr>
        <w:tc>
          <w:tcPr>
            <w:tcW w:w="40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1"/>
                <w:szCs w:val="21"/>
                <w:color w:val="auto"/>
              </w:rPr>
            </w:pPr>
          </w:p>
        </w:tc>
      </w:tr>
      <w:tr>
        <w:trPr>
          <w:trHeight w:val="23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4,359.1</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4,139.1</w:t>
            </w:r>
          </w:p>
        </w:tc>
        <w:tc>
          <w:tcPr>
            <w:tcW w:w="60" w:type="dxa"/>
            <w:vAlign w:val="bottom"/>
            <w:shd w:val="clear" w:color="auto" w:fill="CFF0FC"/>
          </w:tcPr>
          <w:p>
            <w:pPr>
              <w:spacing w:after="0"/>
              <w:rPr>
                <w:sz w:val="20"/>
                <w:szCs w:val="20"/>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carrying value of goodwill as of and for the nine months ended September 30, 2024 is as follows (in millions):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70"/>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8,969.5</w:t>
            </w:r>
          </w:p>
        </w:tc>
        <w:tc>
          <w:tcPr>
            <w:tcW w:w="100" w:type="dxa"/>
            <w:vAlign w:val="bottom"/>
            <w:shd w:val="clear" w:color="auto" w:fill="CFF0FC"/>
          </w:tcPr>
          <w:p>
            <w:pPr>
              <w:spacing w:after="0"/>
              <w:rPr>
                <w:sz w:val="23"/>
                <w:szCs w:val="23"/>
                <w:color w:val="auto"/>
              </w:rPr>
            </w:pPr>
          </w:p>
        </w:tc>
      </w:tr>
      <w:tr>
        <w:trPr>
          <w:trHeight w:val="263"/>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Acquisitions completed in the current year</w:t>
            </w:r>
          </w:p>
        </w:tc>
        <w:tc>
          <w:tcPr>
            <w:tcW w:w="6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22"/>
                <w:szCs w:val="22"/>
                <w:color w:val="auto"/>
              </w:rPr>
            </w:pPr>
          </w:p>
        </w:tc>
      </w:tr>
      <w:tr>
        <w:trPr>
          <w:trHeight w:val="277"/>
        </w:trPr>
        <w:tc>
          <w:tcPr>
            <w:tcW w:w="8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to prior acquisitions</w:t>
            </w:r>
          </w:p>
        </w:tc>
        <w:tc>
          <w:tcPr>
            <w:tcW w:w="60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4"/>
                <w:szCs w:val="24"/>
                <w:color w:val="auto"/>
              </w:rPr>
            </w:pPr>
          </w:p>
        </w:tc>
      </w:tr>
      <w:tr>
        <w:trPr>
          <w:trHeight w:val="256"/>
        </w:trPr>
        <w:tc>
          <w:tcPr>
            <w:tcW w:w="8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2"/>
                <w:szCs w:val="22"/>
                <w:color w:val="auto"/>
              </w:rPr>
            </w:pPr>
          </w:p>
        </w:tc>
      </w:tr>
      <w:tr>
        <w:trPr>
          <w:trHeight w:val="277"/>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2024 and December 31, 2023, debt consisted of the following (in millions):</w:t>
      </w:r>
    </w:p>
    <w:p>
      <w:pPr>
        <w:spacing w:after="0" w:line="124" w:lineRule="exact"/>
        <w:rPr>
          <w:sz w:val="20"/>
          <w:szCs w:val="20"/>
          <w:color w:val="auto"/>
        </w:rPr>
      </w:pPr>
    </w:p>
    <w:tbl>
      <w:tblPr>
        <w:tblLayout w:type="fixed"/>
        <w:tblInd w:w="520" w:type="dxa"/>
        <w:tblCellMar>
          <w:top w:w="0" w:type="dxa"/>
          <w:left w:w="0" w:type="dxa"/>
          <w:bottom w:w="0" w:type="dxa"/>
          <w:right w:w="0" w:type="dxa"/>
        </w:tblCellMar>
      </w:tblPr>
      <w:tr>
        <w:trPr>
          <w:trHeight w:val="176"/>
        </w:trPr>
        <w:tc>
          <w:tcPr>
            <w:tcW w:w="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6060" w:type="dxa"/>
            <w:vAlign w:val="bottom"/>
            <w:gridSpan w:val="5"/>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Senior secured credit facilities, weighted-average interest rate of 6.76% and</w:t>
            </w:r>
          </w:p>
        </w:tc>
        <w:tc>
          <w:tcPr>
            <w:tcW w:w="1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7.35%, respectively</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4,490.0</w:t>
            </w:r>
          </w:p>
        </w:tc>
        <w:tc>
          <w:tcPr>
            <w:tcW w:w="28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5.5% senior notes due 2027</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6.5% senior notes due 2032</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Unamortized original issue discount and debt issuance costs</w:t>
            </w:r>
          </w:p>
        </w:tc>
        <w:tc>
          <w:tcPr>
            <w:tcW w:w="14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(37.3 )</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(35.1 )</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5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7,202.7</w:t>
            </w:r>
          </w:p>
        </w:tc>
        <w:tc>
          <w:tcPr>
            <w:tcW w:w="28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6,720.0</w:t>
            </w: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3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6,668.5</w:t>
            </w:r>
          </w:p>
        </w:tc>
        <w:tc>
          <w:tcPr>
            <w:tcW w:w="3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120" w:type="dxa"/>
            <w:vAlign w:val="bottom"/>
            <w:gridSpan w:val="9"/>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 table below provides a summary of the key terms of our Senior Secured Credit Facilities and Senior Notes: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140" w:type="dxa"/>
            <w:vAlign w:val="bottom"/>
          </w:tcPr>
          <w:p>
            <w:pPr>
              <w:spacing w:after="0"/>
              <w:rPr>
                <w:sz w:val="21"/>
                <w:szCs w:val="21"/>
                <w:color w:val="auto"/>
              </w:rPr>
            </w:pPr>
          </w:p>
        </w:tc>
        <w:tc>
          <w:tcPr>
            <w:tcW w:w="1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Scheduled Quarterly</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1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Payments Required</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tc>
        <w:tc>
          <w:tcPr>
            <w:tcW w:w="22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B-8 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3,690.0</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May 9, 2031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A-9 Loans</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September 27, 2029 (1)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0.625% (2)</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20"/>
                <w:szCs w:val="20"/>
                <w:color w:val="auto"/>
              </w:rPr>
            </w:pPr>
          </w:p>
        </w:tc>
        <w:tc>
          <w:tcPr>
            <w:tcW w:w="22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December 28, 2027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5.5% Senior Notes</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center"/>
              <w:ind w:right="320"/>
              <w:spacing w:after="0"/>
              <w:rPr>
                <w:sz w:val="20"/>
                <w:szCs w:val="20"/>
                <w:color w:val="auto"/>
              </w:rPr>
            </w:pPr>
            <w:r>
              <w:rPr>
                <w:rFonts w:ascii="Times New Roman" w:cs="Times New Roman" w:eastAsia="Times New Roman" w:hAnsi="Times New Roman"/>
                <w:sz w:val="18"/>
                <w:szCs w:val="18"/>
                <w:color w:val="auto"/>
              </w:rPr>
              <w:t>September 30, 2027</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6.5% Senior Notes</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June 1, 2032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-1616710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-1599565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-1616710</wp:posOffset>
            </wp:positionV>
            <wp:extent cx="596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-1599565</wp:posOffset>
            </wp:positionV>
            <wp:extent cx="59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4" w:lineRule="exact"/>
        <w:rPr>
          <w:sz w:val="20"/>
          <w:szCs w:val="20"/>
          <w:color w:val="auto"/>
        </w:rPr>
      </w:pPr>
    </w:p>
    <w:p>
      <w:pPr>
        <w:ind w:left="980" w:hanging="508"/>
        <w:spacing w:after="0" w:line="225"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A-9 Loans will mature on the earlier to occur of (1) September 27, 2029 or (2) 91 days prior to the maturity of (x) the 5.5% Senior Notes if more than $150.0 million aggregate principal amount remains outstanding on the 91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day prior to such maturity or (y) the Revolving Credit Facility if more than $150.0 million aggregate principal amount of commitments remain outstanding on the 91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day prior to such maturity, whichever of (x) or (y) comes first.</w:t>
      </w:r>
    </w:p>
    <w:p>
      <w:pPr>
        <w:spacing w:after="0" w:line="3" w:lineRule="exact"/>
        <w:rPr>
          <w:rFonts w:ascii="Times New Roman" w:cs="Times New Roman" w:eastAsia="Times New Roman" w:hAnsi="Times New Roman"/>
          <w:sz w:val="18"/>
          <w:szCs w:val="18"/>
          <w:color w:val="auto"/>
        </w:rPr>
      </w:pPr>
    </w:p>
    <w:p>
      <w:pPr>
        <w:ind w:left="980" w:right="160" w:hanging="508"/>
        <w:spacing w:after="0" w:line="26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quarterly payment required for the first eight fiscal quarters commencing with the fiscal quarter ending December 31, 2024. The scheduled quarterly payment will increase to 1.250% for each quarter thereafter until the maturity date of the Term A-9 Loans.</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Facilities and Senior Notes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May 9, 2024, we entered into the Incremental Joinder &amp; First Amendment to Credit Agreement (the “Amendment”) which amended our Credit Agreement. Pursuant to the Amendment, we borrowed $3,935.0 million in aggregate principal amount of incremental term B-8 loans (the “Term B-8 Loans”). The Term B-8 Loans bear interest at, at our option, the Base Rate (as defined in the Amendment), plus 1.00% per annum, or the Term SOFR Rate (as defined in the Amendment), plus 2.00% per annum.</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Also on May 9, 2024, we issued $750.0 million aggregate principal amount of 6.5% Senior Notes due 2032 (the “6.5% Senior Notes”). The 6.5% Senior Notes are senior unsecured obligations and rank equal in right of payment with all of our existing and future senior indebtedness. The 6.5% Senior Notes are fully and unconditionally guaranteed, jointly and severally, by SS&amp;C Holdings and all of its existing domestic restricted subsidiaries (other than SS&amp;C Technologies) that guarantee our existing senior secured credit facilities and future domestic restricted subsidiaries that guarantee our existing senior secured credit facilities and certain other indebtedness. Interest on the 6.5% Senior Notes is payable semi-annually in arrears on June 1 and December 1 of each year, beginning on December 1, 2024.</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net proceeds of the Term B-8 Loans and from the sale of the 6.5% Senior Notes were used to repay all amounts owed under the term B-3 loans, the term B-4 loans, the term B-5 loans, the term B-6 loans and the term B-7 loans (together, the “Existing Term Loans”) under the Credit Agreement, as well as to pay related fees and expenses.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September 27, 2024, in connection with our acquisition of Battea, we entered into an Incremental Joinder to our Credit Agreement (the “September 2024 Incremental Joinder”). Pursuant to the September 2024 Incremental Joinder, we borrowed $800.0 million in aggregate principal amount of incremental term A-9 loans (“Term A-9 Loans”), the net proceeds of which were used to finance in part the acquisition of Battea, the payment of fees and expenses related thereto and for working capital and general corporate purposes. The Term A-9 Loans bear interest at, at our option, the Base Rate (as defined in the Incremental Joinder), plus 0.50% per annum, or the Term SOFR Rate (as defined in the Incremental Joinder), plus 1.50% per annum, in each case with two leverage-based adjustments that increase the interest rate margin by 0.25% per annum if our consolidated net secured leverage ratio is greater than 3.50x and 4.25x, respectively, and one leverage-based adjustment that reduces the interest rate margin by 0.125% per annum if our consolidated net secured leverage ratio is less than or equal to 2.50x.</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 and loss on extinguishment of debt</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evaluated the borrowing of our Term B-8 Loans and issuance of 6.5% Senior Notes and the repayment of our Existing Term Loans in accordance with FASB Accounting Standards Codification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We determined that the new debt borrowing and issuance and existing debt repayment were two independent transactions due to the fact that (i) no single investor held a significant concentration of both the old and the new debt, (ii) none of the old investors were included in negotiations with creditors about modifying the old debt, and (iii) all lenders were provided the same opportunity to participate in the new debt regardless of whether they were an existing lender. Consequently, the refinancing was accounted for as a debt extinguishment. As a result, the Existing Term Loans borrowing costs of $27.7 million were expensed and are included in Loss on extinguishment of debt in the Condensed Consolidated Statement of Comprehensive Income during the nine months ended September 30, 2024.</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May 2024 and September 2024 debt transactions, we capitalized an aggregate of $4.0 million and $38.6 million during the three and nine months ended September 30, 2024, respectively, in financing costs, which represent new third-party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and fair values of financial instruments are as follows (in millions):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58"/>
        </w:trPr>
        <w:tc>
          <w:tcPr>
            <w:tcW w:w="4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5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17"/>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39"/>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177"/>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7"/>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4,498.8</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 senior notes due 2027</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6.5% senior notes due 2032</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8—Stockholders’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July 2023,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July 2024, our Board of Directors authorized a stock repurchase program, which enables us to repurchase up to $1 billion in the aggregate of our outstanding common stock on the open market or in privately negotiated transactions until the one-year anniversary of the Board’s authorization, unless earlier terminated by the Board. During the three and nine months ended September 30, 2024, we repurchased 1.2 million and 5.7 million shares, respectively, of common stock for approximately $88.3 million and $369.3 million, respectively, which includes a 1% excise tax on stock repurchases. During the three and nine months ended September 30, 2023, we repurchased 1.7 million and 6.0 million shares, respectively, of common stock for approximately $97.8 million and $344.4 million, respectively, which includes a 1% excise tax on stock repurchases. We use the cost method to account for treasury stock purchases. Under the cost method, the price paid for the stock is charged to the treasury stock account.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paid quarterly cash dividends of $0.24 per share of common stock in each of March 2024 and June 2024 and $0.25 per share of common stock in September 2024 totaling $182.6 million in the aggregate. We paid quarterly cash dividends of $0.20 per share of common stock in each of March 2023 and June 2023 and $0.24 per share of common stock in September 2023 totaling $160.9 million in the aggregate.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 balances, net of tax, consist of the following (in millions):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00" w:type="dxa"/>
            <w:vAlign w:val="bottom"/>
          </w:tcPr>
          <w:p>
            <w:pPr>
              <w:spacing w:after="0"/>
              <w:rPr>
                <w:sz w:val="13"/>
                <w:szCs w:val="13"/>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87"/>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6"/>
                <w:szCs w:val="16"/>
                <w:color w:val="auto"/>
              </w:rPr>
            </w:pPr>
          </w:p>
        </w:tc>
      </w:tr>
      <w:tr>
        <w:trPr>
          <w:trHeight w:val="16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(424.5 )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(426.3 )</w:t>
            </w:r>
          </w:p>
        </w:tc>
      </w:tr>
      <w:tr>
        <w:trPr>
          <w:trHeight w:val="176"/>
        </w:trPr>
        <w:tc>
          <w:tcPr>
            <w:tcW w:w="5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current period other comprehensive income</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5"/>
                <w:szCs w:val="15"/>
                <w:color w:val="auto"/>
              </w:rPr>
            </w:pPr>
          </w:p>
        </w:tc>
      </w:tr>
      <w:tr>
        <w:trPr>
          <w:trHeight w:val="18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(310.4 )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(312.1 )</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Adjustments to accumulated other comprehensive loss are as follows (in millions):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9"/>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9"/>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20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2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0" w:type="dxa"/>
            <w:vAlign w:val="bottom"/>
          </w:tcPr>
          <w:p>
            <w:pPr>
              <w:spacing w:after="0"/>
              <w:rPr>
                <w:sz w:val="1"/>
                <w:szCs w:val="1"/>
                <w:color w:val="auto"/>
              </w:rPr>
            </w:pPr>
          </w:p>
        </w:tc>
      </w:tr>
      <w:tr>
        <w:trPr>
          <w:trHeight w:val="37"/>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98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shd w:val="clear" w:color="auto" w:fill="CFF0FC"/>
          </w:tcPr>
          <w:p>
            <w:pPr>
              <w:ind w:left="100"/>
              <w:spacing w:after="0" w:line="133" w:lineRule="exact"/>
              <w:rPr>
                <w:sz w:val="20"/>
                <w:szCs w:val="20"/>
                <w:color w:val="auto"/>
              </w:rPr>
            </w:pPr>
            <w:r>
              <w:rPr>
                <w:rFonts w:ascii="Times New Roman" w:cs="Times New Roman" w:eastAsia="Times New Roman" w:hAnsi="Times New Roman"/>
                <w:sz w:val="14"/>
                <w:szCs w:val="14"/>
                <w:color w:val="auto"/>
              </w:rPr>
              <w:t>Unrealized net gains (losses) on defined benefit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8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(0.1 )</w:t>
            </w:r>
          </w:p>
        </w:tc>
        <w:tc>
          <w:tcPr>
            <w:tcW w:w="30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pension plan</w:t>
            </w:r>
          </w:p>
        </w:tc>
        <w:tc>
          <w:tcPr>
            <w:tcW w:w="12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80" w:type="dxa"/>
            <w:vAlign w:val="bottom"/>
            <w:gridSpan w:val="2"/>
            <w:vMerge w:val="continue"/>
            <w:shd w:val="clear" w:color="auto" w:fill="CFF0FC"/>
          </w:tcPr>
          <w:p>
            <w:pPr>
              <w:spacing w:after="0"/>
              <w:rPr>
                <w:sz w:val="14"/>
                <w:szCs w:val="14"/>
                <w:color w:val="auto"/>
              </w:rPr>
            </w:pPr>
          </w:p>
        </w:tc>
        <w:tc>
          <w:tcPr>
            <w:tcW w:w="66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9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Current period translation adjustments</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(117.2 )</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(5.5 )</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(3.6 )</w:t>
            </w:r>
          </w:p>
        </w:tc>
        <w:tc>
          <w:tcPr>
            <w:tcW w:w="3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20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(117.2 )</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(3.7 )</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-445135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-445135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-445135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-445135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-445135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-445135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-445135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-145415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-145415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-145415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-145415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-145415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-145415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-145415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-145415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9—Variable Interest Entity</w:t>
      </w:r>
    </w:p>
    <w:p>
      <w:pPr>
        <w:spacing w:after="0" w:line="112" w:lineRule="exact"/>
        <w:rPr>
          <w:sz w:val="20"/>
          <w:szCs w:val="20"/>
          <w:color w:val="auto"/>
        </w:rPr>
      </w:pPr>
    </w:p>
    <w:p>
      <w:pPr>
        <w:ind w:right="180" w:firstLine="569"/>
        <w:spacing w:after="0" w:line="260" w:lineRule="auto"/>
        <w:rPr>
          <w:sz w:val="20"/>
          <w:szCs w:val="20"/>
          <w:color w:val="auto"/>
        </w:rPr>
      </w:pPr>
      <w:r>
        <w:rPr>
          <w:rFonts w:ascii="Times New Roman" w:cs="Times New Roman" w:eastAsia="Times New Roman" w:hAnsi="Times New Roman"/>
          <w:sz w:val="18"/>
          <w:szCs w:val="18"/>
          <w:color w:val="auto"/>
        </w:rPr>
        <w:t>In July 2021, we entered into an agreement whereby we obtained an 80.2% interest in DomaniRx,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DomaniRx</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74"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Board of DomaniRx authorized a mandatory additional capital contribution in accordance with each member’s ownership interest in DomaniRx in the amount of $75.0 million. Our cash capital contribution during the three months ended September 30, 2024 was $60.2 million.</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14" w:name="page15"/>
    <w:bookmarkEnd w:id="14"/>
    <w:p>
      <w:pPr>
        <w:jc w:val="both"/>
        <w:ind w:right="220" w:firstLine="569"/>
        <w:spacing w:after="0" w:line="266" w:lineRule="auto"/>
        <w:rPr>
          <w:sz w:val="20"/>
          <w:szCs w:val="20"/>
          <w:color w:val="auto"/>
        </w:rPr>
      </w:pPr>
      <w:r>
        <w:rPr>
          <w:rFonts w:ascii="Times New Roman" w:cs="Times New Roman" w:eastAsia="Times New Roman" w:hAnsi="Times New Roman"/>
          <w:sz w:val="18"/>
          <w:szCs w:val="18"/>
          <w:color w:val="auto"/>
        </w:rPr>
        <w:t>The carrying value of the assets and liabilities associated with DomaniRx included in our condensed consolidated balance sheet at September 30, 2024 and December 31, 2023, which are limited for use in its operations and do not have recourse against our general credit or our senior secured credit facilities, are as follows:</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5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6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FF0FC"/>
          </w:tcPr>
          <w:p>
            <w:pPr>
              <w:spacing w:after="0"/>
              <w:rPr>
                <w:sz w:val="21"/>
                <w:szCs w:val="21"/>
                <w:color w:val="auto"/>
              </w:rPr>
            </w:pPr>
          </w:p>
        </w:tc>
      </w:tr>
      <w:tr>
        <w:trPr>
          <w:trHeight w:val="239"/>
        </w:trPr>
        <w:tc>
          <w:tcPr>
            <w:tcW w:w="6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80" w:type="dxa"/>
            <w:vAlign w:val="bottom"/>
          </w:tcPr>
          <w:p>
            <w:pPr>
              <w:spacing w:after="0"/>
              <w:rPr>
                <w:sz w:val="20"/>
                <w:szCs w:val="20"/>
                <w:color w:val="auto"/>
              </w:rPr>
            </w:pPr>
          </w:p>
        </w:tc>
      </w:tr>
      <w:tr>
        <w:trPr>
          <w:trHeight w:val="247"/>
        </w:trPr>
        <w:tc>
          <w:tcPr>
            <w:tcW w:w="6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21"/>
                <w:szCs w:val="21"/>
                <w:color w:val="auto"/>
              </w:rPr>
            </w:pP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10—Revenues</w:t>
      </w:r>
    </w:p>
    <w:p>
      <w:pPr>
        <w:spacing w:after="0" w:line="121"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We generate revenues primarily through our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spacing w:after="0" w:line="148" w:lineRule="exact"/>
        <w:rPr>
          <w:sz w:val="20"/>
          <w:szCs w:val="20"/>
          <w:color w:val="auto"/>
        </w:rPr>
      </w:pPr>
    </w:p>
    <w:p>
      <w:pPr>
        <w:ind w:right="340" w:firstLine="569"/>
        <w:spacing w:after="0" w:line="258" w:lineRule="auto"/>
        <w:rPr>
          <w:sz w:val="20"/>
          <w:szCs w:val="20"/>
          <w:color w:val="auto"/>
        </w:rPr>
      </w:pPr>
      <w:r>
        <w:rPr>
          <w:rFonts w:ascii="Times New Roman" w:cs="Times New Roman" w:eastAsia="Times New Roman" w:hAnsi="Times New Roman"/>
          <w:sz w:val="18"/>
          <w:szCs w:val="18"/>
          <w:color w:val="auto"/>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September 30, 2024 and December 31, 2023, approximately $62.6 million and $72.0 million, respectively, of deferred revenue is presented net within contract assets arising from the same contracts. The amount of revenues recognized in the period that was included in the opening deferred revenues balance was $73.4 million for the nine months ended September 30, 2024.</w:t>
      </w:r>
    </w:p>
    <w:p>
      <w:pPr>
        <w:spacing w:after="0" w:line="156" w:lineRule="exact"/>
        <w:rPr>
          <w:sz w:val="20"/>
          <w:szCs w:val="20"/>
          <w:color w:val="auto"/>
        </w:rPr>
      </w:pPr>
    </w:p>
    <w:p>
      <w:pPr>
        <w:ind w:right="500" w:firstLine="360"/>
        <w:spacing w:after="0" w:line="282" w:lineRule="auto"/>
        <w:rPr>
          <w:sz w:val="20"/>
          <w:szCs w:val="20"/>
          <w:color w:val="auto"/>
        </w:rPr>
      </w:pPr>
      <w:r>
        <w:rPr>
          <w:rFonts w:ascii="Times New Roman" w:cs="Times New Roman" w:eastAsia="Times New Roman" w:hAnsi="Times New Roman"/>
          <w:sz w:val="18"/>
          <w:szCs w:val="18"/>
          <w:color w:val="auto"/>
        </w:rPr>
        <w:t>As of September 30, 2024, revenue of approximately $1,010.6 million is expected to be recognized from remaining performance obligations for license, maintenance and related revenues, of which $498.7 million is expected to be recognized over the next twelve months.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record revenue net of any taxes assessed by governmental authorities.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Disaggregation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disaggregates our revenues by geography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(excluding United Kingdom), Middle East and Africa</w:t>
            </w: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Asia-Pacific and Japan</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Americas, excluding United States and Canada</w:t>
            </w:r>
          </w:p>
        </w:tc>
        <w:tc>
          <w:tcPr>
            <w:tcW w:w="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7"/>
        </w:trPr>
        <w:tc>
          <w:tcPr>
            <w:tcW w:w="580" w:type="dxa"/>
            <w:vAlign w:val="bottom"/>
          </w:tcPr>
          <w:p>
            <w:pPr>
              <w:spacing w:after="0"/>
              <w:rPr>
                <w:sz w:val="24"/>
                <w:szCs w:val="24"/>
                <w:color w:val="auto"/>
              </w:rPr>
            </w:pPr>
          </w:p>
        </w:tc>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28"/>
        </w:trPr>
        <w:tc>
          <w:tcPr>
            <w:tcW w:w="580" w:type="dxa"/>
            <w:vAlign w:val="bottom"/>
          </w:tcPr>
          <w:p>
            <w:pPr>
              <w:spacing w:after="0"/>
              <w:rPr>
                <w:sz w:val="24"/>
                <w:szCs w:val="24"/>
                <w:color w:val="auto"/>
              </w:rPr>
            </w:pPr>
          </w:p>
        </w:tc>
        <w:tc>
          <w:tcPr>
            <w:tcW w:w="470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-933450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-916305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-933450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-916305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-933450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-916305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8"/>
          <w:szCs w:val="18"/>
          <w:color w:val="auto"/>
        </w:rPr>
        <w:t>The following table disaggregates our revenues by source (in millions):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8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3,342.8</w:t>
            </w:r>
          </w:p>
        </w:tc>
        <w:tc>
          <w:tcPr>
            <w:tcW w:w="100" w:type="dxa"/>
            <w:vAlign w:val="bottom"/>
            <w:shd w:val="clear" w:color="auto" w:fill="CFF0FC"/>
          </w:tcPr>
          <w:p>
            <w:pPr>
              <w:spacing w:after="0"/>
              <w:rPr>
                <w:sz w:val="20"/>
                <w:szCs w:val="20"/>
                <w:color w:val="auto"/>
              </w:rPr>
            </w:pPr>
          </w:p>
        </w:tc>
      </w:tr>
      <w:tr>
        <w:trPr>
          <w:trHeight w:val="23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term licenses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00" w:type="dxa"/>
            <w:vAlign w:val="bottom"/>
          </w:tcPr>
          <w:p>
            <w:pPr>
              <w:spacing w:after="0"/>
              <w:rPr>
                <w:sz w:val="20"/>
                <w:szCs w:val="20"/>
                <w:color w:val="auto"/>
              </w:rPr>
            </w:pPr>
          </w:p>
        </w:tc>
      </w:tr>
      <w:tr>
        <w:trPr>
          <w:trHeight w:val="247"/>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FF0FC"/>
          </w:tcPr>
          <w:p>
            <w:pPr>
              <w:spacing w:after="0"/>
              <w:rPr>
                <w:sz w:val="21"/>
                <w:szCs w:val="21"/>
                <w:color w:val="auto"/>
              </w:rPr>
            </w:pPr>
          </w:p>
        </w:tc>
      </w:tr>
      <w:tr>
        <w:trPr>
          <w:trHeight w:val="24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Perpetual licenses</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r>
      <w:tr>
        <w:trPr>
          <w:trHeight w:val="277"/>
        </w:trPr>
        <w:tc>
          <w:tcPr>
            <w:tcW w:w="48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tock options, SARs, PSUs and RSUs</w:t>
      </w:r>
    </w:p>
    <w:p>
      <w:pPr>
        <w:spacing w:after="0" w:line="2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amount of stock-based compensation expense recognized in our Condensed Consolidated Statements of Comprehensive Income for the three and nine months ended September 30, 2024 and 2023 was as follows (in millions):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w:t>
            </w:r>
          </w:p>
        </w:tc>
        <w:tc>
          <w:tcPr>
            <w:tcW w:w="27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1"/>
        </w:trPr>
        <w:tc>
          <w:tcPr>
            <w:tcW w:w="3700" w:type="dxa"/>
            <w:vAlign w:val="bottom"/>
            <w:gridSpan w:val="2"/>
            <w:vMerge w:val="continue"/>
          </w:tcPr>
          <w:p>
            <w:pPr>
              <w:spacing w:after="0"/>
              <w:rPr>
                <w:sz w:val="11"/>
                <w:szCs w:val="11"/>
                <w:color w:val="auto"/>
              </w:rPr>
            </w:pPr>
          </w:p>
        </w:tc>
        <w:tc>
          <w:tcPr>
            <w:tcW w:w="960" w:type="dxa"/>
            <w:vAlign w:val="bottom"/>
            <w:tcBorders>
              <w:top w:val="single" w:sz="8" w:color="auto"/>
            </w:tcBorders>
            <w:vMerge w:val="restart"/>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spacing w:after="0"/>
              <w:rPr>
                <w:sz w:val="11"/>
                <w:szCs w:val="11"/>
                <w:color w:val="auto"/>
              </w:rPr>
            </w:pPr>
          </w:p>
        </w:tc>
        <w:tc>
          <w:tcPr>
            <w:tcW w:w="110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Income Classification</w:t>
            </w:r>
          </w:p>
        </w:tc>
        <w:tc>
          <w:tcPr>
            <w:tcW w:w="16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software-enabled services</w:t>
            </w:r>
          </w:p>
        </w:tc>
        <w:tc>
          <w:tcPr>
            <w:tcW w:w="960" w:type="dxa"/>
            <w:vAlign w:val="bottom"/>
            <w:shd w:val="clear" w:color="auto" w:fill="CFF0FC"/>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36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license, maintenance and other related</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cost of revenues</w:t>
            </w: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96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960" w:type="dxa"/>
            <w:vAlign w:val="bottom"/>
          </w:tcPr>
          <w:p>
            <w:pPr>
              <w:jc w:val="right"/>
              <w:ind w:right="80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360" w:type="dxa"/>
            <w:vAlign w:val="bottom"/>
            <w:gridSpan w:val="2"/>
          </w:tcPr>
          <w:p>
            <w:pPr>
              <w:jc w:val="right"/>
              <w:ind w:right="92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-779145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-779145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-779145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-779145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-179070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-179070</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-179070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The stock-based compensation expense related to performance awards is adjusted for changes in our assessment of the performance target level that is probable of being achieved and the number of performance-based equity awards expected to vest. In December 2021, we granted performance-based stock options (“PSOs”) for which the 3-year performance period ends in December 2024. If the threshold level of performance is not achieved for these PSOs, $48.6 million of previously recorded stock-based compensation expense will be reversed.</w:t>
      </w:r>
    </w:p>
    <w:p>
      <w:pPr>
        <w:spacing w:after="0" w:line="72" w:lineRule="exact"/>
        <w:rPr>
          <w:sz w:val="20"/>
          <w:szCs w:val="20"/>
          <w:color w:val="auto"/>
        </w:rPr>
      </w:pPr>
    </w:p>
    <w:p>
      <w:pPr>
        <w:ind w:right="38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and stock appreciation rights (“SARs”) activity, as well as performance stock units (“PSUs”) and restricted stock units (“RSUs”) activity, for the nine months ended September 30, 2024 (shares in millions):</w:t>
      </w:r>
    </w:p>
    <w:p>
      <w:pPr>
        <w:spacing w:after="0" w:line="4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 Options and</w:t>
            </w:r>
          </w:p>
        </w:tc>
        <w:tc>
          <w:tcPr>
            <w:tcW w:w="17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PSUs and RSUs</w:t>
            </w: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SARs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shd w:val="clear" w:color="auto" w:fill="CFF0FC"/>
          </w:tcPr>
          <w:p>
            <w:pPr>
              <w:spacing w:after="0"/>
              <w:rPr>
                <w:sz w:val="22"/>
                <w:szCs w:val="22"/>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(1.4 )</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63"/>
        </w:trPr>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(6.0 )</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6"/>
        </w:trPr>
        <w:tc>
          <w:tcPr>
            <w:tcW w:w="4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Borders>
              <w:top w:val="single" w:sz="8" w:color="CFF0FC"/>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-187960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431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effective tax rate was 26.7% and 24.6% for the three months ended September 30, 2024 and 2023, respectively, and 21.5% and 28.8% for the nine months ended September 30, 2024 and 2023, respectively. The change in the effective tax rate for the three months ended September 30, 2024 compared to the prior year was primarily related to a proportionate change in the composition of income before income taxes from foreign and domestic tax jurisdictions, partially offset by an increased recognition of windfall tax benefits from stock awards in the current year. The change in the effective tax rate for the nine months ended September 30, 2024 compared to the prior year was primarily related to releases of uncertain tax positions in the current year due to closed audits, an increased recognition of windfall tax benefits from stock awards in the current year and a proportionate change in the composition of income before income taxes from foreign and domestic tax jurisdictions. The effective tax rates for the three and nine months ended September 30, 2024 include tax benefits of $1.1 million and $41.9 million, respectively, related to releases of uncertain tax positions and $1.5 million and $7.2 million, respectively, of tax refunds, due to closed audits and statute of limitations expirations.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13—Earnings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(in millions, except per share amounts):</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1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00" w:type="dxa"/>
            <w:vAlign w:val="bottom"/>
          </w:tcPr>
          <w:p>
            <w:pPr>
              <w:spacing w:after="0"/>
              <w:rPr>
                <w:sz w:val="13"/>
                <w:szCs w:val="13"/>
                <w:color w:val="auto"/>
              </w:rPr>
            </w:pPr>
          </w:p>
        </w:tc>
        <w:tc>
          <w:tcPr>
            <w:tcW w:w="22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SS&amp;C common stockholders</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attributable to SS&amp;C:</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used in calculation of</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stock equivalents – stock options and</w:t>
            </w:r>
          </w:p>
        </w:tc>
        <w:tc>
          <w:tcPr>
            <w:tcW w:w="22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2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and common equivalent shares outstanding –</w:t>
            </w: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used in calculation of diluted EPS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Basic</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attributable to SS&amp;C common stockholders – Diluted</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-762000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-762000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-762000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Weighted-average stock options, SARs, RSUs and PSUs representing 13.3 million and 14.5 million shares were outstanding for the three and nine months ended September 30, 2024, respectively, but were not included in the computation of diluted EPS because the effect of including them would be anti-dilutive. Weighted-average stock options, SARs, RSUs and PSUs representing 23.2 million and 23.5 million shares were outstanding for the three and nine months ended September 30, 2023, respectively, but were not included in the computation of diluted EPS because the effect of including them would be anti-dilutive.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14—Commitments and Contingencies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3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2023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spacing w:after="0" w:line="14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Ongoing macroeconomic conditions, such as increases in interest rates, inflation and changes in foreign currency exchange rates,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2023 Form 10-K. Our critical accounting policies are described in the 2023 Form 10-K and include:</w:t>
      </w:r>
    </w:p>
    <w:p>
      <w:pPr>
        <w:spacing w:after="0" w:line="81"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7" w:name="page18"/>
    <w:bookmarkEnd w:id="17"/>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Goodwill</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Capitalization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below include the results of our recent acquisition from the date which it was acquired. The Iress Managed Funds Administration Business (“2023 acquisition”) was acquired in October 2023 and Battea-Class Action Services, LLC (“Battea”) was acquired in September 2024.</w:t>
      </w:r>
    </w:p>
    <w:p>
      <w:pPr>
        <w:spacing w:after="0" w:line="149"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sources of revenues for the periods indicated:</w:t>
      </w:r>
    </w:p>
    <w:p>
      <w:pPr>
        <w:spacing w:after="0" w:line="4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2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760" w:type="dxa"/>
            <w:vAlign w:val="bottom"/>
          </w:tcPr>
          <w:p>
            <w:pPr>
              <w:spacing w:after="0"/>
              <w:rPr>
                <w:sz w:val="16"/>
                <w:szCs w:val="16"/>
                <w:color w:val="auto"/>
              </w:rPr>
            </w:pPr>
          </w:p>
        </w:tc>
        <w:tc>
          <w:tcPr>
            <w:tcW w:w="22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10"/>
        </w:trPr>
        <w:tc>
          <w:tcPr>
            <w:tcW w:w="376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82.3 %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82.2 %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82.4 %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81.7 %</w:t>
            </w:r>
          </w:p>
        </w:tc>
      </w:tr>
      <w:tr>
        <w:trPr>
          <w:trHeight w:val="25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17.7 %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17.8 %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17.6 %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0"/>
        </w:trPr>
        <w:tc>
          <w:tcPr>
            <w:tcW w:w="3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-496570</wp:posOffset>
            </wp:positionV>
            <wp:extent cx="4989195"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-179070</wp:posOffset>
            </wp:positionV>
            <wp:extent cx="4989195"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revenues (dollars in millions) and percent change in revenues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2"/>
                <w:szCs w:val="12"/>
                <w:color w:val="auto"/>
              </w:rPr>
            </w:pPr>
          </w:p>
        </w:tc>
        <w:tc>
          <w:tcPr>
            <w:tcW w:w="130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16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0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Software-enabled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3,586.3</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3,342.8</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License, maintenance and related</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0" w:type="dxa"/>
            <w:vAlign w:val="bottom"/>
          </w:tcPr>
          <w:p>
            <w:pPr>
              <w:spacing w:after="0"/>
              <w:rPr>
                <w:sz w:val="1"/>
                <w:szCs w:val="1"/>
                <w:color w:val="auto"/>
              </w:rPr>
            </w:pPr>
          </w:p>
        </w:tc>
      </w:tr>
      <w:tr>
        <w:trPr>
          <w:trHeight w:val="23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4,352.3</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Percent</w:t>
      </w:r>
    </w:p>
    <w:p>
      <w:pPr>
        <w:jc w:val="center"/>
        <w:ind w:right="680"/>
        <w:spacing w:after="0" w:line="229" w:lineRule="auto"/>
        <w:rPr>
          <w:sz w:val="20"/>
          <w:szCs w:val="20"/>
          <w:color w:val="auto"/>
        </w:rPr>
      </w:pPr>
      <w:r>
        <w:rPr>
          <w:rFonts w:ascii="Times New Roman" w:cs="Times New Roman" w:eastAsia="Times New Roman" w:hAnsi="Times New Roman"/>
          <w:sz w:val="14"/>
          <w:szCs w:val="14"/>
          <w:b w:val="1"/>
          <w:bCs w:val="1"/>
          <w:color w:val="auto"/>
        </w:rPr>
        <w:t>Change from</w:t>
      </w:r>
    </w:p>
    <w:p>
      <w:pPr>
        <w:jc w:val="center"/>
        <w:ind w:right="680"/>
        <w:spacing w:after="0" w:line="221" w:lineRule="auto"/>
        <w:rPr>
          <w:sz w:val="20"/>
          <w:szCs w:val="20"/>
          <w:color w:val="auto"/>
        </w:rPr>
      </w:pPr>
      <w:r>
        <w:rPr>
          <w:rFonts w:ascii="Times New Roman" w:cs="Times New Roman" w:eastAsia="Times New Roman" w:hAnsi="Times New Roman"/>
          <w:sz w:val="14"/>
          <w:szCs w:val="14"/>
          <w:b w:val="1"/>
          <w:bCs w:val="1"/>
          <w:color w:val="auto"/>
        </w:rPr>
        <w:t>Prior</w:t>
      </w:r>
    </w:p>
    <w:p>
      <w:pPr>
        <w:spacing w:after="0" w:line="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5080</wp:posOffset>
            </wp:positionV>
            <wp:extent cx="5740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26"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7.3 %</w:t>
      </w:r>
    </w:p>
    <w:p>
      <w:pPr>
        <w:spacing w:after="0" w:line="50"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2.4 %</w:t>
      </w:r>
    </w:p>
    <w:p>
      <w:pPr>
        <w:spacing w:after="0" w:line="77"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8"/>
          <w:szCs w:val="18"/>
          <w:color w:val="auto"/>
        </w:rPr>
        <w:t>6.4 %</w:t>
      </w:r>
    </w:p>
    <w:p>
      <w:pPr>
        <w:spacing w:after="0" w:line="240" w:lineRule="exact"/>
        <w:rPr>
          <w:sz w:val="20"/>
          <w:szCs w:val="20"/>
          <w:color w:val="auto"/>
        </w:rPr>
      </w:pPr>
    </w:p>
    <w:p>
      <w:pPr>
        <w:sectPr>
          <w:pgSz w:w="11900" w:h="16838" w:orient="portrait"/>
          <w:cols w:equalWidth="0" w:num="2">
            <w:col w:w="9480" w:space="240"/>
            <w:col w:w="1500"/>
          </w:cols>
          <w:pgMar w:left="320" w:top="985" w:right="359" w:bottom="1440" w:gutter="0" w:footer="0" w:header="0"/>
          <w:type w:val="continuous"/>
        </w:sectPr>
      </w:pPr>
    </w:p>
    <w:p>
      <w:pPr>
        <w:spacing w:after="0" w:line="3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Three Months Ended September 30, 2024 and 2023</w:t>
      </w:r>
      <w:r>
        <w:rPr>
          <w:rFonts w:ascii="Times New Roman" w:cs="Times New Roman" w:eastAsia="Times New Roman" w:hAnsi="Times New Roman"/>
          <w:sz w:val="18"/>
          <w:szCs w:val="18"/>
          <w:color w:val="auto"/>
        </w:rPr>
        <w:t>. Our revenues increased $99.9 million, or 7.3%, primarily due to an increase of $87.5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revenues driven by strength in the SS&amp;C GlobeOp fund administration, Global Investor and Distribution Solutions, Wealth and Investment Technologies and virtual data room services businesses. Our revenues also increased due to acquisitions, which contributed $7.7 million in revenues and the favorable impact from foreign currency translation of $4.7 million. Software-enabled services revenues increased $84.1 million, or 7.5%, primarily due to an increase in organic revenues of $73.4 million, acquisitions, which added $7.0 million in revenues, and the favorable impact from foreign currency translation of $3.7 million. License, maintenance and related revenues increased $15.8 million, or 6.5%, primarily due to an increase in organic revenues of $14.1 million, the favorable impact from foreign currency translation of $1.0 million and acquisitions, which added $0.7 million in revenues.</w:t>
      </w:r>
    </w:p>
    <w:p>
      <w:pPr>
        <w:spacing w:after="0" w:line="250"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Nine Months Ended September 30, 2024 and 2023. </w:t>
      </w:r>
      <w:r>
        <w:rPr>
          <w:rFonts w:ascii="Times New Roman" w:cs="Times New Roman" w:eastAsia="Times New Roman" w:hAnsi="Times New Roman"/>
          <w:sz w:val="18"/>
          <w:szCs w:val="18"/>
          <w:color w:val="auto"/>
        </w:rPr>
        <w:t>Our revenues increased $261.1 million, or 6.4%, primarily due to an increase of $237.7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organic revenues driven by strength in the SS&amp;C GlobeOp fund administration and virtual data room</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18" w:name="page19"/>
    <w:bookmarkEnd w:id="18"/>
    <w:p>
      <w:pPr>
        <w:ind w:right="60"/>
        <w:spacing w:after="0" w:line="258" w:lineRule="auto"/>
        <w:rPr>
          <w:sz w:val="20"/>
          <w:szCs w:val="20"/>
          <w:color w:val="auto"/>
        </w:rPr>
      </w:pPr>
      <w:r>
        <w:rPr>
          <w:rFonts w:ascii="Times New Roman" w:cs="Times New Roman" w:eastAsia="Times New Roman" w:hAnsi="Times New Roman"/>
          <w:sz w:val="18"/>
          <w:szCs w:val="18"/>
          <w:color w:val="auto"/>
        </w:rPr>
        <w:t>services businesses. Our revenues also increased due to acquisitions, which contributed $14.7 million in revenues and the favorable impact from foreign currency translation of $8.7 million. Software-enabled services revenues increased $243.5 million, or 7.3%, primarily due to an increase in organic revenues of $222.1 million, acquisitions, which added $13.0 million in revenue and the favorable impact from foreign currency translation of $8.4 million. License, maintenance and related revenues increased $17.6 million, or 2.4%, primarily due to an increase in organic revenues of $15.6 million, acquisition, which added $1.7 million in revenue and the favorable impact from foreign currency translation of $0.3 million.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each of the following cost of revenues as a percentage of their respective revenue source for the periods indicated:</w:t>
      </w:r>
    </w:p>
    <w:p>
      <w:pPr>
        <w:spacing w:after="0" w:line="11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2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760" w:type="dxa"/>
            <w:vAlign w:val="bottom"/>
          </w:tcPr>
          <w:p>
            <w:pPr>
              <w:spacing w:after="0"/>
              <w:rPr>
                <w:sz w:val="16"/>
                <w:szCs w:val="16"/>
                <w:color w:val="auto"/>
              </w:rPr>
            </w:pPr>
          </w:p>
        </w:tc>
        <w:tc>
          <w:tcPr>
            <w:tcW w:w="22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09"/>
        </w:trPr>
        <w:tc>
          <w:tcPr>
            <w:tcW w:w="376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54.9 %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55.1 %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54.4 %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56.2 %</w:t>
            </w:r>
          </w:p>
        </w:tc>
      </w:t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38.4 %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38.4 %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38.2 %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37.6 %</w:t>
            </w:r>
          </w:p>
        </w:tc>
      </w:tr>
      <w:tr>
        <w:trPr>
          <w:trHeight w:val="243"/>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52.0 %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52.1 %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51.5 %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52.8 %</w:t>
            </w: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percentage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48.0 %</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47.9 %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48.5 %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-608330</wp:posOffset>
            </wp:positionV>
            <wp:extent cx="498919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-299720</wp:posOffset>
            </wp:positionV>
            <wp:extent cx="4989195"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cost of revenues (dollars in millions) and percent change in cost of revenues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16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6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software-enabled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52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7.1 %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5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license, maintenance and related</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3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w w:val="95"/>
              </w:rPr>
              <w:t>6.4 %</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520" w:type="dxa"/>
            <w:vAlign w:val="bottom"/>
            <w:gridSpan w:val="4"/>
          </w:tcPr>
          <w:p>
            <w:pPr>
              <w:ind w:left="900"/>
              <w:spacing w:after="0" w:line="236" w:lineRule="exact"/>
              <w:rPr>
                <w:sz w:val="20"/>
                <w:szCs w:val="20"/>
                <w:color w:val="auto"/>
              </w:rPr>
            </w:pPr>
            <w:r>
              <w:rPr>
                <w:rFonts w:ascii="Times New Roman" w:cs="Times New Roman" w:eastAsia="Times New Roman" w:hAnsi="Times New Roman"/>
                <w:sz w:val="15"/>
                <w:szCs w:val="15"/>
                <w:color w:val="auto"/>
              </w:rPr>
              <w:t xml:space="preserve">7.0 % </w:t>
            </w:r>
            <w:r>
              <w:rPr>
                <w:rFonts w:ascii="Times New Roman" w:cs="Times New Roman" w:eastAsia="Times New Roman" w:hAnsi="Times New Roman"/>
                <w:sz w:val="27"/>
                <w:szCs w:val="27"/>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176"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Three Months Ended September 30, 2024 and 2023</w:t>
      </w:r>
      <w:r>
        <w:rPr>
          <w:rFonts w:ascii="Times New Roman" w:cs="Times New Roman" w:eastAsia="Times New Roman" w:hAnsi="Times New Roman"/>
          <w:sz w:val="18"/>
          <w:szCs w:val="18"/>
          <w:color w:val="auto"/>
        </w:rPr>
        <w:t>. Our total cost of revenues increased by $50.1 million, or 7.0%, primarily due to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$41.1 million in organic costs, acquisitions, which added costs of $6.3 million and the unfavorable impact from foreign currency translation, which increased costs by $2.7 million. Our organic cost increase reflects continued investment in delivering client service. Cost of software-enabled services revenues increased $44.1 million, or 7.1%, primarily due to an increase of $35.8 million in organic costs, acquisitions, which added $6.3 million in costs and the unfavorable impact from foreign currency translation of $2.0 million. Cost of license, maintenance and related revenues increased $6.0 million, or 6.4%, primarily due to an increase of $5.3 million in organic costs and the unfavorable impact from foreign currency translation of $0.7 million.</w:t>
      </w:r>
    </w:p>
    <w:p>
      <w:pPr>
        <w:spacing w:after="0" w:line="18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Nine Months Ended September 30, 2024 and 2023. </w:t>
      </w:r>
      <w:r>
        <w:rPr>
          <w:rFonts w:ascii="Times New Roman" w:cs="Times New Roman" w:eastAsia="Times New Roman" w:hAnsi="Times New Roman"/>
          <w:sz w:val="18"/>
          <w:szCs w:val="18"/>
          <w:color w:val="auto"/>
        </w:rPr>
        <w:t>Our total cost of revenues increased by $83.9 million, or 3.9%, primarily due to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$62.8 million in organic costs, acquisitions, which added costs of $16.2 million, and the unfavorable impact from foreign currency translation, which increased costs by $4.9 million. Our organic cost increase reflects continued investment in delivering client service. Cost of software-enabled services revenues increased $72.3 million, or 3.9%, primarily due to an increase of $52.1 million in organic costs, acquisitions, which added $16.2 million in costs, and the unfavorable impact from foreign currency translation of $4.0 million. Cost of license, maintenance and related revenues increased $11.6 million, or 4.1%, primarily due to an increase of $10.7 million in organic costs and the unfavorable impact from foreign currency translation of $0.9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9" w:name="page20"/>
    <w:bookmarkEnd w:id="19"/>
    <w:p>
      <w:pPr>
        <w:ind w:right="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percentage of our total revenues represented by each of the following operating expenses for the periods indicated:</w:t>
      </w:r>
    </w:p>
    <w:p>
      <w:pPr>
        <w:spacing w:after="0" w:line="11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260" w:type="dxa"/>
            <w:vAlign w:val="bottom"/>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760" w:type="dxa"/>
            <w:vAlign w:val="bottom"/>
          </w:tcPr>
          <w:p>
            <w:pPr>
              <w:spacing w:after="0"/>
              <w:rPr>
                <w:sz w:val="16"/>
                <w:szCs w:val="16"/>
                <w:color w:val="auto"/>
              </w:rPr>
            </w:pPr>
          </w:p>
        </w:tc>
        <w:tc>
          <w:tcPr>
            <w:tcW w:w="226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3760" w:type="dxa"/>
            <w:vAlign w:val="bottom"/>
          </w:tcPr>
          <w:p>
            <w:pPr>
              <w:spacing w:after="0"/>
              <w:rPr>
                <w:sz w:val="14"/>
                <w:szCs w:val="14"/>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9.9 %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9.0 %</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8.6 %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8.8 %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7.1 %</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7.0 %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7.2 %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0"/>
        </w:trPr>
        <w:tc>
          <w:tcPr>
            <w:tcW w:w="3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25.9 %</w:t>
            </w: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25.5 %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25.8 %</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0"/>
        </w:trPr>
        <w:tc>
          <w:tcPr>
            <w:tcW w:w="3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-650875</wp:posOffset>
            </wp:positionV>
            <wp:extent cx="4989195"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-342265</wp:posOffset>
            </wp:positionV>
            <wp:extent cx="4989195" cy="162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22222"/>
        </w:rPr>
        <w:t>The following table sets forth operating expenses (dollars in millions) and percent change in operating expenses for the periods indicated:</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16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6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5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65"/>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11.6 %</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520" w:type="dxa"/>
            <w:vAlign w:val="bottom"/>
            <w:gridSpan w:val="4"/>
          </w:tcPr>
          <w:p>
            <w:pPr>
              <w:jc w:val="right"/>
              <w:ind w:right="100"/>
              <w:spacing w:after="0" w:line="236" w:lineRule="exact"/>
              <w:rPr>
                <w:sz w:val="20"/>
                <w:szCs w:val="20"/>
                <w:color w:val="auto"/>
              </w:rPr>
            </w:pPr>
            <w:r>
              <w:rPr>
                <w:rFonts w:ascii="Times New Roman" w:cs="Times New Roman" w:eastAsia="Times New Roman" w:hAnsi="Times New Roman"/>
                <w:sz w:val="15"/>
                <w:szCs w:val="15"/>
                <w:color w:val="auto"/>
              </w:rPr>
              <w:t xml:space="preserve">8.9 % </w:t>
            </w:r>
            <w:r>
              <w:rPr>
                <w:rFonts w:ascii="Times New Roman" w:cs="Times New Roman" w:eastAsia="Times New Roman" w:hAnsi="Times New Roman"/>
                <w:sz w:val="27"/>
                <w:szCs w:val="27"/>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-676910</wp:posOffset>
            </wp:positionV>
            <wp:extent cx="641223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-350520</wp:posOffset>
            </wp:positionV>
            <wp:extent cx="6412230" cy="1714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12230" cy="171450"/>
                    </a:xfrm>
                    <a:prstGeom prst="rect">
                      <a:avLst/>
                    </a:prstGeom>
                    <a:noFill/>
                  </pic:spPr>
                </pic:pic>
              </a:graphicData>
            </a:graphic>
          </wp:anchor>
        </w:drawing>
      </w:r>
    </w:p>
    <w:p>
      <w:pPr>
        <w:spacing w:after="0" w:line="21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Three Months Ended September 30, 2024 and 2023</w:t>
      </w:r>
      <w:r>
        <w:rPr>
          <w:rFonts w:ascii="Times New Roman" w:cs="Times New Roman" w:eastAsia="Times New Roman" w:hAnsi="Times New Roman"/>
          <w:sz w:val="18"/>
          <w:szCs w:val="18"/>
          <w:color w:val="auto"/>
        </w:rPr>
        <w:t>. Operating expenses increased $31.1 million, or 8.9%, due to an increase of $26.5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operating expenses, acquisitions, which added $2.3 million in expenses, and the unfavorable impact from foreign currency translation of $2.3 million. Total operating expenses, excluding the impact of acquisitions and foreign currency translation, primarily increased due to resource needs to support organic growth.</w:t>
      </w:r>
    </w:p>
    <w:p>
      <w:pPr>
        <w:spacing w:after="0" w:line="247" w:lineRule="exact"/>
        <w:rPr>
          <w:sz w:val="20"/>
          <w:szCs w:val="20"/>
          <w:color w:val="auto"/>
        </w:rPr>
      </w:pPr>
    </w:p>
    <w:p>
      <w:pPr>
        <w:jc w:val="both"/>
        <w:ind w:right="4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Nine Months Ended September 30, 2024 and 2023. </w:t>
      </w:r>
      <w:r>
        <w:rPr>
          <w:rFonts w:ascii="Times New Roman" w:cs="Times New Roman" w:eastAsia="Times New Roman" w:hAnsi="Times New Roman"/>
          <w:sz w:val="18"/>
          <w:szCs w:val="18"/>
          <w:color w:val="auto"/>
        </w:rPr>
        <w:t>Operating expenses increased $66.3 million, or 6.3%, due to an increase of $60.0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organic operating expenses, acquisitions, which added $3.4 million in expenses, and the unfavorable impact from foreign currency translation of $2.9 million. Total operating expenses, excluding the impact of acquisitions and foreign currency translation, primarily increased due to resource needs to support organic growth.</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and Nine Months Ended September 30, 2024 and 2023 for Interest, Taxes and Other</w:t>
      </w:r>
    </w:p>
    <w:p>
      <w:pPr>
        <w:spacing w:after="0" w:line="198"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Net interest expense totaled $109.6 million and $338.9 million for the three and nine months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$120.6 million and $350.5 million for the three and nine months ended September 30, 2023, respectively. The decrease in interest expense, net for 2024 as compared to 2023, for the three months ended is primarily due to lower average debt balances. The decrease in interest expense, net for the nine months ended September 30, 2024 is due to lower average debt balances, partially offset by slightly higher average interest rates. We had an average interest rate of 6.78% and 6.81% for the three and nine months ended September 30, 2024, respectively, compared to 6.87% and 6.56% for the three and nine months ended September 30, 2023, respectively.</w:t>
      </w:r>
    </w:p>
    <w:p>
      <w:pPr>
        <w:spacing w:after="0" w:line="14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was $9.3 million and $16.5 million for the three and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respectively, compared to $(5.0) million and $15.3 million for the three and nine months ended September 30, 2023, respectively. For the three months ended September 30, 2024, other income (expense), net consisted primarily of foreign currency translation gains of $4.2 million, investment gains due to mark-to market adjustments of $3.1 million and dividend income of $2.2 million. For the nine months ended September 30, 2024, other income (expense), net consisted primarily of dividend income of $14.8 million and investment gains due to mark-to-market adjustments of $2.5 million, partially offset by foreign currency translation losses of $1.6 million. For the three and nine months ended September 30, 2023, other (expense) income, net included investment losses due to mark-to-market adjustments of $2.7 million and $0.9 million, respectively, and foreign currency translation losses of $2.5 million and $3.7 million, respectively, as well as dividend income of $2.3 million and $14.6 million, respectively. During the nine months ended September 30, 2023, other income also included income of $13.4 million from the settlement of a dispute related to pre-acquisition matters and losses of $7.3 million related to the fair value adjustments on assets held for sale.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Equity in earnings of unconsolidated affiliates, net. </w:t>
      </w:r>
      <w:r>
        <w:rPr>
          <w:rFonts w:ascii="Times New Roman" w:cs="Times New Roman" w:eastAsia="Times New Roman" w:hAnsi="Times New Roman"/>
          <w:sz w:val="18"/>
          <w:szCs w:val="18"/>
          <w:color w:val="auto"/>
        </w:rPr>
        <w:t>Equity in earnings of unconsolidated affiliates, net totaled $1.1 million and $20.7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September 30, 2024, respectively, compared to $27.5 million and $42.6 million for the three and nine months ended September 30, 2023, respectively. Our equity in earnings of unconsolidated affiliates, net in 2024 included a $17.1 million adjustment for the nine months ended September 30, 2024 to increase the carrying value of one of our investments. Our equity in earnings of unconsolidated affiliates, net in 2023 included a $26.4 million and $38.8 million adjustment for the three and nine months ended September 30, 2023, respectively, to increase the carrying value of one of our investments.</w:t>
      </w:r>
    </w:p>
    <w:p>
      <w:pPr>
        <w:spacing w:after="0" w:line="155"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following table sets forth the provision for income taxes (dollars in millions) and effective tax rates for the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w:t>
      </w:r>
    </w:p>
    <w:tbl>
      <w:tblPr>
        <w:tblLayout w:type="fixed"/>
        <w:tblInd w:w="58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27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24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0"/>
        </w:trPr>
        <w:tc>
          <w:tcPr>
            <w:tcW w:w="488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5"/>
              </w:rPr>
              <w:t>51.2</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60" w:type="dxa"/>
            <w:vAlign w:val="bottom"/>
          </w:tcPr>
          <w:p>
            <w:pPr>
              <w:spacing w:after="0"/>
              <w:rPr>
                <w:sz w:val="22"/>
                <w:szCs w:val="22"/>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26.7 %</w:t>
            </w:r>
          </w:p>
        </w:tc>
        <w:tc>
          <w:tcPr>
            <w:tcW w:w="260" w:type="dxa"/>
            <w:vAlign w:val="bottom"/>
          </w:tcPr>
          <w:p>
            <w:pPr>
              <w:spacing w:after="0"/>
              <w:rPr>
                <w:sz w:val="22"/>
                <w:szCs w:val="22"/>
                <w:color w:val="auto"/>
              </w:rPr>
            </w:pPr>
          </w:p>
        </w:tc>
        <w:tc>
          <w:tcPr>
            <w:tcW w:w="1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7"/>
              </w:rPr>
              <w:t>24.6 %</w:t>
            </w:r>
          </w:p>
        </w:tc>
        <w:tc>
          <w:tcPr>
            <w:tcW w:w="12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21.5 %</w:t>
            </w:r>
          </w:p>
        </w:tc>
        <w:tc>
          <w:tcPr>
            <w:tcW w:w="24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28.8 %</w:t>
            </w:r>
          </w:p>
        </w:tc>
      </w:tr>
    </w:tbl>
    <w:p>
      <w:pPr>
        <w:spacing w:after="0" w:line="23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effective tax rates for the three and nine months ended September 30, 2024 and 2023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Our effective tax rates for the three and nine months ended September 30, 2024 include benefits of $1.1 million and $41.9 million, respectively, related to releases of uncertain tax positions and $1.5 million and $7.2 million, respectively, of tax refunds, due to closed audits and statute of limitations expirations. The change in the effective tax rate for the three months ended September 30, 2024 compared to the prior year was primarily related to a proportionate change in the composition of income before income taxes from foreign and domestic tax jurisdictions, partially offset by an increased recognition of windfall tax benefits from stock awards in the current year. The change in the effective tax rate for the nine months ended September 30, 2024 compared to the prior year was primarily related to releases of uncertain tax positions in the current year due to closed audits, an increased recognition of windfall tax benefits from stock awards in the current year and a proportionate change in the composition of income before income taxes from foreign and domestic tax jurisdictions. While we have income from multiple foreign sources, the majority of our non-U.S. operations are in the United Kingdom and India. We anticipate the statutory tax rates in 2024 to be 25.0% in the United Kingdom and approximately 25.4% in India. A future change in the composition of income before income taxes from foreign and domestic tax jurisdictions could impact our periodic effective tax rate.</w:t>
      </w:r>
    </w:p>
    <w:p>
      <w:pPr>
        <w:spacing w:after="0" w:line="16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which includes a 15% corporate alternative minimum tax and a 1% excise tax on stock repurchases. The provisions were effective January 1, 2023 and were immaterial to our financial results, financial position and cash flows. The 1% excise tax on stock repurchases is included as a cost to acquire treasury stock.</w:t>
      </w:r>
    </w:p>
    <w:p>
      <w:pPr>
        <w:spacing w:after="0" w:line="13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2021, the OECD (“Organisation for Economic Co-operation and Development”)/G20 Inclusive Framework on Base Erosion and Profit Shifting released Model Global Anti-Base Erosion rules under Pillar Two. Further guidance has been released throughout 2022 and 2023. Certain aspects of Pillar Two are effective January 1, 2024 and other aspects are effective January 1, 2025. Many non-U.S. tax jurisdictions in which we operate have either recently enacted legislation or are in the process of enacting legislation to adopt certain components of the Pillar Two Model Rules beginning in 2024 or in future years. We do not expect the provisions effective in 2024 to materially impact our financial results, financial position and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4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paid quarterly cash dividends of $0.24 per share of common stock in each of March 2024 and June 2024 and $0.25 per share of common stock in September 2024 totaling $182.6 million in the aggregate. We paid quarterly cash dividends of $0.20 per share of common stock in each of March 2023 and June 2023 and $0.24 per share of common stock in September 2023 totaling $160.9 million in the aggregate.</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$2,081.5 million of client funds obligations at September 30,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1" w:name="page22"/>
    <w:bookmarkEnd w:id="21"/>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our Condensed Consolidated Statements of Cash Flows, are summarized in the following table (in millions):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cash, cash equivalents and restricted cash provided by (used in):</w:t>
            </w: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Change From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Prior Year</w:t>
            </w:r>
          </w:p>
        </w:tc>
        <w:tc>
          <w:tcPr>
            <w:tcW w:w="0" w:type="dxa"/>
            <w:vAlign w:val="bottom"/>
          </w:tcPr>
          <w:p>
            <w:pPr>
              <w:spacing w:after="0"/>
              <w:rPr>
                <w:sz w:val="1"/>
                <w:szCs w:val="1"/>
                <w:color w:val="auto"/>
              </w:rPr>
            </w:pPr>
          </w:p>
        </w:tc>
      </w:tr>
      <w:tr>
        <w:trPr>
          <w:trHeight w:val="254"/>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902.0</w:t>
            </w:r>
          </w:p>
        </w:tc>
        <w:tc>
          <w:tcPr>
            <w:tcW w:w="240" w:type="dxa"/>
            <w:vAlign w:val="bottom"/>
          </w:tcPr>
          <w:p>
            <w:pPr>
              <w:spacing w:after="0"/>
              <w:rPr>
                <w:sz w:val="22"/>
                <w:szCs w:val="22"/>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826.7</w:t>
            </w:r>
          </w:p>
        </w:tc>
        <w:tc>
          <w:tcPr>
            <w:tcW w:w="20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7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shd w:val="clear" w:color="auto" w:fill="CFF0FC"/>
          </w:tcPr>
          <w:p>
            <w:pPr>
              <w:spacing w:after="0"/>
              <w:rPr>
                <w:sz w:val="24"/>
                <w:szCs w:val="24"/>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(802.6 )</w:t>
            </w:r>
          </w:p>
        </w:tc>
        <w:tc>
          <w:tcPr>
            <w:tcW w:w="32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(167.1 )</w:t>
            </w:r>
          </w:p>
        </w:tc>
        <w:tc>
          <w:tcPr>
            <w:tcW w:w="12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(635.5 )</w:t>
            </w:r>
          </w:p>
        </w:tc>
        <w:tc>
          <w:tcPr>
            <w:tcW w:w="0" w:type="dxa"/>
            <w:vAlign w:val="bottom"/>
          </w:tcPr>
          <w:p>
            <w:pPr>
              <w:spacing w:after="0"/>
              <w:rPr>
                <w:sz w:val="1"/>
                <w:szCs w:val="1"/>
                <w:color w:val="auto"/>
              </w:rPr>
            </w:pPr>
          </w:p>
        </w:tc>
      </w:tr>
      <w:tr>
        <w:trPr>
          <w:trHeight w:val="260"/>
        </w:trPr>
        <w:tc>
          <w:tcPr>
            <w:tcW w:w="5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(790.1 )</w:t>
            </w: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(812.6 )</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(688.5 )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(157.2 )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(531.3 )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-179070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-179070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$902.0 million for the nine months ended September 30, 2024. Cash provided by operating activities primarily resulted from net income of $513.3 million adjusted for non-cash items of $640.0 million, partially offset by changes in our working capital accounts totaling $251.3 million. The changes in our working capital accounts were driven by an increase in accounts receivable, decreases in accrued expenses, a decrease in accounts payable and an increase in contract assets.</w:t>
      </w:r>
    </w:p>
    <w:p>
      <w:pPr>
        <w:spacing w:after="0" w:line="153"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Investing activities used net cash of $802.6 million for the nine months ended September 30, 2024, primarily related to $646.9 million paid for business acquisitions, net of cash acquired and asset acquisitions, $149.7 million in capitalized software development costs and $41.7 million in capital expenditures, partially offset by $24.4 million in distributions received from unconsolidated affiliates, the collection of other non-current receivables of $7.7 million and proceeds from the sale of property and equipment of $3.3 million.</w:t>
      </w:r>
    </w:p>
    <w:p>
      <w:pPr>
        <w:spacing w:after="0" w:line="13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Financing activities used net cash of $790.1 million for the nine months ended September 30, 2024, primarily representing a net decrease in client fund obligations of $952.2 million, $369.3 million of purchases of common stock for treasury, $182.6 million in quarterly dividends paid, $36.6 million in payments of deferred financing fees and $20.3 million in withholding taxes paid related to equity award net share settlements. These expenditures were partially offset by net borrowings of $484.9 million, proceeds of $271.1 million from stock option exercises and proceeds from noncontrolling interests of $14.9 million.</w:t>
      </w:r>
    </w:p>
    <w:p>
      <w:pPr>
        <w:spacing w:after="0" w:line="14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made a permanent reinvestment determination in certain non-U.S. operations that have historically generated positive operating cash flows. At September 30, 2024, we held approximately $251.9 million in cash and cash equivalents at non-U.S. subsidiaries where we had made such a determination and in turn no provision for income taxes had been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 and Senior Notes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summary of the key terms of our Senior Secured Credit Facilities and Senior Notes: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320" w:type="dxa"/>
            <w:vAlign w:val="bottom"/>
          </w:tcPr>
          <w:p>
            <w:pPr>
              <w:spacing w:after="0"/>
              <w:rPr>
                <w:sz w:val="13"/>
                <w:szCs w:val="13"/>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Scheduled Quarterly</w:t>
            </w: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at September 30, 2024</w:t>
            </w:r>
          </w:p>
        </w:tc>
        <w:tc>
          <w:tcPr>
            <w:tcW w:w="32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Required</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B-8 Loans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3,690.0</w:t>
            </w:r>
          </w:p>
        </w:tc>
        <w:tc>
          <w:tcPr>
            <w:tcW w:w="32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2031</w:t>
            </w:r>
          </w:p>
        </w:tc>
        <w:tc>
          <w:tcPr>
            <w:tcW w:w="2240" w:type="dxa"/>
            <w:vAlign w:val="bottom"/>
            <w:gridSpan w:val="2"/>
          </w:tcPr>
          <w:p>
            <w:pPr>
              <w:jc w:val="right"/>
              <w:ind w:right="697"/>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50"/>
        </w:trPr>
        <w:tc>
          <w:tcPr>
            <w:tcW w:w="3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A-9 Loans</w:t>
            </w:r>
          </w:p>
        </w:tc>
        <w:tc>
          <w:tcPr>
            <w:tcW w:w="28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shd w:val="clear" w:color="auto" w:fill="CFF0FC"/>
          </w:tcPr>
          <w:p>
            <w:pPr>
              <w:spacing w:after="0"/>
              <w:rPr>
                <w:sz w:val="21"/>
                <w:szCs w:val="21"/>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27, 2029 (1)</w:t>
            </w:r>
          </w:p>
        </w:tc>
        <w:tc>
          <w:tcPr>
            <w:tcW w:w="2240" w:type="dxa"/>
            <w:vAlign w:val="bottom"/>
            <w:gridSpan w:val="2"/>
            <w:shd w:val="clear" w:color="auto" w:fill="CFF0FC"/>
          </w:tcPr>
          <w:p>
            <w:pPr>
              <w:jc w:val="right"/>
              <w:ind w:right="517"/>
              <w:spacing w:after="0"/>
              <w:rPr>
                <w:sz w:val="20"/>
                <w:szCs w:val="20"/>
                <w:color w:val="auto"/>
              </w:rPr>
            </w:pPr>
            <w:r>
              <w:rPr>
                <w:rFonts w:ascii="Times New Roman" w:cs="Times New Roman" w:eastAsia="Times New Roman" w:hAnsi="Times New Roman"/>
                <w:sz w:val="18"/>
                <w:szCs w:val="18"/>
                <w:color w:val="auto"/>
              </w:rPr>
              <w:t>0.625% (2)</w:t>
            </w:r>
          </w:p>
        </w:tc>
        <w:tc>
          <w:tcPr>
            <w:tcW w:w="0" w:type="dxa"/>
            <w:vAlign w:val="bottom"/>
          </w:tcPr>
          <w:p>
            <w:pPr>
              <w:spacing w:after="0"/>
              <w:rPr>
                <w:sz w:val="1"/>
                <w:szCs w:val="1"/>
                <w:color w:val="auto"/>
              </w:rPr>
            </w:pPr>
          </w:p>
        </w:tc>
      </w:tr>
      <w:tr>
        <w:trPr>
          <w:trHeight w:val="239"/>
        </w:trPr>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28, 2027</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47"/>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5.5% Senior Notes</w:t>
            </w:r>
          </w:p>
        </w:tc>
        <w:tc>
          <w:tcPr>
            <w:tcW w:w="280" w:type="dxa"/>
            <w:vAlign w:val="bottom"/>
            <w:shd w:val="clear" w:color="auto" w:fill="CFF0FC"/>
          </w:tcPr>
          <w:p>
            <w:pPr>
              <w:spacing w:after="0"/>
              <w:rPr>
                <w:sz w:val="21"/>
                <w:szCs w:val="21"/>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shd w:val="clear" w:color="auto" w:fill="CFF0FC"/>
          </w:tcPr>
          <w:p>
            <w:pPr>
              <w:spacing w:after="0"/>
              <w:rPr>
                <w:sz w:val="21"/>
                <w:szCs w:val="21"/>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30, 2027</w:t>
            </w:r>
          </w:p>
        </w:tc>
        <w:tc>
          <w:tcPr>
            <w:tcW w:w="220" w:type="dxa"/>
            <w:vAlign w:val="bottom"/>
            <w:shd w:val="clear" w:color="auto" w:fill="CFF0FC"/>
          </w:tcPr>
          <w:p>
            <w:pPr>
              <w:spacing w:after="0"/>
              <w:rPr>
                <w:sz w:val="21"/>
                <w:szCs w:val="21"/>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38"/>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6.5% Senior Notes</w:t>
            </w:r>
          </w:p>
        </w:tc>
        <w:tc>
          <w:tcPr>
            <w:tcW w:w="2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 2032</w:t>
            </w:r>
          </w:p>
        </w:tc>
        <w:tc>
          <w:tcPr>
            <w:tcW w:w="2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80" w:right="80" w:hanging="508"/>
        <w:spacing w:after="0" w:line="23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A-9 Loans will mature on the earlier to occur of (1) September 27, 2029 or (2) 91 days prior to the maturity of (x) the 5.5% Senior Notes if more than $150.0 million aggregate principal amount remains outstanding on the 91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day prior to such maturity or (y) the Revolving Credit Facility if more than $150.0 million aggregate principal amount of commitments remain outstanding on the 91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day prior to such maturity, whichever of (x) or (y) comes first.</w:t>
      </w:r>
    </w:p>
    <w:p>
      <w:pPr>
        <w:spacing w:after="0" w:line="2" w:lineRule="exact"/>
        <w:rPr>
          <w:rFonts w:ascii="Times New Roman" w:cs="Times New Roman" w:eastAsia="Times New Roman" w:hAnsi="Times New Roman"/>
          <w:sz w:val="18"/>
          <w:szCs w:val="18"/>
          <w:color w:val="auto"/>
        </w:rPr>
      </w:pPr>
    </w:p>
    <w:p>
      <w:pPr>
        <w:ind w:left="980" w:right="240" w:hanging="508"/>
        <w:spacing w:after="0" w:line="260"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quarterly payment required for the first eight fiscal quarters commencing with the fiscal quarter ending December 31, 2024. The scheduled quarterly payment will increase to 1.250% for each quarter thereafter until the maturity date of the Term A-9 Loans.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senior secured credit facility has a revolving credit facility available for borrowings by SS&amp;C with $600.0 million in available commitments (“Revolving Credit Facility”), of which $596.9 million was available as of September 30, 2024. The Revolving Credit Facility also contains a $75.0 million letter of credit sub-facility, of which $3.1 million was utilized as of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Debt Refinancing</w:t>
      </w:r>
    </w:p>
    <w:p>
      <w:pPr>
        <w:spacing w:after="0" w:line="20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May 9, 2024, we entered into the Incremental Joinder &amp; First Amendment to Credit Agreement (the “Amendment”), which amended our existing amended and restated credit agreement, dated as of April 16, 2018 (as amended, restated, amended and restated, supplemented or otherwise modified from time to time, the “Credit Agreement”). Pursuant to the Amendment, we borrowed $3,935.0 million in aggregate principal amount of incremental term B-8 loans (the “Term B-8 Loans”). The Term B-8 Loans bear interest at, at our option, the Base Rate (as defined in the Amendment), plus 1.00% per annum, or the Term SOFR Rate (as defined in the Amendment), plus 2.00% per annum.</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Also on May 9, 2024, we issued $750.0 million aggregate principal amount of 6.5% Senior Notes due 2032 (the “6.5% Senior Notes”). The 6.5% Senior Notes are senior unsecured obligations and rank equal in right of payment with all of our existing and future senior indebtedness. The 6.5% Senior Notes are fully and unconditionally guaranteed, jointly and severally, by SS&amp;C Holdings and all of its existing domestic restricted subsidiaries (other than SS&amp;C Technologies) that guarantee our existing senior secured credit facilities and future domestic restricted subsidiaries that guarantee our existing senior secured credit facilities and certain other indebtedness. Interest on the 6.5% Senior Notes is payable semi-annually in arrears on June 1 and December 1 of each year, beginning on December 1, 2024.</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net proceeds of the Term B-8 Loans and from the sale of the 6.5% Senior Notes were used to repay all amounts owed under the term B-3 loans, the term B-4 loans, the term B-5 loans, the term B-6 loans and the term B-7 loans (together, the “Existing Term Loans”) under the Credit Agreement, as well as to pay related fees and expenses.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Incremental Joinder</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September 27, 2024, in connection with our acquisition of Battea, we entered into an Incremental Joinder to our Credit Agreement (the “September 2024 Incremental Joinder”). Pursuant to the September 2024 Incremental Joinder, we borrowed $800.0 million in aggregate principal amount of incremental term A-9 loans (“Term A-9 Loans”), the net proceeds of which were used to finance in part the acquisition of Battea, the payment of fees and expenses related thereto and for working capital and general corporate purposes. The Term A-9 Loans bear interest at, at our option, the Base Rate (as defined in the Incremental Joinder), plus 0.50% per annum, or the Term SOFR Rate (as defined in the Incremental Joinder), plus 1.50% per annum, in each case with two leverage-based adjustments that increase the interest margin by 0.25% per annum if our consolidated net secured leverage ratio is greater than 3.50x and 4.25x, respectively, and one leverage-based adjustment that reduces the interest rate margin by 0.125% per annum if our consolidated net secured leverage ratio is less than or equal to 2.50x.</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 and loss on extinguishment of debt</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evaluated the borrowing of our Term B-8 Loans and issuance of 6.5% Senior Notes and the repayment of our Existing Term Loans in accordance with FASB Accounting Standards Codification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We determined that the new debt borrowing and issuance and existing debt repayment were two independent transactions due to the fact that (i) no single investor held a significant concentration of both the old and the new debt, (ii) none of the old investors were included in negotiations with creditors about modifying the old debt, and (iii) all lenders were provided the same opportunity to participate in the new debt regardless of whether they were an existing lender. Consequently, the refinancing was accounted for as a debt extinguishment. As a result, the Existing Term Loans borrowing costs of $27.7 million were expensed and are included in Loss on extinguishment of debt in the Condensed Consolidated Statement of Comprehensive Income during the nine months ended September 30, 2024.</w:t>
      </w:r>
    </w:p>
    <w:p>
      <w:pPr>
        <w:spacing w:after="0" w:line="8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May 2024 and September 2024 debt transactions, we capitalized an aggregate of $4.0 million and $38.6 million during the three and nine months ended September 30, 2024, respectively, in financing costs, which represent new third-party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i w:val="1"/>
          <w:iCs w:val="1"/>
          <w:color w:val="auto"/>
        </w:rPr>
        <w:t>Debt Terms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w:t>
      </w:r>
    </w:p>
    <w:p>
      <w:pPr>
        <w:spacing w:after="0" w:line="1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September 30, 2024, we were in compliance with all financial and non-financial covenants.</w:t>
      </w:r>
    </w:p>
    <w:p>
      <w:pPr>
        <w:spacing w:after="0" w:line="149"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spacing w:after="0" w:line="139" w:lineRule="exact"/>
        <w:rPr>
          <w:sz w:val="20"/>
          <w:szCs w:val="20"/>
          <w:color w:val="auto"/>
        </w:rPr>
      </w:pPr>
    </w:p>
    <w:p>
      <w:pPr>
        <w:ind w:right="420" w:firstLine="584"/>
        <w:spacing w:after="0" w:line="312" w:lineRule="auto"/>
        <w:rPr>
          <w:sz w:val="20"/>
          <w:szCs w:val="20"/>
          <w:color w:val="auto"/>
        </w:rPr>
      </w:pPr>
      <w:r>
        <w:rPr>
          <w:rFonts w:ascii="Times New Roman" w:cs="Times New Roman" w:eastAsia="Times New Roman" w:hAnsi="Times New Roman"/>
          <w:sz w:val="17"/>
          <w:szCs w:val="17"/>
          <w:color w:val="auto"/>
        </w:rPr>
        <w:t>At any time and from time to time, we may, at our option, redeem some or all of the 5.5% Senior Notes, in whole or in part, at the redemption prices set forth in the following table, expressed as a percentage of the principal amount, plus accrued and unpaid interest to the redemption date:</w:t>
      </w:r>
    </w:p>
    <w:p>
      <w:pPr>
        <w:spacing w:after="0" w:line="1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4700" w:type="dxa"/>
            <w:vAlign w:val="bottom"/>
          </w:tcPr>
          <w:p>
            <w:pPr>
              <w:spacing w:after="0"/>
              <w:rPr>
                <w:sz w:val="16"/>
                <w:szCs w:val="16"/>
                <w:color w:val="auto"/>
              </w:rPr>
            </w:pPr>
          </w:p>
        </w:tc>
        <w:tc>
          <w:tcPr>
            <w:tcW w:w="16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6"/>
                <w:szCs w:val="16"/>
                <w:color w:val="auto"/>
              </w:rPr>
            </w:pPr>
          </w:p>
        </w:tc>
      </w:tr>
      <w:tr>
        <w:trPr>
          <w:trHeight w:val="221"/>
        </w:trPr>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March 30, 2024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101.375 %</w:t>
            </w:r>
          </w:p>
        </w:tc>
      </w:tr>
      <w:tr>
        <w:trPr>
          <w:trHeight w:val="238"/>
        </w:trPr>
        <w:tc>
          <w:tcPr>
            <w:tcW w:w="5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March 30, 2025 and thereafter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-299720</wp:posOffset>
            </wp:positionV>
            <wp:extent cx="477456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774565" cy="154305"/>
                    </a:xfrm>
                    <a:prstGeom prst="rect">
                      <a:avLst/>
                    </a:prstGeom>
                    <a:noFill/>
                  </pic:spPr>
                </pic:pic>
              </a:graphicData>
            </a:graphic>
          </wp:anchor>
        </w:drawing>
      </w:r>
    </w:p>
    <w:p>
      <w:pPr>
        <w:spacing w:after="0" w:line="164"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p>
      <w:pPr>
        <w:spacing w:after="0" w:line="52" w:lineRule="exact"/>
        <w:rPr>
          <w:sz w:val="20"/>
          <w:szCs w:val="20"/>
          <w:color w:val="auto"/>
        </w:rPr>
      </w:pPr>
    </w:p>
    <w:tbl>
      <w:tblPr>
        <w:tblLayout w:type="fixed"/>
        <w:tblInd w:w="192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7"/>
              </w:rPr>
              <w:t>Year</w:t>
            </w:r>
          </w:p>
        </w:tc>
        <w:tc>
          <w:tcPr>
            <w:tcW w:w="5680" w:type="dxa"/>
            <w:vAlign w:val="bottom"/>
          </w:tcPr>
          <w:p>
            <w:pPr>
              <w:spacing w:after="0"/>
              <w:rPr>
                <w:sz w:val="16"/>
                <w:szCs w:val="16"/>
                <w:color w:val="auto"/>
              </w:rPr>
            </w:pPr>
          </w:p>
        </w:tc>
        <w:tc>
          <w:tcPr>
            <w:tcW w:w="152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21"/>
        </w:trPr>
        <w:tc>
          <w:tcPr>
            <w:tcW w:w="20" w:type="dxa"/>
            <w:vAlign w:val="bottom"/>
          </w:tcPr>
          <w:p>
            <w:pPr>
              <w:spacing w:after="0"/>
              <w:rPr>
                <w:sz w:val="19"/>
                <w:szCs w:val="19"/>
                <w:color w:val="auto"/>
              </w:rPr>
            </w:pPr>
          </w:p>
        </w:tc>
        <w:tc>
          <w:tcPr>
            <w:tcW w:w="5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June 1, 2027</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0" w:type="dxa"/>
            <w:vAlign w:val="bottom"/>
          </w:tcPr>
          <w:p>
            <w:pPr>
              <w:spacing w:after="0"/>
              <w:rPr>
                <w:sz w:val="20"/>
                <w:szCs w:val="20"/>
                <w:color w:val="auto"/>
              </w:rPr>
            </w:pPr>
          </w:p>
        </w:tc>
        <w:tc>
          <w:tcPr>
            <w:tcW w:w="5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On or after June 1, 2028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101.625 %</w:t>
            </w:r>
          </w:p>
        </w:tc>
      </w:tr>
      <w:tr>
        <w:trPr>
          <w:trHeight w:val="243"/>
        </w:trPr>
        <w:tc>
          <w:tcPr>
            <w:tcW w:w="20" w:type="dxa"/>
            <w:vAlign w:val="bottom"/>
          </w:tcPr>
          <w:p>
            <w:pPr>
              <w:spacing w:after="0"/>
              <w:rPr>
                <w:sz w:val="21"/>
                <w:szCs w:val="21"/>
                <w:color w:val="auto"/>
              </w:rPr>
            </w:pPr>
          </w:p>
        </w:tc>
        <w:tc>
          <w:tcPr>
            <w:tcW w:w="5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1, 2029 and thereafter</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-299720</wp:posOffset>
            </wp:positionV>
            <wp:extent cx="470598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05985" cy="154305"/>
                    </a:xfrm>
                    <a:prstGeom prst="rect">
                      <a:avLst/>
                    </a:prstGeom>
                    <a:noFill/>
                  </pic:spPr>
                </pic:pic>
              </a:graphicData>
            </a:graphic>
          </wp:anchor>
        </w:drawing>
      </w:r>
    </w:p>
    <w:p>
      <w:pPr>
        <w:spacing w:after="0" w:line="151" w:lineRule="exact"/>
        <w:rPr>
          <w:sz w:val="20"/>
          <w:szCs w:val="20"/>
          <w:color w:val="auto"/>
        </w:rPr>
      </w:pPr>
    </w:p>
    <w:p>
      <w:pPr>
        <w:ind w:right="440" w:firstLine="584"/>
        <w:spacing w:after="0" w:line="282" w:lineRule="auto"/>
        <w:rPr>
          <w:sz w:val="20"/>
          <w:szCs w:val="20"/>
          <w:color w:val="auto"/>
        </w:rPr>
      </w:pPr>
      <w:r>
        <w:rPr>
          <w:rFonts w:ascii="Times New Roman" w:cs="Times New Roman" w:eastAsia="Times New Roman" w:hAnsi="Times New Roman"/>
          <w:sz w:val="18"/>
          <w:szCs w:val="18"/>
          <w:color w:val="auto"/>
        </w:rPr>
        <w:t>We may also, from time to time in our sole discretion, purchase, redeem, or retire any outstanding 5.5% Senior Notes and 6.5% Senior Notes, through tender offers, in privately negotiated or open market transactions, or otherwise.</w:t>
      </w:r>
    </w:p>
    <w:p>
      <w:pPr>
        <w:spacing w:after="0" w:line="121" w:lineRule="exact"/>
        <w:rPr>
          <w:sz w:val="20"/>
          <w:szCs w:val="20"/>
          <w:color w:val="auto"/>
        </w:rPr>
      </w:pPr>
    </w:p>
    <w:p>
      <w:pPr>
        <w:ind w:right="20" w:firstLine="584"/>
        <w:spacing w:after="0" w:line="261" w:lineRule="auto"/>
        <w:rPr>
          <w:sz w:val="20"/>
          <w:szCs w:val="20"/>
          <w:color w:val="auto"/>
        </w:rPr>
      </w:pPr>
      <w:r>
        <w:rPr>
          <w:rFonts w:ascii="Times New Roman" w:cs="Times New Roman" w:eastAsia="Times New Roman" w:hAnsi="Times New Roman"/>
          <w:sz w:val="18"/>
          <w:szCs w:val="18"/>
          <w:color w:val="auto"/>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Compliance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In addition, the Term A-9 Loans will be subject to a 5.25x consolidated net secured leverage ratio commencing at the fiscal quarter ending December 31, 2024, which will, at our option, increase to 5.75x for four consecutive fiscal quarters following a material permitted acquisition. Our ability to meet either financial ratio can be affected by events beyond our control, and we cannot assure you that we will meet either ratio. Any breach of either financial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spacing w:after="0" w:line="14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spacing w:after="0" w:line="16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4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75" w:lineRule="exact"/>
        <w:rPr>
          <w:sz w:val="20"/>
          <w:szCs w:val="20"/>
          <w:color w:val="auto"/>
        </w:rPr>
      </w:pPr>
    </w:p>
    <w:p>
      <w:pPr>
        <w:ind w:left="720" w:hanging="37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significant interest expense we incur as a result of our debt leverage;</w:t>
      </w:r>
    </w:p>
    <w:p>
      <w:pPr>
        <w:spacing w:after="0" w:line="117"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provision of income tax expense in our various jurisdictions;</w:t>
      </w:r>
    </w:p>
    <w:p>
      <w:pPr>
        <w:spacing w:after="0" w:line="117" w:lineRule="exact"/>
        <w:rPr>
          <w:rFonts w:ascii="Times New Roman" w:cs="Times New Roman" w:eastAsia="Times New Roman" w:hAnsi="Times New Roman"/>
          <w:sz w:val="18"/>
          <w:szCs w:val="18"/>
          <w:color w:val="auto"/>
        </w:rPr>
      </w:pPr>
    </w:p>
    <w:p>
      <w:pPr>
        <w:ind w:left="720" w:right="400" w:hanging="377"/>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any attribution of costs to our operations related to our investments and capital expenditures through depreciation and amortization charges;</w:t>
      </w:r>
    </w:p>
    <w:p>
      <w:pPr>
        <w:spacing w:after="0" w:line="53"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cost of compensation we provide to our employees in the form of stock-based awards;</w:t>
      </w:r>
    </w:p>
    <w:p>
      <w:pPr>
        <w:spacing w:after="0" w:line="117" w:lineRule="exact"/>
        <w:rPr>
          <w:rFonts w:ascii="Times New Roman" w:cs="Times New Roman" w:eastAsia="Times New Roman" w:hAnsi="Times New Roman"/>
          <w:sz w:val="18"/>
          <w:szCs w:val="18"/>
          <w:color w:val="auto"/>
        </w:rPr>
      </w:pPr>
    </w:p>
    <w:p>
      <w:pPr>
        <w:ind w:left="720" w:hanging="377"/>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does not reflect the equity in earnings of unconsolidated affiliates; and</w:t>
      </w:r>
    </w:p>
    <w:p>
      <w:pPr>
        <w:spacing w:after="0" w:line="117" w:lineRule="exact"/>
        <w:rPr>
          <w:rFonts w:ascii="Times New Roman" w:cs="Times New Roman" w:eastAsia="Times New Roman" w:hAnsi="Times New Roman"/>
          <w:sz w:val="18"/>
          <w:szCs w:val="18"/>
          <w:color w:val="auto"/>
        </w:rPr>
      </w:pPr>
    </w:p>
    <w:p>
      <w:pPr>
        <w:ind w:left="720" w:right="480" w:hanging="377"/>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excludes expenses and income that are permitted to be excluded per the terms of our amended senior secured credit facility, but which others may believe are normal expenses for the operation of a business.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5" w:name="page26"/>
    <w:bookmarkEnd w:id="25"/>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following is a reconciliation of net income to Consolidated EBITDA attributable to SS&amp;C common stockholders as defined in our amended senior secured credit facility.</w:t>
      </w:r>
    </w:p>
    <w:tbl>
      <w:tblPr>
        <w:tblLayout w:type="fixed"/>
        <w:tblInd w:w="580" w:type="dxa"/>
        <w:tblCellMar>
          <w:top w:w="0" w:type="dxa"/>
          <w:left w:w="0" w:type="dxa"/>
          <w:bottom w:w="0" w:type="dxa"/>
          <w:right w:w="0" w:type="dxa"/>
        </w:tblCellMar>
      </w:tblPr>
      <w:tr>
        <w:trPr>
          <w:trHeight w:val="137"/>
        </w:trPr>
        <w:tc>
          <w:tcPr>
            <w:tcW w:w="4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Twelve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3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22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1,497.0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Acquired EBITDA and cost savings (1)</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(27.5 )</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(20.7 )</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(42.6 )</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(78.2 )</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Purchase accounting adjustments (2)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ASC 606 adoption impact</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(0.7 )</w:t>
            </w: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(0.8 )</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(2.0 )</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(gains) losses</w:t>
            </w: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Investment (gains) losses (3)</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(5.3 )</w:t>
            </w: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(17.3 )</w:t>
            </w: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(13.7 )</w:t>
            </w:r>
          </w:p>
        </w:tc>
        <w:tc>
          <w:tcPr>
            <w:tcW w:w="1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Facilities and workforce restructuring</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Acquisition related (4)</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Other (5)</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Consolidated EBITDA</w:t>
            </w: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1,704.4</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1,547.3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EBITDA attributable to noncontrolling interest (6)</w:t>
            </w:r>
          </w:p>
        </w:tc>
        <w:tc>
          <w:tcPr>
            <w:tcW w:w="2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(0.9 )</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(0.9 )</w:t>
            </w: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(3.1 )</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199"/>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Consolidated EBITDA attributable to SS&amp;C common</w:t>
            </w:r>
          </w:p>
        </w:tc>
        <w:tc>
          <w:tcPr>
            <w:tcW w:w="200" w:type="dxa"/>
            <w:vAlign w:val="bottom"/>
            <w:tcBorders>
              <w:top w:val="single" w:sz="8" w:color="auto"/>
            </w:tcBorders>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533.9</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1,545.2</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stockholders</w:t>
            </w: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7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vMerge w:val="continue"/>
            <w:shd w:val="clear" w:color="auto" w:fill="CFF0FC"/>
          </w:tcPr>
          <w:p>
            <w:pPr>
              <w:spacing w:after="0"/>
              <w:rPr>
                <w:sz w:val="19"/>
                <w:szCs w:val="19"/>
                <w:color w:val="auto"/>
              </w:rPr>
            </w:pPr>
          </w:p>
        </w:tc>
        <w:tc>
          <w:tcPr>
            <w:tcW w:w="70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6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-436880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-436880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-436880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-436880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-436880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7" w:lineRule="exact"/>
        <w:rPr>
          <w:sz w:val="20"/>
          <w:szCs w:val="20"/>
          <w:color w:val="auto"/>
        </w:rPr>
      </w:pPr>
    </w:p>
    <w:p>
      <w:pPr>
        <w:ind w:left="520" w:right="220" w:hanging="512"/>
        <w:spacing w:after="0" w:line="25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ind w:left="520" w:right="40" w:hanging="512"/>
        <w:spacing w:after="0" w:line="265" w:lineRule="auto"/>
        <w:tabs>
          <w:tab w:leader="none" w:pos="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w:t>
      </w:r>
    </w:p>
    <w:p>
      <w:pPr>
        <w:ind w:left="520" w:right="1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an adjustment to increase or decrease rent expense by the amount that would have been recognized if lease obligations were not adjusted to fair value at the date of acquisitions.</w:t>
      </w: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includes unrealized fair value adjustments of investments and dividend income received on investments.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related includes costs related to both current acquisitions and the resolution of pre-acquisition matters.</w:t>
      </w:r>
    </w:p>
    <w:p>
      <w:pPr>
        <w:spacing w:after="0" w:line="9"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additional expenses and income that are permitted to be excluded per the terms of our amended senior secured credit facility from Consolidated EBITDA, a financial measure used in calculating our covenant compliance.</w:t>
      </w:r>
    </w:p>
    <w:p>
      <w:pPr>
        <w:ind w:left="520" w:right="420" w:hanging="512"/>
        <w:spacing w:after="0" w:line="26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EBITDA attributable to noncontrolling interest represents Consolidated EBITDA based on the ownership interest retained by the noncontrolling parties of DomaniRx, our consolidated variable interest entity.</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covenant requirement for consolidated net secured leverage ratio for the benefit of the Revolving Credit Facility and the actual ratio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w:t>
            </w:r>
          </w:p>
        </w:tc>
        <w:tc>
          <w:tcPr>
            <w:tcW w:w="1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187"/>
        </w:trPr>
        <w:tc>
          <w:tcPr>
            <w:tcW w:w="58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r>
      <w:tr>
        <w:trPr>
          <w:trHeight w:val="171"/>
        </w:trPr>
        <w:tc>
          <w:tcPr>
            <w:tcW w:w="580" w:type="dxa"/>
            <w:vAlign w:val="bottom"/>
          </w:tcPr>
          <w:p>
            <w:pPr>
              <w:spacing w:after="0"/>
              <w:rPr>
                <w:sz w:val="14"/>
                <w:szCs w:val="14"/>
                <w:color w:val="auto"/>
              </w:rPr>
            </w:pPr>
          </w:p>
        </w:tc>
        <w:tc>
          <w:tcPr>
            <w:tcW w:w="6940" w:type="dxa"/>
            <w:vAlign w:val="bottom"/>
            <w:shd w:val="clear" w:color="auto" w:fill="CFF0FC"/>
          </w:tcPr>
          <w:p>
            <w:pPr>
              <w:jc w:val="right"/>
              <w:ind w:right="3430"/>
              <w:spacing w:after="0" w:line="171" w:lineRule="exact"/>
              <w:rPr>
                <w:sz w:val="20"/>
                <w:szCs w:val="20"/>
                <w:color w:val="auto"/>
              </w:rPr>
            </w:pPr>
            <w:r>
              <w:rPr>
                <w:rFonts w:ascii="Times New Roman" w:cs="Times New Roman" w:eastAsia="Times New Roman" w:hAnsi="Times New Roman"/>
                <w:sz w:val="18"/>
                <w:szCs w:val="18"/>
                <w:color w:val="auto"/>
                <w:w w:val="99"/>
              </w:rPr>
              <w:t>Maximum consolidated net secured leverage to</w:t>
            </w:r>
          </w:p>
        </w:tc>
        <w:tc>
          <w:tcPr>
            <w:tcW w:w="1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281"/>
        </w:trPr>
        <w:tc>
          <w:tcPr>
            <w:tcW w:w="580" w:type="dxa"/>
            <w:vAlign w:val="bottom"/>
          </w:tcPr>
          <w:p>
            <w:pPr>
              <w:spacing w:after="0"/>
              <w:rPr>
                <w:sz w:val="24"/>
                <w:szCs w:val="24"/>
                <w:color w:val="auto"/>
              </w:rPr>
            </w:pPr>
          </w:p>
        </w:tc>
        <w:tc>
          <w:tcPr>
            <w:tcW w:w="6940" w:type="dxa"/>
            <w:vAlign w:val="bottom"/>
            <w:shd w:val="clear" w:color="auto" w:fill="CFF0FC"/>
          </w:tcPr>
          <w:p>
            <w:pPr>
              <w:jc w:val="right"/>
              <w:ind w:right="4530"/>
              <w:spacing w:after="0"/>
              <w:rPr>
                <w:sz w:val="20"/>
                <w:szCs w:val="20"/>
                <w:color w:val="auto"/>
              </w:rPr>
            </w:pPr>
            <w:r>
              <w:rPr>
                <w:rFonts w:ascii="Times New Roman" w:cs="Times New Roman" w:eastAsia="Times New Roman" w:hAnsi="Times New Roman"/>
                <w:sz w:val="18"/>
                <w:szCs w:val="18"/>
                <w:color w:val="auto"/>
              </w:rPr>
              <w:t>Consolidated EBITDA ratio</w:t>
            </w:r>
            <w:r>
              <w:rPr>
                <w:rFonts w:ascii="Times New Roman" w:cs="Times New Roman" w:eastAsia="Times New Roman" w:hAnsi="Times New Roman"/>
                <w:sz w:val="24"/>
                <w:szCs w:val="24"/>
                <w:color w:val="auto"/>
                <w:vertAlign w:val="superscript"/>
              </w:rPr>
              <w:t>(1)</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6.25x</w:t>
            </w:r>
          </w:p>
        </w:tc>
        <w:tc>
          <w:tcPr>
            <w:tcW w:w="160" w:type="dxa"/>
            <w:vAlign w:val="bottom"/>
            <w:shd w:val="clear" w:color="auto" w:fill="CFF0FC"/>
          </w:tcPr>
          <w:p>
            <w:pPr>
              <w:spacing w:after="0"/>
              <w:rPr>
                <w:sz w:val="24"/>
                <w:szCs w:val="24"/>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1.74x</w:t>
            </w:r>
          </w:p>
        </w:tc>
      </w:tr>
      <w:tr>
        <w:trPr>
          <w:trHeight w:val="123"/>
        </w:trPr>
        <w:tc>
          <w:tcPr>
            <w:tcW w:w="7520" w:type="dxa"/>
            <w:vAlign w:val="bottom"/>
            <w:gridSpan w:val="2"/>
          </w:tcPr>
          <w:p>
            <w:pPr>
              <w:jc w:val="right"/>
              <w:ind w:right="5050"/>
              <w:spacing w:after="0"/>
              <w:rPr>
                <w:sz w:val="20"/>
                <w:szCs w:val="20"/>
                <w:color w:val="auto"/>
              </w:rPr>
            </w:pPr>
            <w:r>
              <w:rPr>
                <w:rFonts w:ascii="Times New Roman" w:cs="Times New Roman" w:eastAsia="Times New Roman" w:hAnsi="Times New Roman"/>
                <w:sz w:val="9"/>
                <w:szCs w:val="9"/>
                <w:color w:val="auto"/>
                <w:w w:val="98"/>
              </w:rPr>
              <w:t>_____________________________________________________</w:t>
            </w: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r>
    </w:tbl>
    <w:p>
      <w:pPr>
        <w:ind w:left="520" w:hanging="512"/>
        <w:spacing w:after="0" w:line="253"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ratio of consolidated net secured funded indebtedness, net of cash and cash equivalents, excluding $159.0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is applicable to all public entities, including public entities with a single reportable segment, and requires enhanced reportable segment disclosures. The disclosures include significant segment expenses regularly provided to the chief operating decision maker (“CODM”) and included within each reported measure of segment profit or loss. The standard also requires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18"/>
          <w:szCs w:val="18"/>
          <w:color w:val="auto"/>
        </w:rPr>
        <w:t>disclosure of the title and position of the CODM as well as how the CODM uses the reported measures of a segment’s profit or loss to assess segment performance and decide how to allocate resources. The new standard is effective for fiscal years beginning after December 15, 2023, and interim periods within fiscal years beginning after December 31, 2024. Early adoption is permitted. We are currently evaluating the potential impact the standard will have on our disclosures.</w:t>
      </w:r>
    </w:p>
    <w:p>
      <w:pPr>
        <w:spacing w:after="0" w:line="7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standard requires more enhanced disclosures specifically related to effective tax rate reconciliation and income taxes paid. The new requirements will be effective for fiscal years beginning after December 15, 2024, on a prospective basis. Early adoption and retrospective application are permitted. We are currently evaluating the potential impact the standard will have on our income tax disclosures.</w:t>
      </w:r>
    </w:p>
    <w:p>
      <w:pPr>
        <w:spacing w:after="0" w:line="3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derive service revenues from investment earnings related to cash balances maintained in bank accounts on which we are the agent for clients. The balances maintained in the bank accounts will fluctuate. For the nine months ended September 30, 2024, our average daily cash balances of approximately $2,157.3 million were maintained in such accounts. We estimate that a 100 basis point change in the interest earnings rate would equal approximately $10.9 million of net income, net of income taxes, on an annual basis. The effect of changes in interest rates attributable to earnings derived from cash balances we hold for clients is offset by changes in interest rates on our variable debt.</w:t>
      </w:r>
    </w:p>
    <w:p>
      <w:pPr>
        <w:spacing w:after="0" w:line="14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At September 30, 2024, total variable interest rate debt was approximately $4,490.0 million. As of September 30, 2024, a 100 basis point increase in interest rates would result in an increase in interest expense of approximately $44.9 million per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September 30, 2024 was approximately $51.3 million. The impact of a 10% change in fair value of these investments would have been approximately $3.8 million to net income, net of income taxes. Changes in equity values of our investments could have a material effect on our results of operations and our financial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2024, approximately 31%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(expense), net. These amounts were not material for the nine months ended September 30, 2024.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spacing w:after="0" w:line="16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8"/>
          <w:szCs w:val="18"/>
          <w:color w:val="auto"/>
        </w:rPr>
        <w:t>2024.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2024, our chief executive officer and chief financial officer concluded that, as of such date, our disclosure controls and procedures were effective at the reasonable assurance level.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defined in Rules 13a-15(f) and 15d-15(f) under the Exchange Act) that occurred during the fiscal quarter ended September 30, 2024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spacing w:after="0" w:line="13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spacing w:after="0" w:line="1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have been no material changes to the risk factors we previously disclosed in our Annual Report on Form 10-K for the year ended December 31, 2023.</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repurchases of our common stock in the third quarter of 2024 (in millions, except average price per share):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Total Number</w:t>
            </w:r>
          </w:p>
        </w:tc>
        <w:tc>
          <w:tcPr>
            <w:tcW w:w="3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 Average</w:t>
            </w: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4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0" w:type="dxa"/>
            <w:vAlign w:val="bottom"/>
          </w:tcPr>
          <w:p>
            <w:pPr>
              <w:spacing w:after="0"/>
              <w:rPr>
                <w:sz w:val="1"/>
                <w:szCs w:val="1"/>
                <w:color w:val="auto"/>
              </w:rPr>
            </w:pPr>
          </w:p>
        </w:tc>
      </w:tr>
      <w:tr>
        <w:trPr>
          <w:trHeight w:val="149"/>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340" w:type="dxa"/>
            <w:vAlign w:val="bottom"/>
          </w:tcPr>
          <w:p>
            <w:pPr>
              <w:spacing w:after="0"/>
              <w:rPr>
                <w:sz w:val="12"/>
                <w:szCs w:val="12"/>
                <w:color w:val="auto"/>
              </w:rPr>
            </w:pPr>
          </w:p>
        </w:tc>
        <w:tc>
          <w:tcPr>
            <w:tcW w:w="1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87"/>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(2)</w:t>
            </w: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(3)</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Plans or Programs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4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3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-162560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-162560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0</wp:posOffset>
            </wp:positionV>
            <wp:extent cx="70294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0</wp:posOffset>
            </wp:positionV>
            <wp:extent cx="8572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 w:lineRule="exact"/>
        <w:rPr>
          <w:sz w:val="20"/>
          <w:szCs w:val="20"/>
          <w:color w:val="auto"/>
        </w:rPr>
      </w:pPr>
    </w:p>
    <w:p>
      <w:pPr>
        <w:ind w:left="780" w:hanging="26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is based on trade dates of repurchase transactions.</w:t>
      </w:r>
    </w:p>
    <w:p>
      <w:pPr>
        <w:spacing w:after="0" w:line="2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repurchased in open market transactions pursuant to our previous common stock repurchase program.</w:t>
      </w:r>
    </w:p>
    <w:p>
      <w:pPr>
        <w:spacing w:after="0" w:line="9" w:lineRule="exact"/>
        <w:rPr>
          <w:rFonts w:ascii="Times New Roman" w:cs="Times New Roman" w:eastAsia="Times New Roman" w:hAnsi="Times New Roman"/>
          <w:sz w:val="18"/>
          <w:szCs w:val="18"/>
          <w:color w:val="auto"/>
        </w:rPr>
      </w:pPr>
    </w:p>
    <w:p>
      <w:pPr>
        <w:ind w:left="520" w:right="220" w:hanging="3"/>
        <w:spacing w:after="0" w:line="255" w:lineRule="auto"/>
        <w:tabs>
          <w:tab w:leader="none" w:pos="7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repurchases were made pursuant to our previous common stock repurchase program, authorized by our Board of Directors in July 2024. The program allowed for the purchase of up to $1 billion of outstanding common stock in one or more transactions on the open market or in privately negotiated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-701040</wp:posOffset>
            </wp:positionV>
            <wp:extent cx="7029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-701040</wp:posOffset>
            </wp:positionV>
            <wp:extent cx="8572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24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The exhibits listed in the Exhibit Index immediately preceding such exhibits are filed as part of this Report.</w:t>
            </w:r>
          </w:p>
        </w:tc>
        <w:tc>
          <w:tcPr>
            <w:tcW w:w="0" w:type="dxa"/>
            <w:vAlign w:val="bottom"/>
          </w:tcPr>
          <w:p>
            <w:pPr>
              <w:spacing w:after="0"/>
              <w:rPr>
                <w:sz w:val="1"/>
                <w:szCs w:val="1"/>
                <w:color w:val="auto"/>
              </w:rPr>
            </w:pPr>
          </w:p>
        </w:tc>
      </w:tr>
      <w:tr>
        <w:trPr>
          <w:trHeight w:val="418"/>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5"/>
          </w:tcPr>
          <w:p>
            <w:pPr>
              <w:ind w:left="38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7"/>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Incremental Joinder to Credit Agreement, dated as of September 27, 2024, by and among SS&amp;C Technologies, Inc., the lenders party thereto,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the other loan parties thereto and Morgan Stanley Senior Funding, Inc., as term facilities administrative agent, is incorporated by reference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5"/>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Exhibit 10.1 to Registrant’s Current Report on Form 8-K, filed on October 1, 2024 (File No. 001-34675)</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4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Registrant’s Chief Executive Officer pursuant to Section 302 of the Sarbanes-Oxley Act of 2002*</w:t>
            </w:r>
          </w:p>
        </w:tc>
        <w:tc>
          <w:tcPr>
            <w:tcW w:w="1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Registrant’s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40" w:right="20" w:hanging="1019"/>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-313055</wp:posOffset>
            </wp:positionV>
            <wp:extent cx="64719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-175895</wp:posOffset>
            </wp:positionV>
            <wp:extent cx="64496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-38735</wp:posOffset>
            </wp:positionV>
            <wp:extent cx="11734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40" w:type="dxa"/>
            <w:vAlign w:val="bottom"/>
          </w:tcPr>
          <w:p>
            <w:pPr>
              <w:spacing w:after="0"/>
              <w:rPr>
                <w:sz w:val="20"/>
                <w:szCs w:val="20"/>
                <w:color w:val="auto"/>
              </w:rPr>
            </w:pP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39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39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57" w:lineRule="exact"/>
        <w:rPr>
          <w:sz w:val="20"/>
          <w:szCs w:val="20"/>
          <w:color w:val="auto"/>
        </w:rPr>
      </w:pPr>
    </w:p>
    <w:p>
      <w:pPr>
        <w:ind w:right="3640" w:firstLine="21"/>
        <w:spacing w:after="0" w:line="508" w:lineRule="auto"/>
        <w:tabs>
          <w:tab w:leader="none" w:pos="102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SS&amp;C TECHNOLOGIES HOLDINGS, INC.</w:t>
      </w:r>
    </w:p>
    <w:p>
      <w:pPr>
        <w:spacing w:after="0" w:line="306"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26035</wp:posOffset>
            </wp:positionV>
            <wp:extent cx="29146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Brian N. Schell</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color w:val="auto"/>
        </w:rPr>
        <w:t>(Duly Authorized Officer, Principal Financial and Accounting</w:t>
      </w:r>
    </w:p>
    <w:p>
      <w:pPr>
        <w:spacing w:after="0" w:line="2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 Stone, certify that:</w:t>
      </w:r>
    </w:p>
    <w:p>
      <w:pPr>
        <w:spacing w:after="0" w:line="117"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C. Stone</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N. Schell, certify that:</w:t>
      </w:r>
    </w:p>
    <w:p>
      <w:pPr>
        <w:spacing w:after="0" w:line="117"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SS&amp;C Technologies Holdings,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7"/>
          <w:szCs w:val="17"/>
          <w:color w:val="auto"/>
        </w:rPr>
        <w:t>/s/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Brian N. Schell</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380" w:firstLine="10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SS&amp;C Technologies Holdings, Inc. (the “Company”) for the period ended September 30, 2024 as filed with the Securities and Exchange Commission on the date hereof (the “Report”), the undersigned officers of the Company hereby certify to their knowledge, pursuant to 18 U.S.C. Section 1350, that:</w:t>
      </w:r>
    </w:p>
    <w:p>
      <w:pPr>
        <w:spacing w:after="0" w:line="68" w:lineRule="exact"/>
        <w:rPr>
          <w:sz w:val="20"/>
          <w:szCs w:val="20"/>
          <w:color w:val="auto"/>
        </w:rPr>
      </w:pPr>
    </w:p>
    <w:p>
      <w:pPr>
        <w:ind w:left="820" w:hanging="36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20" w:hanging="363"/>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William C. Stone</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20"/>
        <w:spacing w:after="0"/>
        <w:tabs>
          <w:tab w:leader="none" w:pos="5300" w:val="left"/>
          <w:tab w:leader="none" w:pos="5740" w:val="left"/>
        </w:tabs>
        <w:rPr>
          <w:sz w:val="20"/>
          <w:szCs w:val="20"/>
          <w:color w:val="auto"/>
        </w:rPr>
      </w:pPr>
      <w:r>
        <w:rPr>
          <w:rFonts w:ascii="Times New Roman" w:cs="Times New Roman" w:eastAsia="Times New Roman" w:hAnsi="Times New Roman"/>
          <w:sz w:val="18"/>
          <w:szCs w:val="18"/>
          <w:color w:val="auto"/>
        </w:rPr>
        <w:t>Date: October 30,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N. Schell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26035</wp:posOffset>
            </wp:positionV>
            <wp:extent cx="3488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Brian N. Schell</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
      <w:numFmt w:val="bullet"/>
      <w:start w:val="1"/>
    </w:lvl>
    <w:lvl w:ilvl="1">
      <w:lvlJc w:val="left"/>
      <w:lvlText w:val="%2"/>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288" Type="http://schemas.openxmlformats.org/officeDocument/2006/relationships/hyperlink" Target="https://www.sec.gov/Archives/edgar/data/1402436/000095017024110813/ssnc-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2024-10-30T15:30:29Z</dcterms:created>
  <dcterms:modified xsi:type="dcterms:W3CDTF">2024-10-30T15:30:29Z</dcterms:modified>
</cp:coreProperties>
</file>