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ind w:left="1320" w:hanging="198"/>
        <w:spacing w:after="0"/>
        <w:tabs>
          <w:tab w:leader="none" w:pos="13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2024</w:t>
      </w:r>
    </w:p>
    <w:p>
      <w:pPr>
        <w:spacing w:after="0" w:line="49" w:lineRule="exact"/>
        <w:rPr>
          <w:sz w:val="24"/>
          <w:szCs w:val="24"/>
          <w:color w:val="auto"/>
        </w:rPr>
      </w:pPr>
    </w:p>
    <w:p>
      <w:pPr>
        <w:ind w:left="1140" w:hanging="203"/>
        <w:spacing w:after="0"/>
        <w:tabs>
          <w:tab w:leader="none" w:pos="11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 to _______</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001-34675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711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SS&amp;C TECHNOLOGIES HOLDINGS,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500" w:type="dxa"/>
            <w:vAlign w:val="bottom"/>
          </w:tcPr>
          <w:p>
            <w:pPr>
              <w:jc w:val="right"/>
              <w:ind w:right="305"/>
              <w:spacing w:after="0" w:line="164" w:lineRule="exact"/>
              <w:rPr>
                <w:sz w:val="20"/>
                <w:szCs w:val="20"/>
                <w:color w:val="auto"/>
              </w:rPr>
            </w:pPr>
            <w:r>
              <w:rPr>
                <w:rFonts w:ascii="Times New Roman" w:cs="Times New Roman" w:eastAsia="Times New Roman" w:hAnsi="Times New Roman"/>
                <w:sz w:val="15"/>
                <w:szCs w:val="15"/>
                <w:b w:val="1"/>
                <w:bCs w:val="1"/>
                <w:color w:val="auto"/>
              </w:rPr>
              <w:t>Delaware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b w:val="1"/>
                <w:bCs w:val="1"/>
                <w:color w:val="auto"/>
              </w:rPr>
              <w:t>71-0987913</w:t>
            </w:r>
          </w:p>
        </w:tc>
        <w:tc>
          <w:tcPr>
            <w:tcW w:w="0" w:type="dxa"/>
            <w:vAlign w:val="bottom"/>
          </w:tcPr>
          <w:p>
            <w:pPr>
              <w:spacing w:after="0"/>
              <w:rPr>
                <w:sz w:val="1"/>
                <w:szCs w:val="1"/>
                <w:color w:val="auto"/>
              </w:rPr>
            </w:pPr>
          </w:p>
        </w:tc>
      </w:tr>
      <w:tr>
        <w:trPr>
          <w:trHeight w:val="190"/>
        </w:trPr>
        <w:tc>
          <w:tcPr>
            <w:tcW w:w="732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64"/>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2"/>
          </w:tcPr>
          <w:p>
            <w:pPr>
              <w:jc w:val="center"/>
              <w:ind w:right="580"/>
              <w:spacing w:after="0" w:line="164" w:lineRule="exact"/>
              <w:rPr>
                <w:sz w:val="20"/>
                <w:szCs w:val="20"/>
                <w:color w:val="auto"/>
              </w:rPr>
            </w:pPr>
            <w:r>
              <w:rPr>
                <w:rFonts w:ascii="Times New Roman" w:cs="Times New Roman" w:eastAsia="Times New Roman" w:hAnsi="Times New Roman"/>
                <w:sz w:val="15"/>
                <w:szCs w:val="15"/>
                <w:b w:val="1"/>
                <w:bCs w:val="1"/>
                <w:color w:val="auto"/>
              </w:rPr>
              <w:t>80 Lamberton Road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gridSpan w:val="2"/>
          </w:tcPr>
          <w:p>
            <w:pPr>
              <w:jc w:val="center"/>
              <w:ind w:right="580"/>
              <w:spacing w:after="0" w:line="159" w:lineRule="exact"/>
              <w:rPr>
                <w:sz w:val="20"/>
                <w:szCs w:val="20"/>
                <w:color w:val="auto"/>
              </w:rPr>
            </w:pPr>
            <w:r>
              <w:rPr>
                <w:rFonts w:ascii="Times New Roman" w:cs="Times New Roman" w:eastAsia="Times New Roman" w:hAnsi="Times New Roman"/>
                <w:sz w:val="15"/>
                <w:szCs w:val="15"/>
                <w:b w:val="1"/>
                <w:bCs w:val="1"/>
                <w:color w:val="auto"/>
              </w:rPr>
              <w:t>Windsor, CT 06095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20" w:type="dxa"/>
            <w:vAlign w:val="bottom"/>
            <w:gridSpan w:val="7"/>
          </w:tcPr>
          <w:p>
            <w:pPr>
              <w:jc w:val="center"/>
              <w:ind w:right="300"/>
              <w:spacing w:after="0" w:line="152"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3240" w:type="dxa"/>
            <w:vAlign w:val="bottom"/>
            <w:gridSpan w:val="4"/>
          </w:tcPr>
          <w:p>
            <w:pPr>
              <w:jc w:val="center"/>
              <w:ind w:left="944"/>
              <w:spacing w:after="0" w:line="159" w:lineRule="exact"/>
              <w:rPr>
                <w:sz w:val="20"/>
                <w:szCs w:val="20"/>
                <w:color w:val="auto"/>
              </w:rPr>
            </w:pPr>
            <w:r>
              <w:rPr>
                <w:rFonts w:ascii="Times New Roman" w:cs="Times New Roman" w:eastAsia="Times New Roman" w:hAnsi="Times New Roman"/>
                <w:sz w:val="15"/>
                <w:szCs w:val="15"/>
                <w:b w:val="1"/>
                <w:bCs w:val="1"/>
                <w:color w:val="auto"/>
              </w:rPr>
              <w:t>860-298-4500</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20" w:type="dxa"/>
            <w:vAlign w:val="bottom"/>
            <w:gridSpan w:val="7"/>
          </w:tcPr>
          <w:p>
            <w:pPr>
              <w:jc w:val="center"/>
              <w:ind w:right="320"/>
              <w:spacing w:after="0" w:line="152" w:lineRule="exact"/>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7"/>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5"/>
        </w:trPr>
        <w:tc>
          <w:tcPr>
            <w:tcW w:w="3500" w:type="dxa"/>
            <w:vAlign w:val="bottom"/>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Common Stock, $0.01 par value per share</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gridSpan w:val="2"/>
          </w:tcPr>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SSNC</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c>
          <w:tcPr>
            <w:tcW w:w="0" w:type="dxa"/>
            <w:vAlign w:val="bottom"/>
          </w:tcPr>
          <w:p>
            <w:pPr>
              <w:spacing w:after="0"/>
              <w:rPr>
                <w:sz w:val="1"/>
                <w:szCs w:val="1"/>
                <w:color w:val="auto"/>
              </w:rPr>
            </w:pPr>
          </w:p>
        </w:tc>
      </w:tr>
      <w:tr>
        <w:trPr>
          <w:trHeight w:val="202"/>
        </w:trPr>
        <w:tc>
          <w:tcPr>
            <w:tcW w:w="3500" w:type="dxa"/>
            <w:vAlign w:val="bottom"/>
          </w:tcPr>
          <w:p>
            <w:pPr>
              <w:spacing w:after="0"/>
              <w:rPr>
                <w:sz w:val="17"/>
                <w:szCs w:val="17"/>
                <w:color w:val="auto"/>
              </w:rPr>
            </w:pPr>
          </w:p>
        </w:tc>
        <w:tc>
          <w:tcPr>
            <w:tcW w:w="4440" w:type="dxa"/>
            <w:vAlign w:val="bottom"/>
            <w:gridSpan w:val="8"/>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4480" w:type="dxa"/>
            <w:vAlign w:val="bottom"/>
            <w:gridSpan w:val="3"/>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gridSpan w:val="3"/>
            <w:vMerge w:val="restart"/>
          </w:tcPr>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4480" w:type="dxa"/>
            <w:vAlign w:val="bottom"/>
            <w:gridSpan w:val="3"/>
          </w:tcPr>
          <w:p>
            <w:pPr>
              <w:spacing w:after="0" w:line="144" w:lineRule="exact"/>
              <w:rPr>
                <w:sz w:val="20"/>
                <w:szCs w:val="20"/>
                <w:color w:val="auto"/>
              </w:rPr>
            </w:pPr>
            <w:r>
              <w:rPr>
                <w:rFonts w:ascii="Times New Roman" w:cs="Times New Roman" w:eastAsia="Times New Roman" w:hAnsi="Times New Roman"/>
                <w:sz w:val="15"/>
                <w:szCs w:val="15"/>
                <w:color w:val="auto"/>
              </w:rPr>
              <w:t>Indicate by check mark if the registrant is a well-known seasoned issuer,</w:t>
            </w:r>
          </w:p>
        </w:tc>
        <w:tc>
          <w:tcPr>
            <w:tcW w:w="2840" w:type="dxa"/>
            <w:vAlign w:val="bottom"/>
            <w:gridSpan w:val="3"/>
          </w:tcPr>
          <w:p>
            <w:pPr>
              <w:spacing w:after="0" w:line="144" w:lineRule="exact"/>
              <w:rPr>
                <w:sz w:val="20"/>
                <w:szCs w:val="20"/>
                <w:color w:val="auto"/>
              </w:rPr>
            </w:pPr>
            <w:r>
              <w:rPr>
                <w:rFonts w:ascii="Times New Roman" w:cs="Times New Roman" w:eastAsia="Times New Roman" w:hAnsi="Times New Roman"/>
                <w:sz w:val="15"/>
                <w:szCs w:val="15"/>
                <w:color w:val="auto"/>
              </w:rPr>
              <w:t>as defined in Rule 405 of the Securities Act.</w:t>
            </w:r>
          </w:p>
        </w:tc>
        <w:tc>
          <w:tcPr>
            <w:tcW w:w="620" w:type="dxa"/>
            <w:vAlign w:val="bottom"/>
            <w:gridSpan w:val="3"/>
            <w:vMerge w:val="continue"/>
          </w:tcPr>
          <w:p>
            <w:pPr>
              <w:spacing w:after="0"/>
              <w:rPr>
                <w:sz w:val="12"/>
                <w:szCs w:val="12"/>
                <w:color w:val="auto"/>
              </w:rPr>
            </w:pPr>
          </w:p>
        </w:tc>
        <w:tc>
          <w:tcPr>
            <w:tcW w:w="3300" w:type="dxa"/>
            <w:vAlign w:val="bottom"/>
          </w:tcPr>
          <w:p>
            <w:pPr>
              <w:spacing w:after="0" w:line="144" w:lineRule="exact"/>
              <w:rPr>
                <w:sz w:val="20"/>
                <w:szCs w:val="20"/>
                <w:color w:val="auto"/>
              </w:rPr>
            </w:pP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w:t>
            </w:r>
          </w:p>
        </w:tc>
        <w:tc>
          <w:tcPr>
            <w:tcW w:w="0" w:type="dxa"/>
            <w:vAlign w:val="bottom"/>
          </w:tcPr>
          <w:p>
            <w:pPr>
              <w:spacing w:after="0"/>
              <w:rPr>
                <w:sz w:val="1"/>
                <w:szCs w:val="1"/>
                <w:color w:val="auto"/>
              </w:rPr>
            </w:pPr>
          </w:p>
        </w:tc>
      </w:tr>
      <w:tr>
        <w:trPr>
          <w:trHeight w:val="227"/>
        </w:trPr>
        <w:tc>
          <w:tcPr>
            <w:tcW w:w="732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tc>
        <w:tc>
          <w:tcPr>
            <w:tcW w:w="8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xml:space="preserve">Yes </w:t>
            </w:r>
            <w:r>
              <w:rPr>
                <w:rFonts w:ascii="Wingdings" w:cs="Wingdings" w:eastAsia="Wingdings" w:hAnsi="Wingdings"/>
                <w:sz w:val="15"/>
                <w:szCs w:val="15"/>
                <w:b w:val="1"/>
                <w:bCs w:val="1"/>
                <w:color w:val="auto"/>
              </w:rPr>
              <w:t></w:t>
            </w:r>
          </w:p>
        </w:tc>
        <w:tc>
          <w:tcPr>
            <w:tcW w:w="3300" w:type="dxa"/>
            <w:vAlign w:val="bottom"/>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ind w:right="40"/>
        <w:spacing w:after="0" w:line="17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w:t>
      </w:r>
      <w:r>
        <w:rPr>
          <w:rFonts w:ascii="Times New Roman" w:cs="Times New Roman" w:eastAsia="Times New Roman" w:hAnsi="Times New Roman"/>
          <w:sz w:val="15"/>
          <w:szCs w:val="15"/>
          <w:color w:val="auto"/>
        </w:rPr>
        <w:t xml:space="preserve"> 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w:t>
      </w:r>
    </w:p>
    <w:p>
      <w:pPr>
        <w:spacing w:after="0" w:line="1" w:lineRule="exact"/>
        <w:rPr>
          <w:sz w:val="24"/>
          <w:szCs w:val="24"/>
          <w:color w:val="auto"/>
        </w:rPr>
      </w:pPr>
    </w:p>
    <w:p>
      <w:pPr>
        <w:ind w:right="700"/>
        <w:spacing w:after="0" w:line="225" w:lineRule="auto"/>
        <w:rPr>
          <w:sz w:val="20"/>
          <w:szCs w:val="20"/>
          <w:color w:val="auto"/>
        </w:rPr>
      </w:pPr>
      <w:r>
        <w:rPr>
          <w:rFonts w:ascii="Times New Roman" w:cs="Times New Roman" w:eastAsia="Times New Roman" w:hAnsi="Times New Roman"/>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Wingdings" w:cs="Wingdings" w:eastAsia="Wingdings" w:hAnsi="Wingdings"/>
          <w:sz w:val="15"/>
          <w:szCs w:val="15"/>
          <w:b w:val="1"/>
          <w:bCs w:val="1"/>
          <w:color w:val="auto"/>
        </w:rPr>
        <w:t></w:t>
      </w:r>
    </w:p>
    <w:p>
      <w:pPr>
        <w:spacing w:after="0" w:line="22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44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020" w:type="dxa"/>
            <w:vAlign w:val="bottom"/>
          </w:tcPr>
          <w:p>
            <w:pPr>
              <w:ind w:left="2900"/>
              <w:spacing w:after="0"/>
              <w:rPr>
                <w:sz w:val="20"/>
                <w:szCs w:val="20"/>
                <w:color w:val="auto"/>
              </w:rPr>
            </w:pPr>
            <w:r>
              <w:rPr>
                <w:rFonts w:ascii="Times New Roman" w:cs="Times New Roman" w:eastAsia="Times New Roman" w:hAnsi="Times New Roman"/>
                <w:sz w:val="15"/>
                <w:szCs w:val="15"/>
                <w:color w:val="auto"/>
              </w:rPr>
              <w:t>Accelerated filer</w:t>
            </w:r>
          </w:p>
        </w:tc>
        <w:tc>
          <w:tcPr>
            <w:tcW w:w="600" w:type="dxa"/>
            <w:vAlign w:val="bottom"/>
          </w:tcPr>
          <w:p>
            <w:pPr>
              <w:ind w:left="460"/>
              <w:spacing w:after="0"/>
              <w:rPr>
                <w:sz w:val="20"/>
                <w:szCs w:val="20"/>
                <w:color w:val="auto"/>
              </w:rPr>
            </w:pPr>
            <w:r>
              <w:rPr>
                <w:rFonts w:ascii="Wingdings" w:cs="Wingdings" w:eastAsia="Wingdings" w:hAnsi="Wingdings"/>
                <w:sz w:val="15"/>
                <w:szCs w:val="15"/>
                <w:b w:val="1"/>
                <w:bCs w:val="1"/>
                <w:color w:val="auto"/>
                <w:w w:val="89"/>
              </w:rPr>
              <w:t></w:t>
            </w: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440" w:type="dxa"/>
            <w:vAlign w:val="bottom"/>
          </w:tcPr>
          <w:p>
            <w:pPr>
              <w:ind w:left="380"/>
              <w:spacing w:after="0"/>
              <w:rPr>
                <w:sz w:val="20"/>
                <w:szCs w:val="20"/>
                <w:color w:val="auto"/>
              </w:rPr>
            </w:pPr>
            <w:r>
              <w:rPr>
                <w:rFonts w:ascii="Wingdings" w:cs="Wingdings" w:eastAsia="Wingdings" w:hAnsi="Wingdings"/>
                <w:sz w:val="15"/>
                <w:szCs w:val="15"/>
                <w:b w:val="1"/>
                <w:bCs w:val="1"/>
                <w:color w:val="auto"/>
              </w:rPr>
              <w:t></w:t>
            </w:r>
          </w:p>
        </w:tc>
        <w:tc>
          <w:tcPr>
            <w:tcW w:w="5020" w:type="dxa"/>
            <w:vAlign w:val="bottom"/>
          </w:tcPr>
          <w:p>
            <w:pPr>
              <w:ind w:left="29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00" w:type="dxa"/>
            <w:vAlign w:val="bottom"/>
          </w:tcPr>
          <w:p>
            <w:pPr>
              <w:ind w:left="4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7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5020" w:type="dxa"/>
            <w:vAlign w:val="bottom"/>
          </w:tcPr>
          <w:p>
            <w:pPr>
              <w:ind w:left="2900"/>
              <w:spacing w:after="0"/>
              <w:rPr>
                <w:sz w:val="20"/>
                <w:szCs w:val="20"/>
                <w:color w:val="auto"/>
              </w:rPr>
            </w:pPr>
            <w:r>
              <w:rPr>
                <w:rFonts w:ascii="Times New Roman" w:cs="Times New Roman" w:eastAsia="Times New Roman" w:hAnsi="Times New Roman"/>
                <w:sz w:val="15"/>
                <w:szCs w:val="15"/>
                <w:color w:val="auto"/>
              </w:rPr>
              <w:t>Emerging growth company</w:t>
            </w:r>
          </w:p>
        </w:tc>
        <w:tc>
          <w:tcPr>
            <w:tcW w:w="600" w:type="dxa"/>
            <w:vAlign w:val="bottom"/>
          </w:tcPr>
          <w:p>
            <w:pPr>
              <w:ind w:left="460"/>
              <w:spacing w:after="0" w:line="151" w:lineRule="exact"/>
              <w:rPr>
                <w:sz w:val="20"/>
                <w:szCs w:val="20"/>
                <w:color w:val="auto"/>
              </w:rPr>
            </w:pPr>
            <w:r>
              <w:rPr>
                <w:rFonts w:ascii="MS PGothic" w:cs="MS PGothic" w:eastAsia="MS PGothic" w:hAnsi="MS PGothic"/>
                <w:sz w:val="15"/>
                <w:szCs w:val="15"/>
                <w:color w:val="auto"/>
                <w:w w:val="79"/>
              </w:rPr>
              <w:t>☐</w:t>
            </w:r>
          </w:p>
        </w:tc>
      </w:tr>
    </w:tbl>
    <w:p>
      <w:pPr>
        <w:ind w:right="600"/>
        <w:spacing w:after="0" w:line="232"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w:t>
      </w:r>
    </w:p>
    <w:p>
      <w:pPr>
        <w:ind w:right="22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right="120"/>
        <w:spacing w:after="0" w:line="162"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1" w:lineRule="exact"/>
        <w:rPr>
          <w:sz w:val="24"/>
          <w:szCs w:val="24"/>
          <w:color w:val="auto"/>
        </w:rPr>
      </w:pPr>
    </w:p>
    <w:p>
      <w:pPr>
        <w:ind w:right="280"/>
        <w:spacing w:after="0" w:line="169"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spacing w:after="0" w:line="173" w:lineRule="exact"/>
        <w:tabs>
          <w:tab w:leader="none" w:pos="7080" w:val="left"/>
          <w:tab w:leader="none" w:pos="770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9" w:lineRule="exact"/>
        <w:rPr>
          <w:sz w:val="24"/>
          <w:szCs w:val="24"/>
          <w:color w:val="auto"/>
        </w:rPr>
      </w:pPr>
    </w:p>
    <w:p>
      <w:pPr>
        <w:ind w:right="640"/>
        <w:spacing w:after="0" w:line="225" w:lineRule="auto"/>
        <w:rPr>
          <w:sz w:val="20"/>
          <w:szCs w:val="20"/>
          <w:color w:val="auto"/>
        </w:rPr>
      </w:pPr>
      <w:r>
        <w:rPr>
          <w:rFonts w:ascii="Times New Roman" w:cs="Times New Roman" w:eastAsia="Times New Roman" w:hAnsi="Times New Roman"/>
          <w:sz w:val="15"/>
          <w:szCs w:val="15"/>
          <w:color w:val="auto"/>
        </w:rPr>
        <w:t>As of June 30, 2024, the aggregate market value of the registrant’s common stock held by non-affiliates was $13,300,977,206 based on the closing sale price per share of the registrant’s common stock on The Nasdaq Global Select Market on such date.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There were 246,486,228 shares of the registrant’s common stock outstanding as of February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10" w:lineRule="exact"/>
        <w:rPr>
          <w:sz w:val="24"/>
          <w:szCs w:val="24"/>
          <w:color w:val="auto"/>
        </w:rPr>
      </w:pPr>
    </w:p>
    <w:p>
      <w:pPr>
        <w:jc w:val="both"/>
        <w:ind w:right="60"/>
        <w:spacing w:after="0" w:line="232" w:lineRule="auto"/>
        <w:rPr>
          <w:sz w:val="20"/>
          <w:szCs w:val="20"/>
          <w:color w:val="auto"/>
        </w:rPr>
      </w:pPr>
      <w:r>
        <w:rPr>
          <w:rFonts w:ascii="Times New Roman" w:cs="Times New Roman" w:eastAsia="Times New Roman" w:hAnsi="Times New Roman"/>
          <w:sz w:val="15"/>
          <w:szCs w:val="15"/>
          <w:color w:val="auto"/>
        </w:rPr>
        <w:t>Part III of this annual report on Form 10-K incorporates by reference certain information from the registrant’s definitive proxy statement for the 2025 annual meeting of stockholders, which the registrant intends to file pursuant to Regulation 14A with the Securities and Exchange Commission not later than 120 days after the registrant’s fiscal year end of December 31, 2024. With the exception of the sections of the definitive proxy statement specifically incorporated herein by reference, the definitive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320" w:type="dxa"/>
            <w:vAlign w:val="bottom"/>
            <w:gridSpan w:val="17"/>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SS&amp;C TECHNOLOGIES HOLDINGS, INC.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80" w:type="dxa"/>
            <w:vAlign w:val="bottom"/>
            <w:gridSpan w:val="16"/>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18"/>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14"/>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4760" w:type="dxa"/>
            <w:vAlign w:val="bottom"/>
            <w:gridSpan w:val="8"/>
            <w:vMerge w:val="restart"/>
          </w:tcPr>
          <w:p>
            <w:pPr>
              <w:spacing w:after="0"/>
              <w:rPr>
                <w:sz w:val="24"/>
                <w:szCs w:val="24"/>
                <w:color w:val="auto"/>
              </w:rPr>
            </w:pPr>
          </w:p>
        </w:tc>
        <w:tc>
          <w:tcPr>
            <w:tcW w:w="11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0000FF"/>
            </w:tcBorders>
            <w:gridSpan w:val="3"/>
            <w:vMerge w:val="continue"/>
          </w:tcPr>
          <w:p>
            <w:pPr>
              <w:spacing w:after="0"/>
              <w:rPr>
                <w:sz w:val="14"/>
                <w:szCs w:val="14"/>
                <w:color w:val="auto"/>
              </w:rPr>
            </w:pPr>
          </w:p>
        </w:tc>
        <w:tc>
          <w:tcPr>
            <w:tcW w:w="4760" w:type="dxa"/>
            <w:vAlign w:val="bottom"/>
            <w:gridSpan w:val="8"/>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240" w:type="dxa"/>
            <w:vAlign w:val="bottom"/>
            <w:gridSpan w:val="2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120" w:type="dxa"/>
            <w:vAlign w:val="bottom"/>
            <w:gridSpan w:val="1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160" w:type="dxa"/>
            <w:vAlign w:val="bottom"/>
            <w:gridSpan w:val="2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420" w:type="dxa"/>
            <w:vAlign w:val="bottom"/>
            <w:gridSpan w:val="30"/>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7"/>
                <w:szCs w:val="17"/>
                <w:color w:val="auto"/>
              </w:rPr>
            </w:pPr>
          </w:p>
        </w:tc>
        <w:tc>
          <w:tcPr>
            <w:tcW w:w="7820" w:type="dxa"/>
            <w:vAlign w:val="bottom"/>
            <w:gridSpan w:val="2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0" w:type="dxa"/>
            <w:vAlign w:val="bottom"/>
            <w:tcBorders>
              <w:bottom w:val="single" w:sz="8" w:color="0000EE"/>
            </w:tcBorders>
          </w:tcPr>
          <w:p>
            <w:pPr>
              <w:spacing w:after="0"/>
              <w:rPr>
                <w:sz w:val="24"/>
                <w:szCs w:val="24"/>
                <w:color w:val="auto"/>
              </w:rPr>
            </w:pPr>
          </w:p>
        </w:tc>
        <w:tc>
          <w:tcPr>
            <w:tcW w:w="4680" w:type="dxa"/>
            <w:vAlign w:val="bottom"/>
            <w:gridSpan w:val="6"/>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280" w:type="dxa"/>
            <w:vAlign w:val="bottom"/>
            <w:tcBorders>
              <w:top w:val="single" w:sz="8" w:color="0000FF"/>
            </w:tcBorders>
            <w:gridSpan w:val="27"/>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0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60" w:type="dxa"/>
            <w:vAlign w:val="bottom"/>
            <w:gridSpan w:val="9"/>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bottom w:val="single" w:sz="8" w:color="0000EE"/>
            </w:tcBorders>
          </w:tcPr>
          <w:p>
            <w:pPr>
              <w:spacing w:after="0"/>
              <w:rPr>
                <w:sz w:val="17"/>
                <w:szCs w:val="17"/>
                <w:color w:val="auto"/>
              </w:rPr>
            </w:pPr>
          </w:p>
        </w:tc>
        <w:tc>
          <w:tcPr>
            <w:tcW w:w="5820" w:type="dxa"/>
            <w:vAlign w:val="bottom"/>
            <w:gridSpan w:val="1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7"/>
          </w:tcPr>
          <w:p>
            <w:pPr>
              <w:spacing w:after="0"/>
              <w:rPr>
                <w:sz w:val="17"/>
                <w:szCs w:val="17"/>
                <w:color w:val="auto"/>
              </w:rPr>
            </w:pPr>
          </w:p>
        </w:tc>
        <w:tc>
          <w:tcPr>
            <w:tcW w:w="270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7"/>
                <w:szCs w:val="17"/>
                <w:color w:val="auto"/>
              </w:rPr>
            </w:pPr>
          </w:p>
        </w:tc>
        <w:tc>
          <w:tcPr>
            <w:tcW w:w="7840" w:type="dxa"/>
            <w:vAlign w:val="bottom"/>
            <w:gridSpan w:val="2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280" w:type="dxa"/>
            <w:vAlign w:val="bottom"/>
            <w:gridSpan w:val="5"/>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right w:val="single" w:sz="8" w:color="0000EE"/>
            </w:tcBorders>
            <w:gridSpan w:val="3"/>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080" w:type="dxa"/>
            <w:vAlign w:val="bottom"/>
            <w:gridSpan w:val="10"/>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gridSpan w:val="12"/>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88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72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20" w:type="dxa"/>
            <w:vAlign w:val="bottom"/>
            <w:gridSpan w:val="13"/>
          </w:tcPr>
          <w:p>
            <w:pPr>
              <w:jc w:val="center"/>
              <w:ind w:right="470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Exhibit and Financial Statement Schedules</w:t>
            </w:r>
          </w:p>
        </w:tc>
        <w:tc>
          <w:tcPr>
            <w:tcW w:w="660" w:type="dxa"/>
            <w:vAlign w:val="bottom"/>
            <w:gridSpan w:val="3"/>
          </w:tcPr>
          <w:p>
            <w:pPr>
              <w:spacing w:after="0"/>
              <w:rPr>
                <w:sz w:val="17"/>
                <w:szCs w:val="17"/>
                <w:color w:val="auto"/>
              </w:rPr>
            </w:pPr>
          </w:p>
        </w:tc>
        <w:tc>
          <w:tcPr>
            <w:tcW w:w="740" w:type="dxa"/>
            <w:vAlign w:val="bottom"/>
            <w:tcBorders>
              <w:top w:val="single" w:sz="8" w:color="0000FF"/>
            </w:tcBorders>
            <w:gridSpan w:val="7"/>
          </w:tcPr>
          <w:p>
            <w:pPr>
              <w:spacing w:after="0"/>
              <w:rPr>
                <w:sz w:val="17"/>
                <w:szCs w:val="17"/>
                <w:color w:val="auto"/>
              </w:rPr>
            </w:pPr>
          </w:p>
        </w:tc>
        <w:tc>
          <w:tcPr>
            <w:tcW w:w="468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7620" w:type="dxa"/>
            <w:vAlign w:val="bottom"/>
            <w:gridSpan w:val="21"/>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885"/>
        </w:trPr>
        <w:tc>
          <w:tcPr>
            <w:tcW w:w="920" w:type="dxa"/>
            <w:vAlign w:val="bottom"/>
          </w:tcPr>
          <w:p>
            <w:pPr>
              <w:spacing w:after="0"/>
              <w:rPr>
                <w:sz w:val="24"/>
                <w:szCs w:val="24"/>
                <w:color w:val="auto"/>
              </w:rPr>
            </w:pPr>
          </w:p>
        </w:tc>
        <w:tc>
          <w:tcPr>
            <w:tcW w:w="4900" w:type="dxa"/>
            <w:vAlign w:val="bottom"/>
            <w:gridSpan w:val="28"/>
          </w:tcPr>
          <w:p>
            <w:pPr>
              <w:jc w:val="center"/>
              <w:ind w:left="4410"/>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annual report constitute forward-looking statements for purposes of the safe harbor provisions under the Private Securities Litigation Reform Act of 1995. Forward-looking statements include statements concerning plans, objectives, goals, strategies, expectations, intentions, projections, developments, future events, performance, underlying assumptions, and other statements that are other than statements of historical facts.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although not all forward-looking statements are accompanied by such words. Such statements reflect management’s best judgment based on factors currently known but that are subject to risks and uncertainties, which could cause actual results to differ materially from those anticipated. Such risks and uncertainties include, but are not limited to, the state of the economy and the financial services industry and other industries in which our clients operate, our ability to realize anticipated benefits from our acquisitions, the effect of customer consolidation on demand for our products and services, the variability of revenue as a result of activity in the securities markets, focus of our business on the asset management industry, our ability to retain and attract clients, the intensity of competition with respect to our products and services, risks from cyber-attacks, breaches of digital security, IT system failures and network disruptions, risks associated with third party providers, fluctuations in our operating results, terrorist activities and other catastrophic events, risks associated with our foreign operations, privacy concerns relating to the collection and storage of personal information, evolving regulations and increased scrutiny from regulators, our ability to protect intellectual property assets and litigation regarding intellectual property rights, delays in product development, investment decisions concerning cash balances, tax risks, risks associated with our joint ventures, changes in accounting standards, evolving regulation and scrutiny from regulators, our exposure to litigation and other claims, risks related to our substantial indebtedness, and the market price of our stock prevailing from time to time. The factors discussed under “Item 1A. Risk Factors”, among others, could cause actual results to differ materially from those indicated by forward-looking statements made herein and presented elsewhere by management from time to time. You should not place undue reliance on any such forward-looking statements. Forward-looking statements speak only as of the date on which they are made and, except to the extent required by applicable securities laws, we undertake no obligation to update or revise any forward-looking statements.</w:t>
      </w:r>
    </w:p>
    <w:p>
      <w:pPr>
        <w:spacing w:after="0" w:line="188"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following are some of our registered trademarks and/or service marks in the U.S. and/or in other countries: ADVENT, ADVENT CORPORATE ACTIONS, ADVENT CUSTODIAL DATA, ADVENT GENESIS, ADVENT ONDEMAND, ADVENT PORTFOLIO EXCHANGE, ALGO, ALGORITHMICS, ALTSERVE, ADVENT REVENUE CENTER, ADVICEPLUS, ADVISORWARE, ALL-STAR FUNDS, ALPS, AXYS, BATTEA, BENEFIX, BLACK DIAMOND, BLUE PRISM, CARESTEPP, CHARTSOURCE, THE CLAIMS ENGINE, DBC, ECLIPSE, EZE, EZE CASTLE, EZE ECLIPSE, FAN, FAN MAIL, FIXLINK, GENEVA, GLOBEOP, GLOBEOP HEDGE FUND INDEX, GOREC, GORISK, INTRALINKS, KNOW YOUR RISK, LIBERTY ALL-STAR FUNDS, MARGINMAN, MARK-TO-FUTURE, MAXIMIS, MINERALWARE, MOXY, MYPLANNETWORK, PACER, PAGES, PORTIA, PORTPRO, REALTICK, RECON, RICC, ROLLOVER CENTRAL, RISKWATCH, ROM, ROM ARCHITECT, SAVANTRX, SKYLINE, SS&amp;C, SS&amp;C BLUE PRISM, SS&amp;C SINGULARITY, SS&amp;C SMARTSOURCE, SS&amp;C TAX BRIGHTLINE, SS&amp;C TAX OPTIMIZER, SYNCOVA, SYLVAN, TA2000, TAMALE, TAMALE RMS, TIER1CRM, TIER1 SECURITY ENGINE, TRAC, TRADETHRU, TRADEWARE, VISION, WALLETSHARE, and ZOOLOGIC. SS&amp;C Technologies Holdings, Inc. and/or its subsidiaries in the U.S. and/or in other countries have trademark or service mark rights to certain other names and marks other than those referred to in this annual report.</w:t>
      </w:r>
    </w:p>
    <w:p>
      <w:pPr>
        <w:spacing w:after="0" w:line="1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SS&amp;C Technologies Holdings, Inc. (NASDAQ: SSNC) is the world’s largest hedge fund and private equity administrator, as well as the largest mutual fund transfer agent. SS&amp;C’s unique business model combines end-to-end expertise across financial services operations with software and solutions to service even the most demanding customers in the financial services and healthcare industries. SS&amp;C owns and operates the full technology stack across securities accounting, front-to-back-office operations, performance and risk analytics, regulatory reporting and healthcare information processes.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SS&amp;C’s trusted and proven technology delivers an unparalleled level of scalable capabilities for the most complex portfolios, the most sophisticated strategies, and the highest volumes of transactions. Through a series of carefully selected acquisitions and organic growth, the breadth and depth of SS&amp;C’s expertise in financial services and healthcare technology are unmatched.</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Founded in 1986 and headquartered in Windsor, Connecticut, the Company is home to more than 26,000 employees and has 110 offices in 35 countries globally. With more than 22,000 clients spanning the health and financial services industries, our customers’ needs and requirements are always at the forefront of our strategy. We provide the global financial services industry with a broad range of software-enabled services, which consist of software-enabled outsourcing services and subscription-based on-demand cloud solutions which are managed and hosted at our facilities, and specialized software products, which are deployed at our clients’ facilities. Our software-enabled services, which combine the strengths of our proprietary software with our domain expertise, enable our clients to contract with us to provide many of their mission-critical and complex business processes. For example, we utilize our software to deliver comprehensive fund administration services to alternative and traditional asset managers, including fund manager services, transfer agency services, funds-of-funds services, tax processing and accounting. We offer clients the flexibility to choose from multiple software delivery options, including on premise applications and hosted, multi-tenant or dedicated applications. Additionally, we provide clients with targeted, blended solutions based on a combination of software and software-enabled services. We believe our software-enabled services provide superior client support and an attractive alternative to clients that do not wish to install, manage and maintain complicated financial software.</w:t>
      </w:r>
    </w:p>
    <w:p>
      <w:pPr>
        <w:spacing w:after="0" w:line="19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also serve the healthcare industry through our SS&amp;C Health services and technology-enabled business. The core purpose of our health business is to enable our clients to provide better healthcare to their members. With a demonstrated commitment to invest and innovate, our solutions include pharmacy and medical claims processing, clinical programs, population health analytics, digital workers and member engagement, all delivered in a cloud-enabled, cost-efficient service model at scale. SS&amp;C Health targets health plans and pharmacy benefit managers, specifically, those catering to government-funded member segments and those seeking a flexible and scalable alternative to larger integrated vendors. As a comprehensive health partner, our range of solutions spans across health plan operations. These options encompass core claims processing, operational software and high value applications for risk adjustment and quality management. These solutions enable us to effectively meet the needs of a wide-ranging population of payer clients across all market segments</w:t>
      </w:r>
      <w:r>
        <w:rPr>
          <w:rFonts w:ascii="Times New Roman" w:cs="Times New Roman" w:eastAsia="Times New Roman" w:hAnsi="Times New Roman"/>
          <w:sz w:val="18"/>
          <w:szCs w:val="18"/>
          <w:color w:val="FF0000"/>
        </w:rPr>
        <w:t>.</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business model is characterized by high revenue retention rates and significant cash flow. We generate revenues primarily through our high-value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Maintenance services are generally provided under annually renewable contracts. Pricing in our software-enabled services businesses scales based on several factors which can include our clients’ assets under management, the complexity of asset classes managed, the number of accounts serviced, the volume of transactions, trading volume, medical claims and pharmacy claims volume and the level of service the client requires. We have experienced average revenue retention rates in each of the last five years of greater than 95% on our software-enabled services and maintenance and term licenses contracts for our core enterprise products. We believe the high value-added nature of our products and services has enabled us to maintain our high revenue retention rates.</w:t>
      </w:r>
    </w:p>
    <w:p>
      <w:pPr>
        <w:spacing w:after="0" w:line="18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generated revenues of $5,882.0 million for the year ended December 31, 2024 as compared to revenues of $5,502.8 million for the year ended December 31, 2023. In 2024, we generated 73% of our revenues from clients in North America and 27% from clients outside North America. Our revenues are highly diversified, with our largest client in 2024 accounting for less than 5% of our revenues. Additional financial information, including geographic information, is available in our Consolidated Financial Statements and Note 13 to our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serve a number of vertical markets within the financial services and healthcare industries. Our financial services clients include alternative investment funds, investment management firms, institutional and retail asset managers, insurance companies, registered investment advisors (“RIAs”), wealth managers, banks and brokerage firms. Our healthcare clients include individual and government sponsored health plans and healthcare providers. We believe financial services and healthcare providers will increasingly turn to IT solutions, provided by an independent vendor, as a result of economic challenges and heightened regulatory requirements. Financial services firms are in a search for more risk-averse business strategies, simplified regulatory compliance, and full service solutions provided by a single vendor. Healthcare providers are looking to improve their customers’ experience through better access to data and an enhanced user interface. As a result, we believe these industries will continue to invest in IT and outsourcing solutions.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Trends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demand for our products and services comes from a number of distinct sources: new formations in asset and wealth management and healthcare, new business lines and combinations of business lines at existing clients, replacement of legacy in-house operations and competitor systems and expansion of our existing client relationships. Underlying these demand drivers are several industry trends, including:</w:t>
      </w:r>
    </w:p>
    <w:p>
      <w:pPr>
        <w:spacing w:after="0" w:line="66" w:lineRule="exact"/>
        <w:rPr>
          <w:sz w:val="20"/>
          <w:szCs w:val="20"/>
          <w:color w:val="auto"/>
        </w:rPr>
      </w:pPr>
    </w:p>
    <w:p>
      <w:pPr>
        <w:ind w:left="440" w:right="100" w:hanging="380"/>
        <w:spacing w:after="0" w:line="258"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Diversification of business lines, product proliferation and complexity. </w:t>
      </w:r>
      <w:r>
        <w:rPr>
          <w:rFonts w:ascii="Times New Roman" w:cs="Times New Roman" w:eastAsia="Times New Roman" w:hAnsi="Times New Roman"/>
          <w:sz w:val="18"/>
          <w:szCs w:val="18"/>
          <w:color w:val="auto"/>
        </w:rPr>
        <w:t>As investment managers look to grow through diversified offerings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assets, real assets, and private equity) in global markets, they need their technology investments and servicing partners to be long-lived and deliver a return on their investment for different types of businesses models. Our scalable solutions empower client growth while diversifying their product offering. Our customers' business models and product offerings are becoming increasingly complex. We aim to simplify organizations and make continuous improvements to our systems to handle complexity.</w:t>
      </w:r>
    </w:p>
    <w:p>
      <w:pPr>
        <w:spacing w:after="0" w:line="75" w:lineRule="exact"/>
        <w:rPr>
          <w:rFonts w:ascii="Times New Roman" w:cs="Times New Roman" w:eastAsia="Times New Roman" w:hAnsi="Times New Roman"/>
          <w:sz w:val="18"/>
          <w:szCs w:val="18"/>
          <w:color w:val="auto"/>
        </w:rPr>
      </w:pPr>
    </w:p>
    <w:p>
      <w:pPr>
        <w:ind w:left="420" w:right="20" w:hanging="367"/>
        <w:spacing w:after="0" w:line="258"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changes. </w:t>
      </w:r>
      <w:r>
        <w:rPr>
          <w:rFonts w:ascii="Times New Roman" w:cs="Times New Roman" w:eastAsia="Times New Roman" w:hAnsi="Times New Roman"/>
          <w:sz w:val="18"/>
          <w:szCs w:val="18"/>
          <w:color w:val="auto"/>
        </w:rPr>
        <w:t>Our clients must comply with rules, regulations, directives and standards from governmental and self-regulating organizations.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clients rely on us to navigate new requirements and facilitate compliance in today’s dynamic and evolving regulatory environment. We are uniquely positioned in our ability to interpret regulations and impact to clients and to implement technology solutions. We expect regulatory changes to increase the complexity of compliance and the demand for our products and services and motivate clients to develop systems infrastructure and research management processes to comply with regulatory requirements.</w:t>
      </w:r>
    </w:p>
    <w:p>
      <w:pPr>
        <w:spacing w:after="0" w:line="75" w:lineRule="exact"/>
        <w:rPr>
          <w:rFonts w:ascii="Times New Roman" w:cs="Times New Roman" w:eastAsia="Times New Roman" w:hAnsi="Times New Roman"/>
          <w:sz w:val="18"/>
          <w:szCs w:val="18"/>
          <w:color w:val="auto"/>
        </w:rPr>
      </w:pPr>
    </w:p>
    <w:p>
      <w:pPr>
        <w:ind w:left="420" w:hanging="367"/>
        <w:spacing w:after="0" w:line="25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 on digital transformation</w:t>
      </w:r>
      <w:r>
        <w:rPr>
          <w:rFonts w:ascii="Times New Roman" w:cs="Times New Roman" w:eastAsia="Times New Roman" w:hAnsi="Times New Roman"/>
          <w:sz w:val="18"/>
          <w:szCs w:val="18"/>
          <w:color w:val="auto"/>
        </w:rPr>
        <w:t>. Evaluating the implications of new technologies is a challenge for our clients. By combining institutional-grade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with cutting-edge technology, we help apply the right solutions to help grow our client’s business more efficiently. Many of our clients face internal digital transformation projects or external threats from emerging tech disrupter competition. As a result, clients invest in new technology to help expand profit margins and offer new products. In addition, new technology incorporating artificial intelligence (“AI”), including machine learning, Robotic Process Automation (“RPA”), and Generative AI, is gaining traction in the financial technology industry. These next-generation tools will, including our acquisition of Blue Prism in 2022, increase efficiency and reduce errors without human intervention. Overall, we continue to see increasing migration to the cloud to achieve operational scalability and lower fixed costs.</w:t>
      </w:r>
    </w:p>
    <w:p>
      <w:pPr>
        <w:spacing w:after="0" w:line="74" w:lineRule="exact"/>
        <w:rPr>
          <w:rFonts w:ascii="Times New Roman" w:cs="Times New Roman" w:eastAsia="Times New Roman" w:hAnsi="Times New Roman"/>
          <w:sz w:val="18"/>
          <w:szCs w:val="18"/>
          <w:color w:val="auto"/>
        </w:rPr>
      </w:pPr>
    </w:p>
    <w:p>
      <w:pPr>
        <w:ind w:left="420" w:right="40" w:hanging="367"/>
        <w:spacing w:after="0" w:line="25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Increased demands for transparency, efficiency and risk management in financial services</w:t>
      </w:r>
      <w:r>
        <w:rPr>
          <w:rFonts w:ascii="Times New Roman" w:cs="Times New Roman" w:eastAsia="Times New Roman" w:hAnsi="Times New Roman"/>
          <w:sz w:val="18"/>
          <w:szCs w:val="18"/>
          <w:color w:val="auto"/>
        </w:rPr>
        <w:t>. Firms continue to focus on operational risk,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concerns regarding transparency and counterparty exposure. This continued focus has led investment management firms to strive to provide investment data accurately, institutionalize investment operations and automate their investment process. On the wealth management and advisory sides of our business, we have further evolved the relationship between the end client and a firm, with investors demanding transparency and a customized client experience. In addition, we expect wealth managers to become familiar with their clients’ preferences for account access and communication and cater to them. Finally, institutional and individual investors, faced with increasingly competitive low-fee and automated options, push investment managers for greater efficiencies and lower fees.</w:t>
      </w:r>
    </w:p>
    <w:p>
      <w:pPr>
        <w:spacing w:after="0" w:line="74" w:lineRule="exact"/>
        <w:rPr>
          <w:rFonts w:ascii="Times New Roman" w:cs="Times New Roman" w:eastAsia="Times New Roman" w:hAnsi="Times New Roman"/>
          <w:sz w:val="18"/>
          <w:szCs w:val="18"/>
          <w:color w:val="auto"/>
        </w:rPr>
      </w:pPr>
    </w:p>
    <w:p>
      <w:pPr>
        <w:ind w:left="440" w:right="60" w:hanging="380"/>
        <w:spacing w:after="0" w:line="261"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Accelerated adoption of outsourcing and cloud-based solutions. </w:t>
      </w:r>
      <w:r>
        <w:rPr>
          <w:rFonts w:ascii="Times New Roman" w:cs="Times New Roman" w:eastAsia="Times New Roman" w:hAnsi="Times New Roman"/>
          <w:sz w:val="18"/>
          <w:szCs w:val="18"/>
          <w:color w:val="auto"/>
        </w:rPr>
        <w:t>The financial services industry continues to seek more efficient and lower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models in order to achieve their cost savings and margin goals. SS&amp;C sees increased interest in third-party outsourcing and cloud-based solutions as a way for financial services companies to control costs, gain efficiency and decrease operational risk. SS&amp;C offers a holistic approach to outsourcing as a single partner with various end solutions.</w:t>
      </w:r>
    </w:p>
    <w:p>
      <w:pPr>
        <w:spacing w:after="0" w:line="71" w:lineRule="exact"/>
        <w:rPr>
          <w:rFonts w:ascii="Times New Roman" w:cs="Times New Roman" w:eastAsia="Times New Roman" w:hAnsi="Times New Roman"/>
          <w:sz w:val="18"/>
          <w:szCs w:val="18"/>
          <w:color w:val="auto"/>
        </w:rPr>
      </w:pPr>
    </w:p>
    <w:p>
      <w:pPr>
        <w:ind w:left="440" w:right="20" w:hanging="380"/>
        <w:spacing w:after="0" w:line="258"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Transformation of healthcare industry’s business model. </w:t>
      </w:r>
      <w:r>
        <w:rPr>
          <w:rFonts w:ascii="Times New Roman" w:cs="Times New Roman" w:eastAsia="Times New Roman" w:hAnsi="Times New Roman"/>
          <w:sz w:val="18"/>
          <w:szCs w:val="18"/>
          <w:color w:val="auto"/>
        </w:rPr>
        <w:t>The National Committee for Quality Assurance, Centers for Medicare &amp; Medicaid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state regulations around health equity resulted in a need for in-depth, whole-person population segmentation with the ability to include social determinants of health characteristics. New and more stringent guidelines are still evolving to satisfy quality ratings and protect revenue. Further changes to the healthcare industry come with the No Surprises Act, requiring cost sharing of unplanned out-of-network services, the Interoperability and Prior Authorization regulation, a CMS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 w:name="page6"/>
    <w:bookmarkEnd w:id="5"/>
    <w:p>
      <w:pPr>
        <w:ind w:left="440" w:right="240"/>
        <w:spacing w:after="0" w:line="266" w:lineRule="auto"/>
        <w:rPr>
          <w:sz w:val="20"/>
          <w:szCs w:val="20"/>
          <w:color w:val="auto"/>
        </w:rPr>
      </w:pPr>
      <w:r>
        <w:rPr>
          <w:rFonts w:ascii="Times New Roman" w:cs="Times New Roman" w:eastAsia="Times New Roman" w:hAnsi="Times New Roman"/>
          <w:sz w:val="18"/>
          <w:szCs w:val="18"/>
          <w:color w:val="auto"/>
        </w:rPr>
        <w:t>(“Centers for Medicare &amp; Medicaid Services”) requirement for digital data availability, and the Inflation Reduction Act, which gives the federal government control of drug pricing for (among others) high-spending brands. These changes enforce the need for streamlined technology which is flexible and scalable, accurate and reliable analytics, cybersecurity and consumer-directed access to electronic health information. Rapid transformation and market expectations have created an ongoing demand for industry expertise and outsourcing, presenting opportunities in the healthcare space.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are the core strengths we believe enable us to differentiate ourselves in the markets we serve: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Enhanced capability through software ownership.</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use our proprietary software products and infrastructure to provide software-enabled services, strengthening our overall operating margins and providing a competitive advantage. Our 2022 acquisition of Blue Prism enables us to deploy Blue Prism's Intelligent Automation Platform and other automation solutions to our clients and to leverage for internal use efficiencies. Because we primarily use our proprietary software to execute our software-enabled services and generally own and control our products’ source code, we can quickly enable continuous updates in a highly scalable, reliable and secure manner. This continuous feedback process provides us with a significant advantage over many of our competitors, specifically those software competitors that do not offer a comparable model and therefore do not have the same level of hands-on experience with their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industry leader with a strong market position focused on software and software-enabled services for financial services.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a global business providing a broad portfolio of software products and software-enabled services and have 110 offices worldwide. As of December 31, 2024, we had more than 23,000 development, service and support professionals with significant expertise across the industries we serve and deep working knowledge of our clients’ businesses. We provide highly flexible, scalable and cost-effective solutions which enable our financial services clients to track complex securities, better employ sophisticated investment strategies, scale efficiently and meet evolving regulatory requirements. Our products and services allow our clients to automate and integrate their front-office, middle-office and back-office functions, thus enabling straight-through processing in order to increase productivity and reduce costs. We believe our product and service offerings position us as a leader within the specific verticals of the financial services software and services market in which we compete.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Trusted provider to our highly diversified and growing client base.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By providing mission-critical, reliable software products and services for more than 35 years, we have developed a large and growing installed base within the financial services industry. Our clients include some of the largest and most well-recognized financial services firms. We believe our high-quality products and superior services have led to long-term client relationships, some of which date from our earliest days of operations. Our strong client relationships, coupled with the fact many of our current clients use our products for a relatively small portion of their total funds and investment vehicles under management, provide us with a significant opportunity to sell additional solutions to our existing clients and drive future revenue growth at a lower cost.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Largest independent alternative fund administration services provider and mutual fund transfer agent.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third-party service providers participating in the alternative investment market include fund managers, auditors, fund administrators, attorneys, custodians and prime brokers. Each provider performs a valuable function to provide transparency of the fund’s assets and the valuation of those assets. However, conflicts of interest may arise when the above parties offer more than one of these services. The industry is increasingly recognizing these conflicts and, as a result, seeking independent fund administrators such as SS&amp;C.</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SS&amp;C is currently the largest fund administrator for alternative investment managers, including hedge funds, private equity, real assets and fund of funds. We are the largest third-party mutual fund transfer agent. Through our Global Investor and Distribution Solutions (“GIDS”) business, we deliver global transfer agency and investor servicing powered by a single global servicing platform. Investor servicing is offered in many different countries, including the U.S., Canada, U.K., Ireland, Luxembourg, Australia, Hong Kong and Singapore. SS&amp;C also services mutual fund structures in many other fund domiciles. GIDS leverages SS&amp;C’s global regulatory expertise to provide a consistent global approach to regulatory compliance, enabling providers to reduce risk and improve client service. Our highly tenured staff of industry experts allow us to deliver consistent service excellence to the asset management customers we service. We are operating our proprietary software to provide these services, ensuring all aspects of our offering are optimized to deliver cost-effective, accurate solutions.</w:t>
      </w:r>
    </w:p>
    <w:p>
      <w:pPr>
        <w:spacing w:after="0" w:line="8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a publicly-traded company, our clients and prospects have access to our periodic filings with the SEC, giving them transparency into our overall financial strength.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Data center ownership and SS&amp;C private cloud.</w:t>
      </w:r>
    </w:p>
    <w:p>
      <w:pPr>
        <w:spacing w:after="0" w:line="229"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SS&amp;C owns and operates a global data center footprint to ensure high uptime and regional service delivery for our customers. Our facilities are strategically placed for regional customers and highly scalable. The SS&amp;C Private Cloud delivers our software with very high throughput. Our goal is to manage the infrastructure end-to-end and to limit third-party reliance outside of our control.</w:t>
      </w:r>
    </w:p>
    <w:p>
      <w:pPr>
        <w:spacing w:after="0" w:line="176"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auto"/>
        </w:rPr>
        <w:t>SS&amp;C also offers infrastructure and managed IT services through our data centers and private cloud. By handling end-to-end infrastructure management, we reduce reliance on external providers, enhance security, and maintain strict compliance standards. Our managed IT services include design, deployment, maintenance, and ongoing monitoring of clients’ technology stacks. The result is a robust, scalable, and resilient foundation which powers growth in financial services, healthcare, and beyond.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with strong integrating and operating track record.</w:t>
      </w:r>
    </w:p>
    <w:p>
      <w:pPr>
        <w:spacing w:after="0" w:line="121"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Our senior management team has a track record of operational excellence, an average of more than 20 years of experience in the financial services and healthcare industries and a proven ability to acquire and integrate complementary businesses, as demonstrated by the 67 businesses we have acquired since 1995. By leveraging our domain expertise and knowledge, we have developed, and continue to improve, our mission-critical software products and services to enable our clients to overcome the complexities inherent in their businesses. In addition, all of our senior executives are compensated based on our financial success.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strategy is to deliver compelling solutions and value propositions to our customers in the financial services and healthcare industries. The following are key elements to our strategy for achieving this objective: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 upon and extend our leadership position in software and software-enabled services in the financial services industry.</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Since our founding in 1986, we have focused on building substantial financial services domain expertise through close working relationships with our clients. We have developed a deep knowledge base enabling us to respond to our clients’ most complex financial, accounting, actuarial, tax and regulatory needs. We intend to maintain and enhance our technological leadership by using our domain expertise to build valuable new software-enabled services and solutions, investing in internal development and opportunistically acquiring products and services to address the highly specialized needs of the financial services industry.</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internal product development team works closely with marketing, sales and client service personnel to ensure product evolution reflects developments in the marketplace and trends in client requirements. In addition, we intend to continue to develop our products cost-effectively by leveraging common components across product families. As a result, we believe we enjoy a competitive advantage because we can address the needs of complex clients by providing industry-tested products and services, including cloud-based services and related mobility platforms that meet global market demands and enable our clients to automate and integrate functions for improved productivity, compliance, reduced manual intervention and bottom-line savings.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SS&amp;C’s products are sold to a diverse group of clients from niche players in the financial services and healthcare industries to the largest institutions in the world. Furthermore, we believe our client base represents a fraction of the total number of financial services providers globally. We believe we can grow our client base over time as our products become more widely adopted. We believe we also have an opportunity to capitalize on the increasing adoption of mission-critical outsourcing operations by financial services and healthcare providers as they continue to replace inadequate legacy solutions and custom in-house solutions which are inflexible and costly to maintain. We also believe we have an opportunity to expand our footprint within existing clients. We will continue to focus on cross-selling our products and bundling solutions. Our software-enabled services revenues increased from $4,273.9 million for the year ended December 31, 2022 to $4,840.3 million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 on longer-term secular growth trends in financial services and healthcare industries.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With our global footprint and best-in-class product offerings, we aim to capture a significant share of the IT spend of alternative asset, institutional and retail asset managers, wealth managers and the healthcare industry through leveraging the deeply embedded service offering we provide and outdistancing the competition. We expect regulatory changes to increase the complexity of compliance and the demand for our products and services and motivate clients to develop infrastructure and research management processes to mitigate regulatory exposure. We plan to benefit from the growing software spend in the increasingly complex and more highly regulated financial services and healthcare landscape.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to capitalize on acquisitions of complementary businesses and technologies.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intend to continue to employ a highly disciplined and focused acquisition strategy to broaden and enhance our product and service offerings, expand our intellectual property portfolio, add new clients and supplement our internal development efforts. We believe our acquisitions have been an extension of our research and development effort that has enabled us to purchase proven products and remove the uncertainties associated with software development projects. We will seek to opportunistically acquire, at reasonable valuations, businesses, products and technologies in our existing or complementary vertical markets that will enable us to better satisfy our clients’ rigorous and evolving needs. We have proven our ability to integrate complementary businesses as demonstrated by the 67 businesses we have acquired since 1995. Our experienced senior management team leads a rigorous evaluation of our targets to ensure they satisfy our product or service needs and will successfully integrate with our business while meeting our targeted financial goals. As a result, our acquisitions have contributed marketable products or services that have added to our revenues. Through the broad reach of our direct sales force and our large installed client base, we believe we can market these acquired products and services to a large number of prospective clients. Additionally, we have improved the operational performance and profitability of our acquired businesses, creating significant value for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 our international presence.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market opportunity to provide software and services to financial services providers outside North America. In the year ended December 31, 2024, we generated 27% of our revenues from clients outside North America. We are building our international operations to increase our sales outside North America. We plan to continue to expand our global market presence by leveraging our existing software products and software-enabled services. We also plan to leverage our growing presence in the Asia Pacific region due to recent acquisitions and large client wins. Over the last three years, revenue from the Asia Pacific region has increased 18.4% to $305.8 million. We believe this region presents a compelling growth opportunity.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profitability through margin expansion.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expect to drive increased margins by delivering innovative end-to-end solutions which provide significant value to customers and warrant premium pricing. We have significant scale with best-in-class solutions and software-enabled services across the delivery spectrum, which, we believe, combined with a diversified service offering and client base, drives stable revenues and increased operating leverage. In addition, our operating flexibility allows us to scale our costs based on client demands. We can also increase our margins by implementing more technology in our services business, including automating traditionally manual accounting functions and utilization of the Blue Prism intelligent automation platform.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Acquisitions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mentioned above, we intend to employ a highly disciplined and focused acquisition strategy. Our past acquisitions have enabled us to expand our product and service offerings into new markets or client bases within the financial services industry. New products and services have also enabled us to market other products and services to acquired client bases. In addition, we believe our acquisitions have been an extension of our research and development effort and have enabled us to add to our product and service offerings without incurring the uncertainties sometimes associated with software development projects.</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Since 1995, we have acquired 67 businesses. These acquisitions have contributed marketable products and services, which have increased our revenues and earnings. We have generally been able to improve our acquired businesses’ operating performance and profitability. We seek to reduce the costs of the acquired businesses by consolidating sales and marketing efforts and eliminating redundant administrative tasks and research and development expenses. In many cases, we have also increased revenues generated by acquired products and services by leveraging our existing products and services, larger sales capabilities and client base.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generally seek to acquire companies that satisfy our financial metrics, including expected return on investment. Through our acquisitions, we seek companies that:</w:t>
      </w:r>
    </w:p>
    <w:p>
      <w:pPr>
        <w:spacing w:after="0" w:line="54" w:lineRule="exact"/>
        <w:rPr>
          <w:sz w:val="20"/>
          <w:szCs w:val="20"/>
          <w:color w:val="auto"/>
        </w:rPr>
      </w:pPr>
    </w:p>
    <w:p>
      <w:pPr>
        <w:ind w:left="560" w:hanging="500"/>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complementary products or services in the financial services industries;</w:t>
      </w:r>
    </w:p>
    <w:p>
      <w:pPr>
        <w:spacing w:after="0" w:line="117" w:lineRule="exact"/>
        <w:rPr>
          <w:rFonts w:ascii="Times New Roman" w:cs="Times New Roman" w:eastAsia="Times New Roman" w:hAnsi="Times New Roman"/>
          <w:sz w:val="18"/>
          <w:szCs w:val="18"/>
          <w:color w:val="auto"/>
        </w:rPr>
      </w:pPr>
    </w:p>
    <w:p>
      <w:pPr>
        <w:ind w:left="560" w:hanging="500"/>
        <w:spacing w:after="0" w:line="282" w:lineRule="auto"/>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 proven technology and an established client base that will provide a source of ongoing revenue and to whom we may be able to sell existing products and services;</w:t>
      </w:r>
    </w:p>
    <w:p>
      <w:pPr>
        <w:spacing w:after="0" w:line="53" w:lineRule="exact"/>
        <w:rPr>
          <w:rFonts w:ascii="Times New Roman" w:cs="Times New Roman" w:eastAsia="Times New Roman" w:hAnsi="Times New Roman"/>
          <w:sz w:val="18"/>
          <w:szCs w:val="18"/>
          <w:color w:val="auto"/>
        </w:rPr>
      </w:pPr>
    </w:p>
    <w:p>
      <w:pPr>
        <w:ind w:left="560" w:hanging="500"/>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intellectual property portfolio to complement our business;</w:t>
      </w:r>
    </w:p>
    <w:p>
      <w:pPr>
        <w:spacing w:after="0" w:line="117" w:lineRule="exact"/>
        <w:rPr>
          <w:rFonts w:ascii="Times New Roman" w:cs="Times New Roman" w:eastAsia="Times New Roman" w:hAnsi="Times New Roman"/>
          <w:sz w:val="18"/>
          <w:szCs w:val="18"/>
          <w:color w:val="auto"/>
        </w:rPr>
      </w:pPr>
    </w:p>
    <w:p>
      <w:pPr>
        <w:ind w:left="560" w:hanging="500"/>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 highly specialized problem or a market niche in the financial services and healthcare industries;</w:t>
      </w:r>
    </w:p>
    <w:p>
      <w:pPr>
        <w:spacing w:after="0" w:line="117" w:lineRule="exact"/>
        <w:rPr>
          <w:rFonts w:ascii="Times New Roman" w:cs="Times New Roman" w:eastAsia="Times New Roman" w:hAnsi="Times New Roman"/>
          <w:sz w:val="18"/>
          <w:szCs w:val="18"/>
          <w:color w:val="auto"/>
        </w:rPr>
      </w:pPr>
    </w:p>
    <w:p>
      <w:pPr>
        <w:ind w:left="560" w:hanging="500"/>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reach into strategic geographic markets; and</w:t>
      </w:r>
    </w:p>
    <w:p>
      <w:pPr>
        <w:spacing w:after="0" w:line="117" w:lineRule="exact"/>
        <w:rPr>
          <w:rFonts w:ascii="Times New Roman" w:cs="Times New Roman" w:eastAsia="Times New Roman" w:hAnsi="Times New Roman"/>
          <w:sz w:val="18"/>
          <w:szCs w:val="18"/>
          <w:color w:val="auto"/>
        </w:rPr>
      </w:pPr>
    </w:p>
    <w:p>
      <w:pPr>
        <w:ind w:left="560" w:hanging="500"/>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solutions that lend themselves to being delivered as software-enabled services.</w:t>
      </w:r>
    </w:p>
    <w:p>
      <w:pPr>
        <w:spacing w:after="0" w:line="22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Based on our experience, we believe numerous solution providers address highly particularized financial services needs or provide specialized services that would meet our disciplined acquisition criteria.</w:t>
      </w:r>
    </w:p>
    <w:p>
      <w:pPr>
        <w:spacing w:after="0" w:line="160"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Acquisitions are discussed further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and in Note 8 to our Consolidated Financial Statements. The following table provides a list of the most substantial acquisitions we have made since 2010 (in millions):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3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24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Acquired Business</w:t>
            </w:r>
          </w:p>
        </w:tc>
        <w:tc>
          <w:tcPr>
            <w:tcW w:w="20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36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Acquired Capabilities, Products and Services</w:t>
            </w:r>
          </w:p>
        </w:tc>
        <w:tc>
          <w:tcPr>
            <w:tcW w:w="0" w:type="dxa"/>
            <w:vAlign w:val="bottom"/>
          </w:tcPr>
          <w:p>
            <w:pPr>
              <w:spacing w:after="0"/>
              <w:rPr>
                <w:sz w:val="1"/>
                <w:szCs w:val="1"/>
                <w:color w:val="auto"/>
              </w:rPr>
            </w:pPr>
          </w:p>
        </w:tc>
      </w:tr>
      <w:tr>
        <w:trPr>
          <w:trHeight w:val="173"/>
        </w:trPr>
        <w:tc>
          <w:tcPr>
            <w:tcW w:w="176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20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0</wp:posOffset>
            </wp:positionV>
            <wp:extent cx="34029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tbl>
      <w:tblPr>
        <w:tblLayout w:type="fixed"/>
        <w:tblInd w:w="0" w:type="dxa"/>
        <w:tblCellMar>
          <w:top w:w="0" w:type="dxa"/>
          <w:left w:w="0" w:type="dxa"/>
          <w:bottom w:w="0" w:type="dxa"/>
          <w:right w:w="0" w:type="dxa"/>
        </w:tblCellMar>
      </w:tblPr>
      <w:tr>
        <w:trPr>
          <w:trHeight w:val="191"/>
        </w:trPr>
        <w:tc>
          <w:tcPr>
            <w:tcW w:w="16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May 2012</w:t>
            </w:r>
          </w:p>
        </w:tc>
        <w:tc>
          <w:tcPr>
            <w:tcW w:w="120" w:type="dxa"/>
            <w:vAlign w:val="bottom"/>
          </w:tcPr>
          <w:p>
            <w:pPr>
              <w:spacing w:after="0"/>
              <w:rPr>
                <w:sz w:val="16"/>
                <w:szCs w:val="16"/>
                <w:color w:val="auto"/>
              </w:rPr>
            </w:pPr>
          </w:p>
        </w:tc>
        <w:tc>
          <w:tcPr>
            <w:tcW w:w="266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Thomson Reuters’ PORTIA</w:t>
            </w:r>
          </w:p>
        </w:tc>
        <w:tc>
          <w:tcPr>
            <w:tcW w:w="140" w:type="dxa"/>
            <w:vAlign w:val="bottom"/>
          </w:tcPr>
          <w:p>
            <w:pPr>
              <w:spacing w:after="0"/>
              <w:rPr>
                <w:sz w:val="16"/>
                <w:szCs w:val="16"/>
                <w:color w:val="auto"/>
              </w:rPr>
            </w:pPr>
          </w:p>
        </w:tc>
        <w:tc>
          <w:tcPr>
            <w:tcW w:w="340" w:type="dxa"/>
            <w:vAlign w:val="bottom"/>
            <w:tcBorders>
              <w:top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170.0</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2012</w:t>
            </w:r>
          </w:p>
        </w:tc>
        <w:tc>
          <w:tcPr>
            <w:tcW w:w="1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GlobeOp Financial Services S.A.</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r>
      <w:tr>
        <w:trPr>
          <w:trHeight w:val="41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2014</w:t>
            </w:r>
          </w:p>
        </w:tc>
        <w:tc>
          <w:tcPr>
            <w:tcW w:w="12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DST Global Solutions</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2015</w:t>
            </w:r>
          </w:p>
        </w:tc>
        <w:tc>
          <w:tcPr>
            <w:tcW w:w="1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Advent Software, Inc.</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2015</w:t>
            </w:r>
          </w:p>
        </w:tc>
        <w:tc>
          <w:tcPr>
            <w:tcW w:w="1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Primatics Financial</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41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2016</w:t>
            </w:r>
          </w:p>
        </w:tc>
        <w:tc>
          <w:tcPr>
            <w:tcW w:w="12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Citigroup's Alternative Investor</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2016</w:t>
            </w:r>
          </w:p>
        </w:tc>
        <w:tc>
          <w:tcPr>
            <w:tcW w:w="1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Wells Fargo's Global Funds Service</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432"/>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2016</w:t>
            </w:r>
          </w:p>
        </w:tc>
        <w:tc>
          <w:tcPr>
            <w:tcW w:w="12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Conifer Financial Services, LLC</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432"/>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2018</w:t>
            </w:r>
          </w:p>
        </w:tc>
        <w:tc>
          <w:tcPr>
            <w:tcW w:w="12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DST Systems, Inc.</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41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2018</w:t>
            </w:r>
          </w:p>
        </w:tc>
        <w:tc>
          <w:tcPr>
            <w:tcW w:w="12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Eze Software Group, LLC</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2018</w:t>
            </w:r>
          </w:p>
        </w:tc>
        <w:tc>
          <w:tcPr>
            <w:tcW w:w="1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Intralinks Holdings, Inc.</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630"/>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2019</w:t>
            </w:r>
          </w:p>
        </w:tc>
        <w:tc>
          <w:tcPr>
            <w:tcW w:w="12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Algorithmics</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2020</w:t>
            </w:r>
          </w:p>
        </w:tc>
        <w:tc>
          <w:tcPr>
            <w:tcW w:w="1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Innovest</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2022</w:t>
            </w:r>
          </w:p>
        </w:tc>
        <w:tc>
          <w:tcPr>
            <w:tcW w:w="1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Prism Group Plc</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1,645.0</w:t>
            </w:r>
          </w:p>
        </w:tc>
      </w:tr>
      <w:tr>
        <w:trPr>
          <w:trHeight w:val="432"/>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2022</w:t>
            </w:r>
          </w:p>
        </w:tc>
        <w:tc>
          <w:tcPr>
            <w:tcW w:w="12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Hubwise Holdings Limited</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432"/>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2024</w:t>
            </w:r>
          </w:p>
        </w:tc>
        <w:tc>
          <w:tcPr>
            <w:tcW w:w="12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Battea-Class Action Services, LLC</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80"/>
        <w:spacing w:after="0" w:line="258" w:lineRule="auto"/>
        <w:rPr>
          <w:sz w:val="20"/>
          <w:szCs w:val="20"/>
          <w:color w:val="auto"/>
        </w:rPr>
      </w:pPr>
      <w:r>
        <w:rPr>
          <w:rFonts w:ascii="Times New Roman" w:cs="Times New Roman" w:eastAsia="Times New Roman" w:hAnsi="Times New Roman"/>
          <w:sz w:val="18"/>
          <w:szCs w:val="18"/>
          <w:color w:val="auto"/>
        </w:rPr>
        <w:t>Added portfolio management software and outsourcing services for institutional managers</w:t>
      </w:r>
    </w:p>
    <w:p>
      <w:pPr>
        <w:ind w:right="400"/>
        <w:spacing w:after="0" w:line="250" w:lineRule="auto"/>
        <w:rPr>
          <w:sz w:val="20"/>
          <w:szCs w:val="20"/>
          <w:color w:val="auto"/>
        </w:rPr>
      </w:pPr>
      <w:r>
        <w:rPr>
          <w:rFonts w:ascii="Times New Roman" w:cs="Times New Roman" w:eastAsia="Times New Roman" w:hAnsi="Times New Roman"/>
          <w:sz w:val="18"/>
          <w:szCs w:val="18"/>
          <w:color w:val="auto"/>
        </w:rPr>
        <w:t>Expanded fund administration services in hedge fund and other asset management sectors</w:t>
      </w:r>
    </w:p>
    <w:p>
      <w:pPr>
        <w:spacing w:after="0" w:line="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Added investment management software and services Expanded global investment management software and services Added cloud-based integrated risk, compliance and finance solution for the banking industry</w:t>
      </w:r>
    </w:p>
    <w:p>
      <w:pPr>
        <w:spacing w:after="0" w:line="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Expanded fund administration services in hedge fund and private equity sectors</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Expanded fund administration services in hedge fund and private equity sectors</w:t>
      </w:r>
    </w:p>
    <w:p>
      <w:pPr>
        <w:spacing w:after="0" w:line="1"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Expanded fund administration services in hedge fund and other asset management sectors</w:t>
      </w:r>
    </w:p>
    <w:p>
      <w:pPr>
        <w:spacing w:after="0" w:line="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Provided additional scale and breadth across institutional and retail asset management, alternatives, wealth management, and healthcare sectors Strengthened SS&amp;C’s front to back-office technology</w:t>
      </w:r>
    </w:p>
    <w:p>
      <w:pPr>
        <w:spacing w:after="0" w:line="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Increased key account footprint and adds cloud-based virtual data rooms and secure collaboration solutions for SS&amp;C’s banking and alternative clients</w:t>
      </w:r>
    </w:p>
    <w:p>
      <w:pPr>
        <w:spacing w:after="0" w:line="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Added cloud-based risk analytics and additional regulatory solutions Added web-based trust accounting and unique asset servicing solutions Added deep expertise in intelligent automation and robotic process automation</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Enhanced SS&amp;C's capacity to help customers create highly automated and efficient multi-asset, multi-currency and multi-wrapper strategies Added expertise in in all stages of filing and processing settlement claims in connection with antitrust, securities litigation and settlement recovery services</w:t>
      </w:r>
    </w:p>
    <w:p>
      <w:pPr>
        <w:spacing w:after="0" w:line="200" w:lineRule="exact"/>
        <w:rPr>
          <w:sz w:val="20"/>
          <w:szCs w:val="20"/>
          <w:color w:val="auto"/>
        </w:rPr>
      </w:pPr>
    </w:p>
    <w:p>
      <w:pPr>
        <w:sectPr>
          <w:pgSz w:w="11900" w:h="16838" w:orient="portrait"/>
          <w:cols w:equalWidth="0" w:num="2">
            <w:col w:w="5660" w:space="240"/>
            <w:col w:w="5340"/>
          </w:cols>
          <w:pgMar w:left="320" w:top="1201" w:right="339"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products and services allow professionals in the financial services and healthcare industries to automate complex business processes and are instrumental in helping our clients manage significant information processing requirements. Our solutions enable our clients to focus on core operations, better monitor and manage business performance and risk, improve operating efficiency and reduce operating costs. Our portfolio of products and software-enabled services allows our financial services clients to automate and integrate front-office functions such as trading and modeling, middle-office functions such as portfolio management and reporting, and back-office functions such as accounting, performance measurement, reconciliation, reporting, processing and clearing, and compliance and tax reporting. Our healthcare solutions include claims adjudication, benefit management, care management and business intelligence solutions.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Software-enabled Services</w:t>
      </w:r>
    </w:p>
    <w:p>
      <w:pPr>
        <w:spacing w:after="0" w:line="225" w:lineRule="exact"/>
        <w:rPr>
          <w:sz w:val="20"/>
          <w:szCs w:val="20"/>
          <w:color w:val="auto"/>
        </w:rPr>
      </w:pPr>
    </w:p>
    <w:p>
      <w:pPr>
        <w:ind w:left="760" w:right="100" w:hanging="378"/>
        <w:spacing w:after="0" w:line="254"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SS&amp;C GlobeOp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Ranked “#1 Largest Administrator – All” based on Convergence’s 2024 Global Fund and AUA, and winner of “Best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Administrator – Relationship Management in Private Equity Administration” by Global Custodian’s 2024 Industry Leaders Awards, SS&amp;C GlobeOp serves worldwide clientele. Strategies include hedge funds, private equity funds, funds of funds, real asset funds, managed accounts, family office and undertakings for collective investments in transferable securities (“UCITS”), with more than $2.5 trillion in alternative assets under administration. SS&amp;C provides a full suite of comprehensive capabilities, including but not limited to: global regulatory compliance reporting, tax reporting, risk reporting, net asset value (“NAV”) calculations, valuation services, daily reconciliation of cash and security balances, full investor and transfer agency services and automated support of post-trade activities. In addition, SS&amp;C GlobeOp provides similar middle- and back-office outsourcing services and application hosting to institutional asset managers, insurance companies and real estate investment trusts. With our recent acquisition of Battea Class Action Services, SS&amp;C GlobeOp now offers securities class action claims and settlement recovery services to institutional investors.</w:t>
      </w:r>
    </w:p>
    <w:p>
      <w:pPr>
        <w:spacing w:after="0" w:line="185" w:lineRule="exact"/>
        <w:rPr>
          <w:rFonts w:ascii="Times New Roman" w:cs="Times New Roman" w:eastAsia="Times New Roman" w:hAnsi="Times New Roman"/>
          <w:sz w:val="18"/>
          <w:szCs w:val="18"/>
          <w:color w:val="auto"/>
        </w:rPr>
      </w:pPr>
    </w:p>
    <w:p>
      <w:pPr>
        <w:ind w:left="760" w:right="20" w:hanging="378"/>
        <w:spacing w:after="0" w:line="254"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Global Investor and Distribution Solutions (“GIDS”)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Utilizing proprietary software applications, GIDS delivers global transfer agency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 servicing powered by a single global servicing platform. The platform provides investors, advisers, and asset managers’ unique data-driven operational insights, real-time transparent oversight, intelligent automation and state-of-the-art digital tools. Investor servicing is offered in many different countries, including the U.S., Canada, U.K., Ireland, Luxembourg, Australia, Hong Kong and Singapore. SS&amp;C also services mutual fund structures in many other fund domiciles. In addition, GIDS leverages SS&amp;C’s global regulatory expertise to provide a consistent global approach to regulatory compliance, enabling providers to lower risk and improve client service. Services include anti-money laundering and fraud detection, blue sky administration and reporting, event center services, reconciliation, remittance, registered fund services and trade monitoring/surveillance. Bluedoor, SS&amp;C’s integrated registry system for UK and Australian wealth managers and fund platforms, delivers real-time automation and streamlined processes, enhancing efficiency and reducing costs. Integrated with intelligent business process management and digital applications, it facilitates effective customer engagement and product deployment flexibility.</w:t>
      </w:r>
    </w:p>
    <w:p>
      <w:pPr>
        <w:spacing w:after="0" w:line="185" w:lineRule="exact"/>
        <w:rPr>
          <w:rFonts w:ascii="Times New Roman" w:cs="Times New Roman" w:eastAsia="Times New Roman" w:hAnsi="Times New Roman"/>
          <w:sz w:val="18"/>
          <w:szCs w:val="18"/>
          <w:color w:val="auto"/>
        </w:rPr>
      </w:pPr>
    </w:p>
    <w:p>
      <w:pPr>
        <w:ind w:left="760" w:right="220" w:hanging="378"/>
        <w:spacing w:after="0" w:line="275"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SS&amp;C Retirement Solutions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SS&amp;C’s retirement solutions business provides technology, administration, and record-keeping processes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TRAC’s end-to-end digital platform. SS&amp;C supports organizations representing more than 12 million participants and approximately 400,000 plan sponsors. Our digital retirement solutions help financial services providers drive more efficient processes, move critical yet cumbersome procedures online, and implement a flexible platform for growth. Services include outsourced recordkeeping and call center operations, SaaS recordkeeping, rollover and income portability, retirement intelligence, advisor practice management, personalized education and financial wellness. The UK and Australian markets include pensions and actuarial services, superannuation and transfer value analysis.</w:t>
      </w:r>
    </w:p>
    <w:p>
      <w:pPr>
        <w:spacing w:after="0" w:line="168" w:lineRule="exact"/>
        <w:rPr>
          <w:rFonts w:ascii="Times New Roman" w:cs="Times New Roman" w:eastAsia="Times New Roman" w:hAnsi="Times New Roman"/>
          <w:sz w:val="17"/>
          <w:szCs w:val="17"/>
          <w:color w:val="auto"/>
        </w:rPr>
      </w:pPr>
    </w:p>
    <w:p>
      <w:pPr>
        <w:ind w:left="760" w:hanging="378"/>
        <w:spacing w:after="0" w:line="25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CRM Solutions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SS&amp;C offers multiple Customer Relationship Manager (“CRM”) capabilities that store end client data and seamlessly integrate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other offerings. Our CRM capabilities create efficient workflows for typical business processes and enhance processes for sales, service and analytics. SS&amp;C’s Salentica CRM is purpose-built for asset and wealth managers and built on top of the leading CRM platforms at Salesforce and Microsoft. SS&amp;C’s Tier1 supplies CRM capabilities to sell-side financial services firms, including research, trading, and sales teams within capital markets groups, and provides a deal management CRM experience to investment banks.</w:t>
      </w:r>
    </w:p>
    <w:p>
      <w:pPr>
        <w:spacing w:after="0" w:line="179" w:lineRule="exact"/>
        <w:rPr>
          <w:rFonts w:ascii="Times New Roman" w:cs="Times New Roman" w:eastAsia="Times New Roman" w:hAnsi="Times New Roman"/>
          <w:sz w:val="18"/>
          <w:szCs w:val="18"/>
          <w:color w:val="auto"/>
        </w:rPr>
      </w:pPr>
    </w:p>
    <w:p>
      <w:pPr>
        <w:ind w:left="760" w:right="400" w:hanging="378"/>
        <w:spacing w:after="0" w:line="26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Managed Services </w:t>
      </w:r>
      <w:r>
        <w:rPr>
          <w:rFonts w:ascii="Times New Roman" w:cs="Times New Roman" w:eastAsia="Times New Roman" w:hAnsi="Times New Roman"/>
          <w:sz w:val="18"/>
          <w:szCs w:val="18"/>
          <w:color w:val="auto"/>
        </w:rPr>
        <w:t>– Our Managed Services provides a full spectrum of tailored options to our clients’ specific needs, from cloud-delivered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to co-sourcing specific workflows to full outsourcing of operational processes including data management services such as full account aggregation, daily portfolio reconciliation, corporate actions processing and reference data management.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10" w:name="page11"/>
    <w:bookmarkEnd w:id="10"/>
    <w:p>
      <w:pPr>
        <w:ind w:left="760" w:right="260" w:hanging="378"/>
        <w:spacing w:after="0" w:line="28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Solutions </w:t>
      </w:r>
      <w:r>
        <w:rPr>
          <w:rFonts w:ascii="Times New Roman" w:cs="Times New Roman" w:eastAsia="Times New Roman" w:hAnsi="Times New Roman"/>
          <w:sz w:val="18"/>
          <w:szCs w:val="18"/>
          <w:color w:val="auto"/>
        </w:rPr>
        <w:t>– Data Solutions consists of a vast network supporting the automated delivery of custodial and other counterparty data,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data, loan data, corporate actions, and more.</w:t>
      </w:r>
    </w:p>
    <w:p>
      <w:pPr>
        <w:spacing w:after="0" w:line="47" w:lineRule="exact"/>
        <w:rPr>
          <w:sz w:val="20"/>
          <w:szCs w:val="20"/>
          <w:color w:val="auto"/>
        </w:rPr>
      </w:pPr>
    </w:p>
    <w:p>
      <w:pPr>
        <w:ind w:left="1500" w:hanging="369"/>
        <w:spacing w:after="0" w:line="268"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Advent Custodial Data </w:t>
      </w:r>
      <w:r>
        <w:rPr>
          <w:rFonts w:ascii="Times New Roman" w:cs="Times New Roman" w:eastAsia="Times New Roman" w:hAnsi="Times New Roman"/>
          <w:sz w:val="18"/>
          <w:szCs w:val="18"/>
          <w:color w:val="auto"/>
        </w:rPr>
        <w:t>provides account-level information from a firm’s custodian(s) through a single, secure connection to a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 managed by Advent. Using Custodial Data, firms can reconcile positions, transactions and cash activity on an exceptions-only basis, or firms can post data directly into their portfolio accounting system.</w:t>
      </w:r>
    </w:p>
    <w:p>
      <w:pPr>
        <w:spacing w:after="0" w:line="170" w:lineRule="exact"/>
        <w:rPr>
          <w:rFonts w:ascii="Times New Roman" w:cs="Times New Roman" w:eastAsia="Times New Roman" w:hAnsi="Times New Roman"/>
          <w:sz w:val="18"/>
          <w:szCs w:val="18"/>
          <w:color w:val="auto"/>
        </w:rPr>
      </w:pPr>
    </w:p>
    <w:p>
      <w:pPr>
        <w:ind w:left="760" w:right="40" w:hanging="378"/>
        <w:spacing w:after="0" w:line="254"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ALPS Advisors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ALPS Advisors is a comprehensive suite of asset servicing, distribution solutions and asset management for open-end mutual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funds, closed-end funds, exchange-traded funds and alternative investment funds. Focusing on the needs of small- to medium-sized funds that require a broad set of customizable services, we provide compliance, creative services, medallion distribution, fund administration, fund accounting, legal, tax administration, transfer agency and asset management services. Our distribution services range from consulting to active wholesaling and marketing, including closed-end funds initial public offering launch platform services. We also offer products designed to assist clients in meeting the expanding needs associated with distributing U.S. investment products through financial intermediaries. We serve as the asset manager to proprietary open-end mutual funds, closed-end funds and exchange-traded funds through active management and the utilization of sub-advisors and index providers. Additionally, we offer data analytics and consulting services in the U.S. to help our clients gain actionable insights into the needs and preferences of their customers.</w:t>
      </w:r>
    </w:p>
    <w:p>
      <w:pPr>
        <w:spacing w:after="0" w:line="188" w:lineRule="exact"/>
        <w:rPr>
          <w:rFonts w:ascii="Times New Roman" w:cs="Times New Roman" w:eastAsia="Times New Roman" w:hAnsi="Times New Roman"/>
          <w:sz w:val="18"/>
          <w:szCs w:val="18"/>
          <w:color w:val="auto"/>
        </w:rPr>
      </w:pPr>
    </w:p>
    <w:p>
      <w:pPr>
        <w:ind w:left="760" w:right="120" w:hanging="378"/>
        <w:spacing w:after="0" w:line="259"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Virtual Data Rooms (Intralinks)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Intralinks Virtual Data Rooms (“VDRs”), are designed for mergers and acquisitions (M&amp;A), alternative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and capital markets communities. The Intralinks VDR is a rich SaaS application providing a secure, customizable environment for deal makers to exchange sensitive documents and information. Within M&amp;A, the VDR is primarily used for sharing content during due diligence. For alternative investments, VDRs are used to facilitate fundraising and fund reporting. Customers working in debt capital markets use VDRs for managing the lifecycle of financing deals.</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Healthcare Services</w:t>
      </w:r>
    </w:p>
    <w:p>
      <w:pPr>
        <w:spacing w:after="0" w:line="117" w:lineRule="exact"/>
        <w:rPr>
          <w:sz w:val="20"/>
          <w:szCs w:val="20"/>
          <w:color w:val="auto"/>
        </w:rPr>
      </w:pPr>
    </w:p>
    <w:p>
      <w:pPr>
        <w:ind w:left="1540" w:right="200" w:hanging="514"/>
        <w:spacing w:after="0" w:line="262"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Pharmacy Solutions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use our proprietary software applications to provide pharmacy health management solutions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Medicaid and Medicare Part D plans. These services include pharmacy claims administration, pharmacy network solutions, government programs administration, formulary and rebate management, trend control and quality compliance programs, member services and discount drug card programs.</w:t>
      </w:r>
    </w:p>
    <w:p>
      <w:pPr>
        <w:spacing w:after="0" w:line="68" w:lineRule="exact"/>
        <w:rPr>
          <w:rFonts w:ascii="Times New Roman" w:cs="Times New Roman" w:eastAsia="Times New Roman" w:hAnsi="Times New Roman"/>
          <w:sz w:val="18"/>
          <w:szCs w:val="18"/>
          <w:color w:val="auto"/>
        </w:rPr>
      </w:pPr>
    </w:p>
    <w:p>
      <w:pPr>
        <w:ind w:left="2040" w:right="180" w:hanging="505"/>
        <w:spacing w:after="0" w:line="259" w:lineRule="auto"/>
        <w:tabs>
          <w:tab w:leader="none" w:pos="2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DomaniRx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Domani Rx, LLC, our joint venture with Humana and Elevance Health provides healthcare organizations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end-to-end transparency and data analytics to help them keep up with an ever-changing regulatory environment. This claims adjudication platform leverages SS&amp;C’s technology capabilities and resides on SS&amp;C’s private cloud. The outcome is a unified, cloud-native user experience featuring demonstrated scalability, resilience and best-in-class transactional processing capabilities.</w:t>
      </w:r>
    </w:p>
    <w:p>
      <w:pPr>
        <w:spacing w:after="0" w:line="287" w:lineRule="exact"/>
        <w:rPr>
          <w:rFonts w:ascii="Times New Roman" w:cs="Times New Roman" w:eastAsia="Times New Roman" w:hAnsi="Times New Roman"/>
          <w:sz w:val="18"/>
          <w:szCs w:val="18"/>
          <w:color w:val="auto"/>
        </w:rPr>
      </w:pPr>
    </w:p>
    <w:p>
      <w:pPr>
        <w:ind w:left="1540" w:right="120" w:hanging="514"/>
        <w:spacing w:after="0" w:line="262"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Healthcare Administration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proprietary software applications deliver medical claim administration services, health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and revenue integrity services for payers and providers in the domestic healthcare industry. Healthcare administration services are offered via software license, remote or business process outsourcing. Solutions are offered as stand-alone components to complement existing operations/systems or integrated into a core administration package.</w:t>
      </w:r>
    </w:p>
    <w:p>
      <w:pPr>
        <w:spacing w:after="0" w:line="284" w:lineRule="exact"/>
        <w:rPr>
          <w:rFonts w:ascii="Times New Roman" w:cs="Times New Roman" w:eastAsia="Times New Roman" w:hAnsi="Times New Roman"/>
          <w:sz w:val="18"/>
          <w:szCs w:val="18"/>
          <w:color w:val="auto"/>
        </w:rPr>
      </w:pPr>
    </w:p>
    <w:p>
      <w:pPr>
        <w:ind w:left="1540" w:right="60" w:hanging="514"/>
        <w:spacing w:after="0" w:line="256"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Healthcare Optimization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comprehensive care management, population health analytics applications and a customizable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portal to optimize client revenue. Our integrated care management solution comprises a real-time, intuitive, and workflow-driven suite supporting clients in enhancing member outcomes and effectively managing costs. We provide population health analytics via both a proprietary solution for certified HEDIS® measures and exclusive distribution of the Johns Hopkins ACG® System (Adjusted Clinical Groups) to health plans in the United States. Long recognized as a worldwide leader in population health analytics, the ACG System delivers actionable insights to address patient care needs, integrate SDoH (Social Determinants of Health) and measure Health Equity. Our platform-agnostic member portal enables 24/7 access to personalized benefit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license, maintenance and related</w:t>
      </w:r>
    </w:p>
    <w:p>
      <w:pPr>
        <w:spacing w:after="0" w:line="225" w:lineRule="exact"/>
        <w:rPr>
          <w:sz w:val="20"/>
          <w:szCs w:val="20"/>
          <w:color w:val="auto"/>
        </w:rPr>
      </w:pPr>
    </w:p>
    <w:p>
      <w:pPr>
        <w:ind w:left="5540" w:right="1400" w:hanging="5158"/>
        <w:spacing w:after="0" w:line="537" w:lineRule="auto"/>
        <w:tabs>
          <w:tab w:leader="none" w:pos="7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Portfolio/Investment Accounting and Analytics Software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comprehensive, integrated software solutions to help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1" w:name="page12"/>
    <w:bookmarkEnd w:id="11"/>
    <w:p>
      <w:pPr>
        <w:ind w:right="40"/>
        <w:spacing w:after="0" w:line="258" w:lineRule="auto"/>
        <w:rPr>
          <w:sz w:val="20"/>
          <w:szCs w:val="20"/>
          <w:color w:val="auto"/>
        </w:rPr>
      </w:pPr>
      <w:r>
        <w:rPr>
          <w:rFonts w:ascii="Times New Roman" w:cs="Times New Roman" w:eastAsia="Times New Roman" w:hAnsi="Times New Roman"/>
          <w:sz w:val="18"/>
          <w:szCs w:val="18"/>
          <w:color w:val="auto"/>
        </w:rPr>
        <w:t>our clients streamline operations and accelerate global accounting processes. Our portfolio accounting solutions provide seamless front-to-back-office integration, with the flexibility to meet the unique accounting needs of our customers and virtually unlimited scalability to accommodate growth. Our fund accounting solutions meet the challenges of high-volume, global fund managers with support for complex, multi-asset class and multi-currency strategies. We also have solutions catered to insurance accounting and commercial, consumer and residential loan accounting.</w:t>
      </w:r>
    </w:p>
    <w:p>
      <w:pPr>
        <w:spacing w:after="0" w:line="181" w:lineRule="exact"/>
        <w:rPr>
          <w:sz w:val="20"/>
          <w:szCs w:val="20"/>
          <w:color w:val="auto"/>
        </w:rPr>
      </w:pPr>
    </w:p>
    <w:p>
      <w:pPr>
        <w:ind w:left="740" w:right="160" w:hanging="369"/>
        <w:spacing w:after="0" w:line="257"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Black Diamond Wealth Platform – </w:t>
      </w:r>
      <w:r>
        <w:rPr>
          <w:rFonts w:ascii="Times New Roman" w:cs="Times New Roman" w:eastAsia="Times New Roman" w:hAnsi="Times New Roman"/>
          <w:sz w:val="18"/>
          <w:szCs w:val="18"/>
          <w:color w:val="auto"/>
        </w:rPr>
        <w:t>Black Diamond offers independent advisors, wealth managers, independent broker-dealers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(“IBDs”) and aggregators an innovative and dynamic portfolio management and reporting solution delivered through an easy-to-use, feature-rich web-based application. As a cloud-based product offering, advisors can access Black Diamond's customizable portfolio management and reporting online from anywhere, anytime without the need to maintain costly technology infrastructures. Black Diamond also provides outsourced daily reconciliation and data management services so firms can focus their efforts on servicing clients and growing their business rather than managing complex back-office functions.</w:t>
      </w:r>
    </w:p>
    <w:p>
      <w:pPr>
        <w:spacing w:after="0" w:line="182" w:lineRule="exact"/>
        <w:rPr>
          <w:rFonts w:ascii="Times New Roman" w:cs="Times New Roman" w:eastAsia="Times New Roman" w:hAnsi="Times New Roman"/>
          <w:sz w:val="18"/>
          <w:szCs w:val="18"/>
          <w:color w:val="auto"/>
        </w:rPr>
      </w:pPr>
    </w:p>
    <w:p>
      <w:pPr>
        <w:ind w:left="740" w:right="20" w:hanging="369"/>
        <w:spacing w:after="0" w:line="257"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Geneva – </w:t>
      </w:r>
      <w:r>
        <w:rPr>
          <w:rFonts w:ascii="Times New Roman" w:cs="Times New Roman" w:eastAsia="Times New Roman" w:hAnsi="Times New Roman"/>
          <w:sz w:val="18"/>
          <w:szCs w:val="18"/>
          <w:color w:val="auto"/>
        </w:rPr>
        <w:t>Geneva is a global portfolio management platform designed to meet the real-time needs of global asset managers,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prime brokers, fund administrators, private equity firms and family offices worldwide. Geneva integrates all phases of the investment management process – portfolio management, reconciliation, light trade capture and risk capabilities. In addition, its “main memory” database offers more accurate and flexible reporting and eliminates batch processing and time-consuming error corrections. As a result, Geneva enables firms to grow into new markets, deliver greater operational efficiencies, enhance investor service, process high trade volumes across multiple securities, improve compliance and security and lower operating costs and risks.</w:t>
      </w:r>
    </w:p>
    <w:p>
      <w:pPr>
        <w:spacing w:after="0" w:line="182" w:lineRule="exact"/>
        <w:rPr>
          <w:rFonts w:ascii="Times New Roman" w:cs="Times New Roman" w:eastAsia="Times New Roman" w:hAnsi="Times New Roman"/>
          <w:sz w:val="18"/>
          <w:szCs w:val="18"/>
          <w:color w:val="auto"/>
        </w:rPr>
      </w:pPr>
    </w:p>
    <w:p>
      <w:pPr>
        <w:ind w:left="740" w:right="240" w:hanging="369"/>
        <w:spacing w:after="0" w:line="277" w:lineRule="auto"/>
        <w:tabs>
          <w:tab w:leader="none" w:pos="7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Advent Portfolio Exchange – </w:t>
      </w:r>
      <w:r>
        <w:rPr>
          <w:rFonts w:ascii="Times New Roman" w:cs="Times New Roman" w:eastAsia="Times New Roman" w:hAnsi="Times New Roman"/>
          <w:sz w:val="17"/>
          <w:szCs w:val="17"/>
          <w:color w:val="auto"/>
        </w:rPr>
        <w:t>Advent Portfolio Exchange (“APX”) is a comprehensive portfolio management solution for asset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managers and wealth managers worldwide, which integrates the front-office functions of prospecting, marketing, CRM and internal business management with the back-office operations of portfolio accounting, performance measurement and reporting. It allows firms to manage high-net-worth and institutional clients through a comprehensive range of capabilities, including customized reporting, automated report packaging and performance analytics. APX can be deployed locally as well as hosted in the cloud.</w:t>
      </w:r>
    </w:p>
    <w:p>
      <w:pPr>
        <w:spacing w:after="0" w:line="167" w:lineRule="exact"/>
        <w:rPr>
          <w:rFonts w:ascii="Times New Roman" w:cs="Times New Roman" w:eastAsia="Times New Roman" w:hAnsi="Times New Roman"/>
          <w:sz w:val="17"/>
          <w:szCs w:val="17"/>
          <w:color w:val="auto"/>
        </w:rPr>
      </w:pPr>
    </w:p>
    <w:p>
      <w:pPr>
        <w:ind w:left="740" w:right="160" w:hanging="369"/>
        <w:spacing w:after="0" w:line="261"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SS&amp;C Singularity – </w:t>
      </w:r>
      <w:r>
        <w:rPr>
          <w:rFonts w:ascii="Times New Roman" w:cs="Times New Roman" w:eastAsia="Times New Roman" w:hAnsi="Times New Roman"/>
          <w:sz w:val="18"/>
          <w:szCs w:val="18"/>
          <w:color w:val="auto"/>
        </w:rPr>
        <w:t>Our first intelligent investment operations, accounting and analytics system – a cloud-based solution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the operating model of financial institutions. Singularity uses artificial intelligence, machine learning, robotic process automation, intelligent workflow optimization and advanced predictive analytics to drive significant cost savings and continuous operational improvements for our clients.</w:t>
      </w:r>
    </w:p>
    <w:p>
      <w:pPr>
        <w:spacing w:after="0" w:line="179" w:lineRule="exact"/>
        <w:rPr>
          <w:rFonts w:ascii="Times New Roman" w:cs="Times New Roman" w:eastAsia="Times New Roman" w:hAnsi="Times New Roman"/>
          <w:sz w:val="18"/>
          <w:szCs w:val="18"/>
          <w:color w:val="auto"/>
        </w:rPr>
      </w:pPr>
    </w:p>
    <w:p>
      <w:pPr>
        <w:ind w:left="740" w:right="120" w:hanging="369"/>
        <w:spacing w:after="0" w:line="258"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Wealth Platform (“GWP”) – </w:t>
      </w:r>
      <w:r>
        <w:rPr>
          <w:rFonts w:ascii="Times New Roman" w:cs="Times New Roman" w:eastAsia="Times New Roman" w:hAnsi="Times New Roman"/>
          <w:sz w:val="18"/>
          <w:szCs w:val="18"/>
          <w:color w:val="auto"/>
        </w:rPr>
        <w:t>GWP is our comprehensive, cloud-based solution that enables wealth managers to manage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entire investment process on a single platform, leveraging a single database. GWP bridges the front-, middle-, and back-offices and ensures data consistency across all phases of the investment process. This solution simplifies the management of complex investment strategies with the support of all asset classes and multi-currency capabilities in one system. In addition, automation and integration eliminate offline workarounds and manual processes.</w:t>
      </w:r>
    </w:p>
    <w:p>
      <w:pPr>
        <w:spacing w:after="0" w:line="183" w:lineRule="exact"/>
        <w:rPr>
          <w:rFonts w:ascii="Times New Roman" w:cs="Times New Roman" w:eastAsia="Times New Roman" w:hAnsi="Times New Roman"/>
          <w:sz w:val="18"/>
          <w:szCs w:val="18"/>
          <w:color w:val="auto"/>
        </w:rPr>
      </w:pPr>
    </w:p>
    <w:p>
      <w:pPr>
        <w:ind w:left="740" w:right="140" w:hanging="369"/>
        <w:spacing w:after="0" w:line="261"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HiPortfolio </w:t>
      </w:r>
      <w:r>
        <w:rPr>
          <w:rFonts w:ascii="Times New Roman" w:cs="Times New Roman" w:eastAsia="Times New Roman" w:hAnsi="Times New Roman"/>
          <w:sz w:val="18"/>
          <w:szCs w:val="18"/>
          <w:color w:val="auto"/>
        </w:rPr>
        <w:t>– HiPortfolio is an investment accounting and asset servicing solution for third-party administrators, asset managers,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firms in more than 35 countries. With broad instrument coverage and multi-currency capabilities, HiPortfolio allows our clients to manage the full transaction lifecycle, from trade capture, investment accounting and fund administration, through cash management, reconciliation, corporate actions processing, unit pricing and taxation, to performance measurement and attribution.</w:t>
      </w:r>
    </w:p>
    <w:p>
      <w:pPr>
        <w:spacing w:after="0" w:line="179" w:lineRule="exact"/>
        <w:rPr>
          <w:rFonts w:ascii="Times New Roman" w:cs="Times New Roman" w:eastAsia="Times New Roman" w:hAnsi="Times New Roman"/>
          <w:sz w:val="18"/>
          <w:szCs w:val="18"/>
          <w:color w:val="auto"/>
        </w:rPr>
      </w:pPr>
    </w:p>
    <w:p>
      <w:pPr>
        <w:ind w:left="740" w:hanging="369"/>
        <w:spacing w:after="0" w:line="261"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InnoTrust – </w:t>
      </w:r>
      <w:r>
        <w:rPr>
          <w:rFonts w:ascii="Times New Roman" w:cs="Times New Roman" w:eastAsia="Times New Roman" w:hAnsi="Times New Roman"/>
          <w:sz w:val="18"/>
          <w:szCs w:val="18"/>
          <w:color w:val="auto"/>
        </w:rPr>
        <w:t>InnoTrust supports the accounting and reporting needs of trust companies, banks, private banks, retirement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administrators, and others that need to control, account for and report on assets held in trust, wealth and retirement accounts. InnoTrust is web services/API enabled and provides a full suite of portfolio management tools including rebalancing, trade blotters, trade order management and integrated performance reporting.</w:t>
      </w:r>
    </w:p>
    <w:p>
      <w:pPr>
        <w:spacing w:after="0" w:line="71" w:lineRule="exact"/>
        <w:rPr>
          <w:rFonts w:ascii="Times New Roman" w:cs="Times New Roman" w:eastAsia="Times New Roman" w:hAnsi="Times New Roman"/>
          <w:sz w:val="18"/>
          <w:szCs w:val="18"/>
          <w:color w:val="auto"/>
        </w:rPr>
      </w:pPr>
    </w:p>
    <w:p>
      <w:pPr>
        <w:ind w:left="740" w:right="220" w:hanging="369"/>
        <w:spacing w:after="0" w:line="26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Genesis – </w:t>
      </w:r>
      <w:r>
        <w:rPr>
          <w:rFonts w:ascii="Times New Roman" w:cs="Times New Roman" w:eastAsia="Times New Roman" w:hAnsi="Times New Roman"/>
          <w:sz w:val="18"/>
          <w:szCs w:val="18"/>
          <w:color w:val="auto"/>
        </w:rPr>
        <w:t>Genesis is an all-new investment operations platform that provides extensive asset class and functional support across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front-, middle-, and back-office. Built natively for the cloud with advanced technology, Genesis features an innovative user experience, actionable monitors, notifications and alerts infused with AI. Smart, innovative technologies matched with deep functionality streamlines clients’ businesses and provides users with critical business intelligence via machine learning, workflow engine and KPI and system health monitoring</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758825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201" w:right="359" w:bottom="1440" w:gutter="0" w:footer="0" w:header="0"/>
        </w:sectPr>
      </w:pPr>
    </w:p>
    <w:bookmarkStart w:id="12" w:name="page13"/>
    <w:bookmarkEnd w:id="12"/>
    <w:p>
      <w:pPr>
        <w:ind w:left="380" w:hanging="378"/>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Portfolio Management Software</w:t>
      </w:r>
    </w:p>
    <w:p>
      <w:pPr>
        <w:spacing w:after="0" w:line="227" w:lineRule="exact"/>
        <w:rPr>
          <w:sz w:val="20"/>
          <w:szCs w:val="20"/>
          <w:color w:val="auto"/>
        </w:rPr>
      </w:pPr>
    </w:p>
    <w:p>
      <w:pPr>
        <w:ind w:left="1120" w:right="400" w:hanging="369"/>
        <w:spacing w:after="0" w:line="261"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and Performance Attribution (Sylvan) – </w:t>
      </w:r>
      <w:r>
        <w:rPr>
          <w:rFonts w:ascii="Times New Roman" w:cs="Times New Roman" w:eastAsia="Times New Roman" w:hAnsi="Times New Roman"/>
          <w:sz w:val="18"/>
          <w:szCs w:val="18"/>
          <w:color w:val="auto"/>
        </w:rPr>
        <w:t>SS&amp;C’s performance measurement, attribution and composite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streamline the calculation and reporting of performance while enabling our clients to analyze the sources of return. It supports multiple attribution methodologies, customized benchmarking and composite management. We provide full support for industry-mandated Global Investment Performance Standards (“GIPS”) performance reporting standards.</w:t>
      </w:r>
    </w:p>
    <w:p>
      <w:pPr>
        <w:spacing w:after="0" w:line="179" w:lineRule="exact"/>
        <w:rPr>
          <w:rFonts w:ascii="Times New Roman" w:cs="Times New Roman" w:eastAsia="Times New Roman" w:hAnsi="Times New Roman"/>
          <w:sz w:val="18"/>
          <w:szCs w:val="18"/>
          <w:color w:val="auto"/>
        </w:rPr>
      </w:pPr>
    </w:p>
    <w:p>
      <w:pPr>
        <w:ind w:left="1120" w:right="220" w:hanging="369"/>
        <w:spacing w:after="0" w:line="261"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Reporting (Vision FI) – </w:t>
      </w:r>
      <w:r>
        <w:rPr>
          <w:rFonts w:ascii="Times New Roman" w:cs="Times New Roman" w:eastAsia="Times New Roman" w:hAnsi="Times New Roman"/>
          <w:sz w:val="18"/>
          <w:szCs w:val="18"/>
          <w:color w:val="auto"/>
        </w:rPr>
        <w:t>SS&amp;C Vision FI (Financial Insights) is a comprehensive, end-to-end solution for designing, producing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distributing client communications. It enables financial organizations to create high-quality reports in a matter of minutes. In addition, the system enables our customers to deliver information to clients through their preferred channels, whether print, email or online through a customizable portal.</w:t>
      </w:r>
    </w:p>
    <w:p>
      <w:pPr>
        <w:spacing w:after="0" w:line="179" w:lineRule="exact"/>
        <w:rPr>
          <w:rFonts w:ascii="Times New Roman" w:cs="Times New Roman" w:eastAsia="Times New Roman" w:hAnsi="Times New Roman"/>
          <w:sz w:val="18"/>
          <w:szCs w:val="18"/>
          <w:color w:val="auto"/>
        </w:rPr>
      </w:pPr>
    </w:p>
    <w:p>
      <w:pPr>
        <w:ind w:left="1120" w:right="60" w:hanging="369"/>
        <w:spacing w:after="0" w:line="261"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Reconciliation (Recon) </w:t>
      </w:r>
      <w:r>
        <w:rPr>
          <w:rFonts w:ascii="Times New Roman" w:cs="Times New Roman" w:eastAsia="Times New Roman" w:hAnsi="Times New Roman"/>
          <w:sz w:val="18"/>
          <w:szCs w:val="18"/>
          <w:color w:val="auto"/>
        </w:rPr>
        <w:t>– SS&amp;C’s Recon is a highly scalable reconciliation and exception management system that give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control over the accounting lifecycle, including account, cash and position reconciliations. With data translation, rules-based matching and superior investigative tools, our Recon solution streamlines operational efficiency delivering full visibility into cash, holdings, transactions, trial balances and security masters.</w:t>
      </w:r>
    </w:p>
    <w:p>
      <w:pPr>
        <w:spacing w:after="0" w:line="17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Trading Software</w:t>
      </w:r>
    </w:p>
    <w:p>
      <w:pPr>
        <w:spacing w:after="0" w:line="227" w:lineRule="exact"/>
        <w:rPr>
          <w:rFonts w:ascii="Times New Roman" w:cs="Times New Roman" w:eastAsia="Times New Roman" w:hAnsi="Times New Roman"/>
          <w:sz w:val="18"/>
          <w:szCs w:val="18"/>
          <w:color w:val="auto"/>
        </w:rPr>
      </w:pPr>
    </w:p>
    <w:p>
      <w:pPr>
        <w:ind w:left="1120" w:right="500" w:hanging="369"/>
        <w:spacing w:after="0" w:line="261"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Order Management (Moxy, Eze OMS) – </w:t>
      </w:r>
      <w:r>
        <w:rPr>
          <w:rFonts w:ascii="Times New Roman" w:cs="Times New Roman" w:eastAsia="Times New Roman" w:hAnsi="Times New Roman"/>
          <w:sz w:val="18"/>
          <w:szCs w:val="18"/>
          <w:color w:val="auto"/>
        </w:rPr>
        <w:t>SS&amp;C’s trade order management systems provide centralized platforms for making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trade order decisions quickly and confidently. The platforms have built-in connectivity between asset managers and multiple brokers, counterparties, custodians and trading venues, giving our clients control and visibility across the entire trading process, from asset allocation to settlement.</w:t>
      </w:r>
    </w:p>
    <w:p>
      <w:pPr>
        <w:spacing w:after="0" w:line="179" w:lineRule="exact"/>
        <w:rPr>
          <w:rFonts w:ascii="Times New Roman" w:cs="Times New Roman" w:eastAsia="Times New Roman" w:hAnsi="Times New Roman"/>
          <w:sz w:val="18"/>
          <w:szCs w:val="18"/>
          <w:color w:val="auto"/>
        </w:rPr>
      </w:pPr>
    </w:p>
    <w:p>
      <w:pPr>
        <w:ind w:left="1120" w:right="20" w:hanging="369"/>
        <w:spacing w:after="0" w:line="261"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Execution Management (Eze EMS) – </w:t>
      </w:r>
      <w:r>
        <w:rPr>
          <w:rFonts w:ascii="Times New Roman" w:cs="Times New Roman" w:eastAsia="Times New Roman" w:hAnsi="Times New Roman"/>
          <w:sz w:val="18"/>
          <w:szCs w:val="18"/>
          <w:color w:val="auto"/>
        </w:rPr>
        <w:t>SS&amp;C’s multi-broker execution management system is a high-speed cloud-based platform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traders with centralized access to aggregated liquidity for trade execution, critical trading data and insight for making fast and informed decisions, and the tools necessary to dynamically manage positions, portfolios and trading risk across global equity, futures and options markets</w:t>
      </w:r>
      <w:r>
        <w:rPr>
          <w:rFonts w:ascii="Times New Roman" w:cs="Times New Roman" w:eastAsia="Times New Roman" w:hAnsi="Times New Roman"/>
          <w:sz w:val="18"/>
          <w:szCs w:val="18"/>
          <w:i w:val="1"/>
          <w:iCs w:val="1"/>
          <w:color w:val="auto"/>
        </w:rPr>
        <w:t>.</w:t>
      </w:r>
    </w:p>
    <w:p>
      <w:pPr>
        <w:spacing w:after="0" w:line="179" w:lineRule="exact"/>
        <w:rPr>
          <w:rFonts w:ascii="Times New Roman" w:cs="Times New Roman" w:eastAsia="Times New Roman" w:hAnsi="Times New Roman"/>
          <w:sz w:val="18"/>
          <w:szCs w:val="18"/>
          <w:color w:val="auto"/>
        </w:rPr>
      </w:pPr>
    </w:p>
    <w:p>
      <w:pPr>
        <w:ind w:left="1120" w:right="80" w:hanging="369"/>
        <w:spacing w:after="0" w:line="261"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Eze Eclipse – </w:t>
      </w:r>
      <w:r>
        <w:rPr>
          <w:rFonts w:ascii="Times New Roman" w:cs="Times New Roman" w:eastAsia="Times New Roman" w:hAnsi="Times New Roman"/>
          <w:sz w:val="18"/>
          <w:szCs w:val="18"/>
          <w:color w:val="auto"/>
        </w:rPr>
        <w:t>Eze Eclipse is a cloud-native front-to-back investment management platform, designed to streamline trading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optimize efficiency and minimize the total cost of ownership for investment managers. Eze Eclipse allows our clients to trade efficiently with optimized order routing, pre-defined allocation schemes, on-the-fly allocation tools and critical data summaries effortlessly reconcile positions, cash and transactions to third parties.</w:t>
      </w:r>
    </w:p>
    <w:p>
      <w:pPr>
        <w:spacing w:after="0" w:line="177" w:lineRule="exact"/>
        <w:rPr>
          <w:rFonts w:ascii="Times New Roman" w:cs="Times New Roman" w:eastAsia="Times New Roman" w:hAnsi="Times New Roman"/>
          <w:sz w:val="18"/>
          <w:szCs w:val="18"/>
          <w:color w:val="auto"/>
        </w:rPr>
      </w:pPr>
    </w:p>
    <w:p>
      <w:pPr>
        <w:ind w:left="1120" w:hanging="369"/>
        <w:spacing w:after="0" w:line="268"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FIXLink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FIX messaging community that provides access to a network of brokers and trading platforms. It's designed to help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participants connect with other parties quickly and efficiently. It is one of the largest and most robust FIX networks in the industry, with market participants in more than 80 countries.</w:t>
      </w:r>
    </w:p>
    <w:p>
      <w:pPr>
        <w:spacing w:after="0" w:line="170"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Automation Solutions</w:t>
      </w:r>
    </w:p>
    <w:p>
      <w:pPr>
        <w:spacing w:after="0" w:line="227" w:lineRule="exact"/>
        <w:rPr>
          <w:rFonts w:ascii="Times New Roman" w:cs="Times New Roman" w:eastAsia="Times New Roman" w:hAnsi="Times New Roman"/>
          <w:sz w:val="18"/>
          <w:szCs w:val="18"/>
          <w:color w:val="auto"/>
        </w:rPr>
      </w:pPr>
    </w:p>
    <w:p>
      <w:pPr>
        <w:ind w:left="1120" w:hanging="369"/>
        <w:spacing w:after="0" w:line="256"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Prism – </w:t>
      </w:r>
      <w:r>
        <w:rPr>
          <w:rFonts w:ascii="Times New Roman" w:cs="Times New Roman" w:eastAsia="Times New Roman" w:hAnsi="Times New Roman"/>
          <w:sz w:val="18"/>
          <w:szCs w:val="18"/>
          <w:color w:val="auto"/>
        </w:rPr>
        <w:t>Blue Prism's Intelligent Automation Platform (“IAP”) combines the power of AI and machine learning to deliver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workers that take away the mundane tasks human workers are overloaded with, empowering them to focus on the profit-driving initiatives only people can do. SS&amp;C Blue Prism customers gain </w:t>
      </w:r>
      <w:r>
        <w:rPr>
          <w:rFonts w:ascii="Times New Roman" w:cs="Times New Roman" w:eastAsia="Times New Roman" w:hAnsi="Times New Roman"/>
          <w:sz w:val="18"/>
          <w:szCs w:val="18"/>
          <w:color w:val="17171E"/>
        </w:rPr>
        <w:t>instant access to an already AI-equipped digital workforce, along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7171E"/>
        </w:rPr>
        <w:t xml:space="preserve">with the capabilities needed to build, delegate, and control automations. Blue Prism's </w:t>
      </w:r>
      <w:r>
        <w:rPr>
          <w:rFonts w:ascii="Times New Roman" w:cs="Times New Roman" w:eastAsia="Times New Roman" w:hAnsi="Times New Roman"/>
          <w:sz w:val="18"/>
          <w:szCs w:val="18"/>
          <w:color w:val="000000"/>
        </w:rPr>
        <w:t>IAP provides everything our clients need to serve</w:t>
      </w:r>
      <w:r>
        <w:rPr>
          <w:rFonts w:ascii="Times New Roman" w:cs="Times New Roman" w:eastAsia="Times New Roman" w:hAnsi="Times New Roman"/>
          <w:sz w:val="18"/>
          <w:szCs w:val="18"/>
          <w:color w:val="17171E"/>
        </w:rPr>
        <w:t xml:space="preserve"> </w:t>
      </w:r>
      <w:r>
        <w:rPr>
          <w:rFonts w:ascii="Times New Roman" w:cs="Times New Roman" w:eastAsia="Times New Roman" w:hAnsi="Times New Roman"/>
          <w:sz w:val="18"/>
          <w:szCs w:val="18"/>
          <w:color w:val="000000"/>
        </w:rPr>
        <w:t>their customers in today's demanding world with a secure, stable and compliant environment that propels digital transformation. The SS&amp;C Blue Prism team supports this process through automation specialists, pre-built automations, training and certification, and our customer support.</w:t>
      </w:r>
    </w:p>
    <w:p>
      <w:pPr>
        <w:spacing w:after="0" w:line="182" w:lineRule="exact"/>
        <w:rPr>
          <w:rFonts w:ascii="Times New Roman" w:cs="Times New Roman" w:eastAsia="Times New Roman" w:hAnsi="Times New Roman"/>
          <w:sz w:val="18"/>
          <w:szCs w:val="18"/>
          <w:color w:val="auto"/>
        </w:rPr>
      </w:pPr>
    </w:p>
    <w:p>
      <w:pPr>
        <w:ind w:left="1120" w:right="40" w:hanging="369"/>
        <w:spacing w:after="0" w:line="258" w:lineRule="auto"/>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SS&amp;C Chorus – </w:t>
      </w:r>
      <w:r>
        <w:rPr>
          <w:rFonts w:ascii="Times New Roman" w:cs="Times New Roman" w:eastAsia="Times New Roman" w:hAnsi="Times New Roman"/>
          <w:sz w:val="18"/>
          <w:szCs w:val="18"/>
          <w:color w:val="auto"/>
        </w:rPr>
        <w:t>Chorus is our digital process automation product suite, encompassing intelligent automation, business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content management, case management, outbound communications and a low code development platform. Chorus is deployed globally in many industries, including asset management, life insurance, variable annuities, healthcare, property and casualty insurance, banking and wealth management. The value proposition combines the core software with our global professional services organization and secure private cloud application hosting.</w:t>
      </w:r>
    </w:p>
    <w:p>
      <w:pPr>
        <w:spacing w:after="0" w:line="18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758825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97" w:right="339" w:bottom="1440" w:gutter="0" w:footer="0" w:header="0"/>
        </w:sectPr>
      </w:pPr>
    </w:p>
    <w:bookmarkStart w:id="13" w:name="page14"/>
    <w:bookmarkEnd w:id="13"/>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Banking and Lending Solutions</w:t>
      </w:r>
    </w:p>
    <w:p>
      <w:pPr>
        <w:spacing w:after="0" w:line="227" w:lineRule="exact"/>
        <w:rPr>
          <w:sz w:val="20"/>
          <w:szCs w:val="20"/>
          <w:color w:val="auto"/>
        </w:rPr>
      </w:pPr>
    </w:p>
    <w:p>
      <w:pPr>
        <w:ind w:left="1500" w:right="540" w:hanging="369"/>
        <w:spacing w:after="0" w:line="267" w:lineRule="auto"/>
        <w:tabs>
          <w:tab w:leader="none" w:pos="15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EVOLV – </w:t>
      </w:r>
      <w:r>
        <w:rPr>
          <w:rFonts w:ascii="Times New Roman" w:cs="Times New Roman" w:eastAsia="Times New Roman" w:hAnsi="Times New Roman"/>
          <w:sz w:val="18"/>
          <w:szCs w:val="18"/>
          <w:color w:val="auto"/>
        </w:rPr>
        <w:t>EVOLV is a comprehensive, cloud-based, end-to-end accounting solution for financial institutions that integrates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automates all risk and finance processes relating to a loan portfolio, from data capture to back-end reporting and analytics. It streamlines loan accounting, increases efficiency, assures data integrity and strengthens compliance.</w:t>
      </w:r>
    </w:p>
    <w:p>
      <w:pPr>
        <w:spacing w:after="0" w:line="173" w:lineRule="exact"/>
        <w:rPr>
          <w:rFonts w:ascii="Times New Roman" w:cs="Times New Roman" w:eastAsia="Times New Roman" w:hAnsi="Times New Roman"/>
          <w:sz w:val="18"/>
          <w:szCs w:val="18"/>
          <w:color w:val="auto"/>
        </w:rPr>
      </w:pPr>
    </w:p>
    <w:p>
      <w:pPr>
        <w:ind w:left="1500" w:right="120" w:hanging="369"/>
        <w:spacing w:after="0" w:line="267" w:lineRule="auto"/>
        <w:tabs>
          <w:tab w:leader="none" w:pos="15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Precision LM – </w:t>
      </w:r>
      <w:r>
        <w:rPr>
          <w:rFonts w:ascii="Times New Roman" w:cs="Times New Roman" w:eastAsia="Times New Roman" w:hAnsi="Times New Roman"/>
          <w:sz w:val="18"/>
          <w:szCs w:val="18"/>
          <w:color w:val="auto"/>
        </w:rPr>
        <w:t>Precision LM is a single database application that provides comprehensive commercial loan management from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to final disposition. Precision LM manages all aspects of our clients’ loan process, including pre-qualifying loan requests, processing applications, commitment processing, loan disposition, servicing and accounting.</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Research, Analytics, Risk and Training</w:t>
      </w:r>
    </w:p>
    <w:p>
      <w:pPr>
        <w:spacing w:after="0" w:line="227" w:lineRule="exact"/>
        <w:rPr>
          <w:rFonts w:ascii="Times New Roman" w:cs="Times New Roman" w:eastAsia="Times New Roman" w:hAnsi="Times New Roman"/>
          <w:sz w:val="18"/>
          <w:szCs w:val="18"/>
          <w:color w:val="auto"/>
        </w:rPr>
      </w:pPr>
    </w:p>
    <w:p>
      <w:pPr>
        <w:jc w:val="both"/>
        <w:ind w:left="1500" w:right="280" w:hanging="369"/>
        <w:spacing w:after="0" w:line="267" w:lineRule="auto"/>
        <w:tabs>
          <w:tab w:leader="none" w:pos="15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Algorithmics – </w:t>
      </w:r>
      <w:r>
        <w:rPr>
          <w:rFonts w:ascii="Times New Roman" w:cs="Times New Roman" w:eastAsia="Times New Roman" w:hAnsi="Times New Roman"/>
          <w:sz w:val="18"/>
          <w:szCs w:val="18"/>
          <w:color w:val="auto"/>
        </w:rPr>
        <w:t>Algorithmics’ cloud-based solutions deliver risk analytics to address the impact of business and regulatory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solutions, including counterparty credit risk, financial risk APIs, risk for insurance and workspace analyzer, along with others, address market, credit and liquidity risk and capital management.</w:t>
      </w:r>
    </w:p>
    <w:p>
      <w:pPr>
        <w:spacing w:after="0" w:line="173" w:lineRule="exact"/>
        <w:rPr>
          <w:rFonts w:ascii="Times New Roman" w:cs="Times New Roman" w:eastAsia="Times New Roman" w:hAnsi="Times New Roman"/>
          <w:sz w:val="18"/>
          <w:szCs w:val="18"/>
          <w:color w:val="auto"/>
        </w:rPr>
      </w:pPr>
    </w:p>
    <w:p>
      <w:pPr>
        <w:ind w:left="1500" w:right="60" w:hanging="369"/>
        <w:spacing w:after="0" w:line="267" w:lineRule="auto"/>
        <w:tabs>
          <w:tab w:leader="none" w:pos="15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Tamale RMS – </w:t>
      </w:r>
      <w:r>
        <w:rPr>
          <w:rFonts w:ascii="Times New Roman" w:cs="Times New Roman" w:eastAsia="Times New Roman" w:hAnsi="Times New Roman"/>
          <w:sz w:val="18"/>
          <w:szCs w:val="18"/>
          <w:color w:val="auto"/>
        </w:rPr>
        <w:t>Tamale RMS is a purpose-built research management solution, enabling investment analysts and portfolio managers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 an escalating volume of research data and apply it more effectively in due diligence. It is a centralized repository for capturing, managing and sharing every piece of research received or created.</w:t>
      </w:r>
    </w:p>
    <w:p>
      <w:pPr>
        <w:spacing w:after="0" w:line="173" w:lineRule="exact"/>
        <w:rPr>
          <w:rFonts w:ascii="Times New Roman" w:cs="Times New Roman" w:eastAsia="Times New Roman" w:hAnsi="Times New Roman"/>
          <w:sz w:val="18"/>
          <w:szCs w:val="18"/>
          <w:color w:val="auto"/>
        </w:rPr>
      </w:pPr>
    </w:p>
    <w:p>
      <w:pPr>
        <w:ind w:left="1500" w:right="80" w:hanging="369"/>
        <w:spacing w:after="0" w:line="261" w:lineRule="auto"/>
        <w:tabs>
          <w:tab w:leader="none" w:pos="15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Analytics and Consulting – </w:t>
      </w:r>
      <w:r>
        <w:rPr>
          <w:rFonts w:ascii="Times New Roman" w:cs="Times New Roman" w:eastAsia="Times New Roman" w:hAnsi="Times New Roman"/>
          <w:sz w:val="18"/>
          <w:szCs w:val="18"/>
          <w:color w:val="auto"/>
        </w:rPr>
        <w:t>SS&amp;C’s Research, Analytics and Consulting (“RAC”) group helps leading companies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services industry manage data, gain insight and ignite change in their business. Through effective use of advanced analytics, research and distribution intelligence technologies, SS&amp;C RAC enables businesses to better understand, predict and optimize key business factors impacting their asset growth and profitability.</w:t>
      </w:r>
    </w:p>
    <w:p>
      <w:pPr>
        <w:spacing w:after="0" w:line="179" w:lineRule="exact"/>
        <w:rPr>
          <w:rFonts w:ascii="Times New Roman" w:cs="Times New Roman" w:eastAsia="Times New Roman" w:hAnsi="Times New Roman"/>
          <w:sz w:val="18"/>
          <w:szCs w:val="18"/>
          <w:color w:val="auto"/>
        </w:rPr>
      </w:pPr>
    </w:p>
    <w:p>
      <w:pPr>
        <w:ind w:left="1500" w:hanging="369"/>
        <w:spacing w:after="0" w:line="258" w:lineRule="auto"/>
        <w:tabs>
          <w:tab w:leader="none" w:pos="15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Learning Institute – </w:t>
      </w:r>
      <w:r>
        <w:rPr>
          <w:rFonts w:ascii="Times New Roman" w:cs="Times New Roman" w:eastAsia="Times New Roman" w:hAnsi="Times New Roman"/>
          <w:sz w:val="18"/>
          <w:szCs w:val="18"/>
          <w:color w:val="auto"/>
        </w:rPr>
        <w:t>The SS&amp;C Learning Institute is an education, training and research organization dedicated to enriching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professionals and those seeking careers in financial services. Our digital library, instructor-led classes and blended programs are used by many of the world’s leading wealth management firms, investment banks, insurance companies, hedge funds, commercial banks and other asset management companies. In addition, the SS&amp;C Learning Institute offers customized learning paths to enhance the business and finance programs of colleges and universities.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offer a range of professional services to assist clients. Professional services consist of consulting and implementation services, including the initial installation of systems, conversion of historical data and ongoing training and support. In addition, our in-house consulting teams work closely with the client to ensure the smooth transition and operation of our systems. Our consulting teams have a broad range of experience in the financial services industry. They include certified public accountants, chartered financial analysts, mathematicians and IT professionals from the asset management, real estate, investment, insurance, hedge fund, municipal finance, banking and healthcare industries. We believe our commitment to professional services facilitates the adoption of our software products across our target markets. For the year ended December 31, 2024, revenues from professional services represented 2% of total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support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believe a close and active service and support relationship is vital to enhancing client satisfaction and furnishes an essential source of information regarding evolving client issues. We provide our larger clients with a dedicated client support team whose primary responsibility is to answer questions and provide solutions to address ongoing needs. Direct telephone support is provided during extended business hours and additional hours are available during peak periods. We distribute content-rich, periodic blogs and thought leadership targeted at clients and prospects in each of our vertical and geographic markets. We supplement our service and support activities with comprehensive training. Training options include regularly hosted classroom and online instruction, </w:t>
      </w:r>
      <w:r>
        <w:rPr>
          <w:rFonts w:ascii="Times New Roman" w:cs="Times New Roman" w:eastAsia="Times New Roman" w:hAnsi="Times New Roman"/>
          <w:sz w:val="18"/>
          <w:szCs w:val="18"/>
          <w:i w:val="1"/>
          <w:iCs w:val="1"/>
          <w:color w:val="auto"/>
        </w:rPr>
        <w:t>SS&amp;C Learning Institute</w:t>
      </w:r>
      <w:r>
        <w:rPr>
          <w:rFonts w:ascii="Times New Roman" w:cs="Times New Roman" w:eastAsia="Times New Roman" w:hAnsi="Times New Roman"/>
          <w:sz w:val="18"/>
          <w:szCs w:val="18"/>
          <w:color w:val="auto"/>
        </w:rPr>
        <w:t>, and online client seminars, or “webinars,” that address current, often technical, issues in the financial services and healthcare industries.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periodically make maintenance releases of licensed software available to our clients, as well as regulatory updates (generally during the fourth quarter, on a when and if available basis), to meet industry reporting obligations and other processing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global financial services and healthcare clients require a full range of information management and analysis on a timely and flexible basis. Our financial services clients include multinational banks, retail banks and credit unions, hedge funds, private equity funds, funds of funds and family offices, institutional and retail asset managers, insurance companies and pension funds, municipal finance groups, brokers/dealers, financial exchanges, commercial lenders, real estate lenders and property managers. Our healthcare clients include health insurance companies, health plans and benefits administrators. Our clients include many of the largest and most well-recognized financial services and healthcare firms. During the year ended December 31, 2024, our top 10 clients represented approximately 15% of total revenues, with no single client accounting for more than 5% of total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believe a direct sales organization is essential in successfully implementing our business strategy. The personnel in our sales organization understand the complexity and importance of the operations and information managed by our products and the regulatory and reporting requirements of each industry. Our dedicated direct sales and support personnel are located in offices worldwide and regularly undergo product and sales training. Our marketing team has extensive experience in the financial services and healthcare industries. They identify market trends and create targeted programs to engage our prospects and further develop our client relationships. This approach minimizes costs, accelerates lead generation, delivers up-to-date market insights, and ensures measurable marketing impact.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and Engineering</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seek to introduce new products and regularly offer product innovation to maintain our competitive advantage. We use multidisciplinary teams of highly trained personnel to meet these goals and leverage this expertise across all product lines. We have invested heavily in developing a comprehensive product analysis process to ensure a high degree of product functionality and quality. Maintaining and improving the integrity, quality and functionality of existing products is the responsibility of individual product managers. Product engineering management efforts focus on enterprise-wide strategies, implementing best-practice technology regimens, maximizing resources and mapping out an integration plan for our entire umbrella of products as well as third-party products. For the years ended December 31, 2024, 2023 and 2022, our research and development expenses were $517.7 million, $473.8 million and $447.3 million, respectively. In addition, we have made significant investments in intellectual property through our acquisitions and software development. For the years ended December 31, 2024, 2023 and 2022, we spent $194.3 million, $194.9 million and $144.9 million, respectively, on capitalized software projects.</w:t>
      </w:r>
    </w:p>
    <w:p>
      <w:pPr>
        <w:spacing w:after="0" w:line="18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engineers work closely with our marketing and support personnel to ensure that product evolution reflects developments in the marketplace and trends in client requirements. We have generally issued a major release of our core products during the second or third quarter of each fiscal year, including both functional and technical enhancements.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 market for the software and services we provide is competitive, rapidly evolving and highly sensitive to new product introductions and marketing efforts by industry participants, although high conversion costs can create barriers to adoption of new products or technologies. The market is fragmented and served by both large-scale firms with broad offerings as well as firms that target only local markets or specific types of clients. We also face competition from information systems developed and serviced internally by the IT departments of large financial services and healthcare firms. We believe that we generally compete effectively as to the factors identified for each market below, although some of our existing competitors and potential competitors have substantially greater financial, technical, distribution and marketing resources than we have and may offer products with different functions or features that are more attractive to potential customers than our offerings.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Hedge Funds and Private Markets: </w:t>
      </w:r>
      <w:r>
        <w:rPr>
          <w:rFonts w:ascii="Times New Roman" w:cs="Times New Roman" w:eastAsia="Times New Roman" w:hAnsi="Times New Roman"/>
          <w:sz w:val="18"/>
          <w:szCs w:val="18"/>
          <w:color w:val="auto"/>
        </w:rPr>
        <w:t>In hedge funds and private markets, we compete with multiple vendors that may be categorized into two groups</w:t>
      </w:r>
    </w:p>
    <w:p>
      <w:pPr>
        <w:spacing w:after="0" w:line="29" w:lineRule="exact"/>
        <w:rPr>
          <w:sz w:val="20"/>
          <w:szCs w:val="20"/>
          <w:color w:val="auto"/>
        </w:rPr>
      </w:pPr>
    </w:p>
    <w:p>
      <w:pPr>
        <w:ind w:right="60" w:firstLine="8"/>
        <w:spacing w:after="0" w:line="253" w:lineRule="auto"/>
        <w:tabs>
          <w:tab w:leader="none" w:pos="1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consists of independent specialized administration providers, which are generally smaller than us, and the second includes prime brokerage and other financial services firms offering fund administration services. Major competitors in this market include large custodian banks, such as State Street, BNY Mellon, Northern Trust and CITCO Group. The key competitive factors in marketing software and services to the alternative investment industry are the need for independent fund administration, features and adaptability of the software, level and quality of customer support and onboarding, level of software development expertise and total cost of ownership. Our strengths in this market include our expertise, our independence, our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transparency, our ability to deliver functionality by multiple methods and our technology, including the ownership of our own software.</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field of hedge fund and private market investor portal technology</w:t>
      </w:r>
      <w:r>
        <w:rPr>
          <w:rFonts w:ascii="Times New Roman" w:cs="Times New Roman" w:eastAsia="Times New Roman" w:hAnsi="Times New Roman"/>
          <w:sz w:val="18"/>
          <w:szCs w:val="18"/>
          <w:color w:val="212121"/>
        </w:rPr>
        <w:t>, we compete with point solutions providers, as well as full-suite providers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alternative investments software solutions, such as eFront, a Blackrock Company, and Allvue Systems. Key competitive factors in this market include platform functionality, interoperability with clients’ existing systems, levels of customer support, and reach within the alternative investments community. Our strengths in this market include our technology, portfolio of complementary solutions, offerings for fund administration, professional services capabilities, customer support and large existing user-base of alternative investments professionals.</w:t>
      </w:r>
    </w:p>
    <w:p>
      <w:pPr>
        <w:spacing w:after="0" w:line="1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Asset Management: </w:t>
      </w:r>
      <w:r>
        <w:rPr>
          <w:rFonts w:ascii="Times New Roman" w:cs="Times New Roman" w:eastAsia="Times New Roman" w:hAnsi="Times New Roman"/>
          <w:sz w:val="18"/>
          <w:szCs w:val="18"/>
          <w:color w:val="auto"/>
        </w:rPr>
        <w:t>In our asset management market, we compete with a variety of other vendors depending on client characteristics such as size,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location, computing environment and functionality requirements. Competitors in this market range from larger providers of integrated portfolio management systems and outsourcing services, such as BNY Mellon Financial and State Street, to smaller providers of specialized applications and technologies, such as SimCorp and Empower. We also compete with internal processing and IT departments of our clients and prospective clients. The key competitive factors in marketing asset management solutions are the reliability, accuracy, timeliness and reporting of processed information to internal and external customers, features and adaptability of the software, level and quality of customer support, level of software development expertise and return on investment. Our strengths in this market include our technology, our ability to deliver functionality by multiple delivery methods and our ability to provide cost-effective solutions for clients.</w:t>
      </w:r>
    </w:p>
    <w:p>
      <w:pPr>
        <w:spacing w:after="0" w:line="185"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Healthcare: </w:t>
      </w:r>
      <w:r>
        <w:rPr>
          <w:rFonts w:ascii="Times New Roman" w:cs="Times New Roman" w:eastAsia="Times New Roman" w:hAnsi="Times New Roman"/>
          <w:sz w:val="18"/>
          <w:szCs w:val="18"/>
          <w:color w:val="auto"/>
        </w:rPr>
        <w:t>In our healthcare markets, we compete with providers of pharmacy and medical claims processing, benefit management,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business process outsourcing, business intelligence and analytics. We compete with other third-party vendors such as Evernorth Express Scripts/Cigna, CVS Caremark, UnitedHealth/OptumRx and companies that perform their services in-house with licensed or internally developed systems and processes. SS&amp;C Health is not integrated, owned, controlled or merged with any specific health plan. This structure allows us to demonstrate we do not have business model or channel conflicts that drive membership to a particular channel (such as retail, mail or specialty pharmacies), nor do we compete with our health plan clients. Our independent model enables us to be a client’s strategic partner versus a potential competitor. Our competitors’ healthcare administration and health outcomes optimization solutions are primarily based on complete replacement of a payer’s core system. With a component-based approach, health payer clients can choose core application replacement, or adopt component applications to address areas that offer the most opportunity for improvement, with minimal disruption to business operations.</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In our insurance market, we compete with a variety of vendors depending on client characteristics such as size, type, location, computing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 and functionality requirements. Competitors in this market range from large providers of investment operations, accounting and analytics systems, such as State Street (Princeton Financial Systems), Clearwater Analytics and FIS, to smaller providers of specialized applications and services. We also compete with outsourcers, as well as the internal processing and IT departments of our clients and prospective clients. The key competitive factors in marketing insurance systems are the accuracy, timeliness and reporting of processed information provided to internal and external clients, features and adaptability of the software, level and quality of customer support, economies of scale and return on investment. Our strengths in this market include our years of experience, our top-tier clients, our ability to provide solutions by multiple delivery methods, our cost-effective and customizable solutions and our expertise.</w:t>
      </w:r>
    </w:p>
    <w:p>
      <w:pPr>
        <w:spacing w:after="0" w:line="185" w:lineRule="exact"/>
        <w:rPr>
          <w:sz w:val="20"/>
          <w:szCs w:val="20"/>
          <w:color w:val="auto"/>
        </w:rPr>
      </w:pPr>
    </w:p>
    <w:p>
      <w:pPr>
        <w:jc w:val="both"/>
        <w:ind w:right="80"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Wealth Management: </w:t>
      </w:r>
      <w:r>
        <w:rPr>
          <w:rFonts w:ascii="Times New Roman" w:cs="Times New Roman" w:eastAsia="Times New Roman" w:hAnsi="Times New Roman"/>
          <w:sz w:val="17"/>
          <w:szCs w:val="17"/>
          <w:color w:val="auto"/>
        </w:rPr>
        <w:t>We define the advisory market as independent and regional broker-dealers, wealth managers, trust companies, advisory firms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registered investment advisers. We compete with a variety of vendors, which are generally smaller firms focused solely on the advisory market. Our competitors include Envestnet, Orion, Addepar, SEI’s wealth management platform and custodians such as Charles Schwab, Fidelity and Raymond James. Our strengths in this market include our premier platforms with flexible and on-demand delivery models and our complementary products and services.</w:t>
      </w:r>
    </w:p>
    <w:p>
      <w:pPr>
        <w:spacing w:after="0" w:line="16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Banking: </w:t>
      </w:r>
      <w:r>
        <w:rPr>
          <w:rFonts w:ascii="Times New Roman" w:cs="Times New Roman" w:eastAsia="Times New Roman" w:hAnsi="Times New Roman"/>
          <w:sz w:val="18"/>
          <w:szCs w:val="18"/>
          <w:color w:val="auto"/>
        </w:rPr>
        <w:t>In our banking market, there are multiple software and services vendors that are either smaller providers of specialized applications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or larger providers of enterprise systems, such as FIS and Misys. We also compete with outsourcers as well as the internal processing and IT departments of our clients and prospective clients. The key competitive factors in marketing banking software and services include accuracy and timeliness of processed information provided to clients, features and adaptability of the software, level and quality of customer support, level of software development expertise, total cost of ownership and return on investment. Our strengths in this market include our flexible technology platform and our ability to provide integrated solutions for our clients.</w:t>
      </w:r>
    </w:p>
    <w:p>
      <w:pPr>
        <w:spacing w:after="0" w:line="182"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Retirement: </w:t>
      </w:r>
      <w:r>
        <w:rPr>
          <w:rFonts w:ascii="Times New Roman" w:cs="Times New Roman" w:eastAsia="Times New Roman" w:hAnsi="Times New Roman"/>
          <w:sz w:val="18"/>
          <w:szCs w:val="18"/>
          <w:color w:val="auto"/>
        </w:rPr>
        <w:t>In our retirement solutions market, we compete with a variety of vendors and service providers depending on client characteristics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size, type and functional requirements. Competitors in this market range from large firms whose principal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line="261" w:lineRule="auto"/>
        <w:rPr>
          <w:sz w:val="20"/>
          <w:szCs w:val="20"/>
          <w:color w:val="auto"/>
        </w:rPr>
      </w:pPr>
      <w:r>
        <w:rPr>
          <w:rFonts w:ascii="Times New Roman" w:cs="Times New Roman" w:eastAsia="Times New Roman" w:hAnsi="Times New Roman"/>
          <w:sz w:val="18"/>
          <w:szCs w:val="18"/>
          <w:color w:val="auto"/>
        </w:rPr>
        <w:t>businesses include providing recordkeeping services, such as Empower, Fidelity and Vanguard, to providers of specialized applications and technologies, such as FIS. We also compete with outsource providers like Infosys, TCS and Wipro. The key competitive factors in marketing retirement solutions include service and the accuracy of information provided to customers. Our strengths in this market include our ability to provide a wide breadth of capability and our cost-effective solutions to our clients.</w:t>
      </w:r>
    </w:p>
    <w:p>
      <w:pPr>
        <w:spacing w:after="0" w:line="178"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 Lending: </w:t>
      </w:r>
      <w:r>
        <w:rPr>
          <w:rFonts w:ascii="Times New Roman" w:cs="Times New Roman" w:eastAsia="Times New Roman" w:hAnsi="Times New Roman"/>
          <w:sz w:val="18"/>
          <w:szCs w:val="18"/>
          <w:color w:val="auto"/>
        </w:rPr>
        <w:t>In our commercial lending market, we compete with a variety of other vendors depending on client characteristics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size, type, location and functional requirements. Competitors in this market range from large competitors whose principal businesses are not in the loan management business, such as PNC Financial Services (Midland Loan Services) and McCracken Financial Solutions Corporation, to smaller providers of specialized applications and technologies. The key competitive factors in marketing commercial lending solutions are the accuracy, timeliness and reporting of processed information provided to customers, level of software development expertise, level and quality of customer support and features and adaptability of the software. Our strength in this market is our ability to provide both broadly diversified and customizable solutions to our clients.</w:t>
      </w:r>
    </w:p>
    <w:p>
      <w:pPr>
        <w:spacing w:after="0" w:line="1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Virtual Data Rooms: </w:t>
      </w:r>
      <w:r>
        <w:rPr>
          <w:rFonts w:ascii="Times New Roman" w:cs="Times New Roman" w:eastAsia="Times New Roman" w:hAnsi="Times New Roman"/>
          <w:sz w:val="18"/>
          <w:szCs w:val="18"/>
          <w:color w:val="auto"/>
        </w:rPr>
        <w:t>In our VDRs market</w:t>
      </w:r>
      <w:r>
        <w:rPr>
          <w:rFonts w:ascii="Times New Roman" w:cs="Times New Roman" w:eastAsia="Times New Roman" w:hAnsi="Times New Roman"/>
          <w:sz w:val="18"/>
          <w:szCs w:val="18"/>
          <w:color w:val="212121"/>
        </w:rPr>
        <w:t>, we compete for deals involving VDRs that facilitate strategic financial transactions and secure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exchange use cases. For mergers and acquisitions use cases, our principal direct competitors include global services and technology vendors such as Datasite and Donnelly Financial Solutions. In addition, we compete with a range of niche and region-specific competitors depending on client size, location and requirements. For debt capital and secure collaboration use cases, we face competition from software solutions vendors such as IHS Markit and FIS and indirect competition from general-purpose file-sharing solutions such as Box and Dropbox. Key competitive factors in the VDR market include platform flexibility and quality; fit-for-purpose workflow capabilities and services delivery. Our strengths in this market include our technology, support for industry-specific workflows, experience, reputation, approach to platform security and professional services.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Trading Software: </w:t>
      </w:r>
      <w:r>
        <w:rPr>
          <w:rFonts w:ascii="Times New Roman" w:cs="Times New Roman" w:eastAsia="Times New Roman" w:hAnsi="Times New Roman"/>
          <w:sz w:val="18"/>
          <w:szCs w:val="18"/>
          <w:color w:val="auto"/>
        </w:rPr>
        <w:t>In our trading software market, we compete with a variety of other vendors depending on client characteristics such as size,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and functionality requirements. Competitors in this market range from small providers that specialize in trading capabilities (such as Flextrade) to larger providers that offer trading as part of a broader portfolio of capabilities (Bloomberg and State Street). We also often compete with internal proprietary tools developed by our clients and prospective clients. The key competitive factors in marketing trading software solutions include flexible workflows, easy-to-use interfaces, reliability of managing real-time data to internal and external parties, product features and adaptability of the software. Our strengths in this market include our client services model and managed services offering, technology, our ability to deliver functionality by multiple delivery methods and our ability to package our offerings with other SS&amp;C products and services for complete front-to-back support.</w:t>
      </w:r>
    </w:p>
    <w:p>
      <w:pPr>
        <w:spacing w:after="0" w:line="183"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Robotic Process Automation: </w:t>
      </w:r>
      <w:r>
        <w:rPr>
          <w:rFonts w:ascii="Times New Roman" w:cs="Times New Roman" w:eastAsia="Times New Roman" w:hAnsi="Times New Roman"/>
          <w:sz w:val="18"/>
          <w:szCs w:val="18"/>
          <w:color w:val="auto"/>
        </w:rPr>
        <w:t>RPA is one of the fastest growing and competitive markets as current competitors expand their product offerings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companies enter the market. In our RPA market, we compete with other technology vendors, such as UI Path and Automation Anywhere, professional service organizations that develop their own products or create custom software in conjunction with rendering RPA services, as well as clients' internal information systems departments. Key competitive factors in the RPA market include product differentiation, ensuring products are well linked to emerging technologies and delivering a return on investment. Our strengths in this market include our technology, our partnerships which allow offerings with other SS&amp;C products and our expertise in key market segments that RPA has a high potential return on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Rights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rely on a combination of trade secret, copyright, trademark and patent law, nondisclosure agreements and technical measures to protect our proprietary technology. We have registered trademarks for many of our products and will continue to evaluate the registration of additional trademarks as appropriate. We generally enter into confidentiality and/or license agreements with our employees, distributors, clients and potential clients. We seek to protect our software, documentation and other written materials under trade secret and copyright laws, which afford limited protection. These efforts may be insufficient to prevent third parties from asserting intellectual property rights in our technology. Furthermore, it may be possible for unauthorized third parties to copy portions of our products or to reverse engineer or otherwise obtain and use proprietary information, and third parties may assert ownership rights in our proprietary technology. For additional risks relating to our proprietary technology, please see “Risk Factors — Risks “Relating to Our Business”. If we are unable to protect our proprietary technology and other confidential information, our success and our ability to compete will be subject to various risks, such as third-party infringement claims, unauthorized use of our technology, disclosure of our proprietary information or inability to license technology from third parties.</w:t>
      </w:r>
    </w:p>
    <w:p>
      <w:pPr>
        <w:spacing w:after="0" w:line="19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Rapid technological change characterizes the software development industry. We believe factors such as the technological and creative skills of our personnel, new product developments, frequent product enhancements, name recognition and reliable service and support are more important to establishing and maintaining a leadership position than legal protections of our technology.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had approximately 26,800 full-time employees, including approximately 15,600 in our international operations, consisting of approximately:</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4,300 employees in research and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18,800 employees in client support, consulting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1,700 employees in sales and marketing;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employees in finance, administration and information technology.</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ability to attract, develop and retain highly skilled employees is critical to our success. We value a diverse workforce and an inclusive culture made up of smart people and superb technology. We believe strong collaboration and innovation allow us to be successful. Our employees have widely diverse cultural backgrounds and life experiences. We view diversity as one of our biggest strengths and advantages as a global organization. We value individualism and distinct viewpoints and believe that we can all learn something from each other. We are committed to being an organization that welcomes, celebrates and thrives on diversity. We have a robust Global Mobility program that provides opportunities for cultural enrichment and knowledge share. The breadth of our products and services, our global office network and our clientele affords opportunities for mobility and advancement within the Company for people who make a positive impact. We monitor and evaluate various turnover and attrition metrics throughout our organization.</w:t>
      </w:r>
    </w:p>
    <w:p>
      <w:pPr>
        <w:spacing w:after="0" w:line="175" w:lineRule="exact"/>
        <w:rPr>
          <w:sz w:val="20"/>
          <w:szCs w:val="20"/>
          <w:color w:val="auto"/>
        </w:rPr>
      </w:pPr>
    </w:p>
    <w:p>
      <w:pPr>
        <w:ind w:right="80" w:firstLine="578"/>
        <w:spacing w:after="0" w:line="255" w:lineRule="auto"/>
        <w:rPr>
          <w:sz w:val="20"/>
          <w:szCs w:val="20"/>
          <w:color w:val="auto"/>
        </w:rPr>
      </w:pPr>
      <w:r>
        <w:rPr>
          <w:rFonts w:ascii="Times New Roman" w:cs="Times New Roman" w:eastAsia="Times New Roman" w:hAnsi="Times New Roman"/>
          <w:sz w:val="18"/>
          <w:szCs w:val="18"/>
          <w:color w:val="auto"/>
        </w:rPr>
        <w:t>We have a well-designed rewards program, which benefits both our employees and us by ensuring the alignment of rewards with goals and expectations. Compensation comprises a combination of base salary, bonus and equity. Our compensation program is designed to promote a performance-driven work culture that drives our growth and provides competitive compensation opportunities to attract and retain top performers. We provide benefits programs that are flexible, comprehensive and competitive. While specifics may vary by country, our benefits package generally includes healthcare coverage, retirement benefits, life and disability insurance, wellness and employee assistance programs, flexible leave policies, 401(k), tuition/professional reimbursement program and more. We embrace a hybrid work model and encourage employees to take time off to maintain a healthy work/life balance. In addition, we offer professional development and tuition reimbursement for degree programs and job-related coursework.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July 2005, as the successor to a corporation originally formed in Connecticut in March 1986. Our principal executive offices are located at 80 Lamberton Road, Windsor, Connecticut 06095, and the telephone number of our principal executive offices is (860) 298-4500.</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website address is www.ssctech.com. We make available, free of charge, on our website our annual reports on Form 10-K, quarterly reports on Form 10-Q, current reports on Form 8-K, Proxy Statements for the annual stockholder meetings and amendments thereto that we have filed or furnished with the SEC, as soon as reasonably practicable after we electronically file them with the SEC. The same information is available in print to any stockholder who submits a written request to our Investor Relations department. We are not, however, including the information contained on our website, or information that may be accessed through links on our website, as part of, or incorporating such information by reference into, this annual report on Form 10-K. The SEC maintains an internet site at www.sec.gov that contains reports, proxy and information statements, and other information regarding issuers that file electronically with the SEC.</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following risk factors, in addition to other information included in this annual report on Form 10-K and the other reports we submit to the SEC. If any of the following risks materialize, it could materially affect our business, operating results, cash flows and financial condition and possibly lead to a decline in our stock price. The risks and uncertainties described below are those that we have identified as material, but are not the only risks and uncertainties that we face. Our business is also subject to general risks and uncertainties that affect many other companies. Additional risks and uncertainties not currently known to us or that we have not currently identified as being material may also impair our business, operating results, cash flows and financial condition.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risks and uncertainties that could adversely affect our business, financial condition and results of operations. You should read this summary together with the more detailed description of each risk factor contained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Relating to Our Business</w:t>
      </w:r>
    </w:p>
    <w:p>
      <w:pPr>
        <w:spacing w:after="0" w:line="117" w:lineRule="exact"/>
        <w:rPr>
          <w:sz w:val="20"/>
          <w:szCs w:val="20"/>
          <w:color w:val="auto"/>
        </w:rPr>
      </w:pPr>
    </w:p>
    <w:p>
      <w:pPr>
        <w:ind w:left="560" w:right="180" w:hanging="507"/>
        <w:spacing w:after="0" w:line="266"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greatly affected by changes in the state of the general economy and the financial markets, and uncertainty in the general economy, the financial services industry or other industries in which our clients operate, could disproportionately affect the demand for our products and services;</w:t>
      </w:r>
    </w:p>
    <w:p>
      <w:pPr>
        <w:spacing w:after="0" w:line="6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anticipated benefits from our acquisitions and may face difficulties in integrating them;</w:t>
      </w:r>
    </w:p>
    <w:p>
      <w:pPr>
        <w:spacing w:after="0" w:line="117" w:lineRule="exact"/>
        <w:rPr>
          <w:rFonts w:ascii="Times New Roman" w:cs="Times New Roman" w:eastAsia="Times New Roman" w:hAnsi="Times New Roman"/>
          <w:sz w:val="18"/>
          <w:szCs w:val="18"/>
          <w:color w:val="auto"/>
        </w:rPr>
      </w:pPr>
    </w:p>
    <w:p>
      <w:pPr>
        <w:ind w:left="560" w:right="220" w:hanging="507"/>
        <w:spacing w:after="0" w:line="282"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consolidations or failures among our clients or within their respective industries could adversely affect us by causing a decline in demand for our products and services;</w:t>
      </w:r>
    </w:p>
    <w:p>
      <w:pPr>
        <w:spacing w:after="0" w:line="53"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may decrease due to declines in the levels of participation and activity in the securities markets;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variations and fluctuations of the asset management industry;</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and attract clients, our revenues and net income would remain stagnant or decline;</w:t>
      </w:r>
    </w:p>
    <w:p>
      <w:pPr>
        <w:spacing w:after="0" w:line="117" w:lineRule="exact"/>
        <w:rPr>
          <w:rFonts w:ascii="Times New Roman" w:cs="Times New Roman" w:eastAsia="Times New Roman" w:hAnsi="Times New Roman"/>
          <w:sz w:val="18"/>
          <w:szCs w:val="18"/>
          <w:color w:val="auto"/>
        </w:rPr>
      </w:pPr>
    </w:p>
    <w:p>
      <w:pPr>
        <w:ind w:left="560" w:right="220" w:hanging="507"/>
        <w:spacing w:after="0" w:line="282"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attract, train and retain qualified employees, we may not be able to provide adequate technical expertise and customer service to our clients;</w:t>
      </w:r>
    </w:p>
    <w:p>
      <w:pPr>
        <w:spacing w:after="0" w:line="53" w:lineRule="exact"/>
        <w:rPr>
          <w:rFonts w:ascii="Times New Roman" w:cs="Times New Roman" w:eastAsia="Times New Roman" w:hAnsi="Times New Roman"/>
          <w:sz w:val="18"/>
          <w:szCs w:val="18"/>
          <w:color w:val="auto"/>
        </w:rPr>
      </w:pPr>
    </w:p>
    <w:p>
      <w:pPr>
        <w:ind w:left="560" w:right="280" w:hanging="507"/>
        <w:spacing w:after="0" w:line="282"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with respect to our products and services, which may result in price reductions, reduced gross margins or loss of market share;</w:t>
      </w:r>
    </w:p>
    <w:p>
      <w:pPr>
        <w:spacing w:after="0" w:line="53" w:lineRule="exact"/>
        <w:rPr>
          <w:rFonts w:ascii="Times New Roman" w:cs="Times New Roman" w:eastAsia="Times New Roman" w:hAnsi="Times New Roman"/>
          <w:sz w:val="18"/>
          <w:szCs w:val="18"/>
          <w:color w:val="auto"/>
        </w:rPr>
      </w:pPr>
    </w:p>
    <w:p>
      <w:pPr>
        <w:ind w:left="560" w:right="100" w:hanging="507"/>
        <w:spacing w:after="0" w:line="282"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cyber-attacks, breaches of digital security, IT system failures and network disruptions that could adversely affect our reputation and our business;</w:t>
      </w:r>
    </w:p>
    <w:p>
      <w:pPr>
        <w:spacing w:after="0" w:line="53" w:lineRule="exact"/>
        <w:rPr>
          <w:rFonts w:ascii="Times New Roman" w:cs="Times New Roman" w:eastAsia="Times New Roman" w:hAnsi="Times New Roman"/>
          <w:sz w:val="18"/>
          <w:szCs w:val="18"/>
          <w:color w:val="auto"/>
        </w:rPr>
      </w:pPr>
    </w:p>
    <w:p>
      <w:pPr>
        <w:ind w:left="560" w:right="120" w:hanging="507"/>
        <w:spacing w:after="0" w:line="282"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service providers on which we rely, or other third parties with which we do business or which facilitate our business activities, suffer disruptions to their IT systems, our business could be harmed;</w:t>
      </w:r>
    </w:p>
    <w:p>
      <w:pPr>
        <w:spacing w:after="0" w:line="53"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operating results, including our profit margins and profitability, may fluctuate over time;</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tax expense or additional tax exposures could affect our future profitability;</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subaccounting services performed by brokerage firms has and will continue to adversely impact our revenues;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may adversely affect our business;</w:t>
      </w:r>
    </w:p>
    <w:p>
      <w:pPr>
        <w:spacing w:after="0" w:line="117" w:lineRule="exact"/>
        <w:rPr>
          <w:rFonts w:ascii="Times New Roman" w:cs="Times New Roman" w:eastAsia="Times New Roman" w:hAnsi="Times New Roman"/>
          <w:sz w:val="18"/>
          <w:szCs w:val="18"/>
          <w:color w:val="auto"/>
        </w:rPr>
      </w:pPr>
    </w:p>
    <w:p>
      <w:pPr>
        <w:ind w:left="560" w:right="240" w:hanging="507"/>
        <w:spacing w:after="0" w:line="282"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operations and a significant number of employees in India and we are therefore subject to regulatory, economic and political uncertainties in India;</w:t>
      </w:r>
    </w:p>
    <w:p>
      <w:pPr>
        <w:spacing w:after="0" w:line="53"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senior management and their continued performance and productivity;</w:t>
      </w:r>
    </w:p>
    <w:p>
      <w:pPr>
        <w:spacing w:after="0" w:line="117" w:lineRule="exact"/>
        <w:rPr>
          <w:rFonts w:ascii="Times New Roman" w:cs="Times New Roman" w:eastAsia="Times New Roman" w:hAnsi="Times New Roman"/>
          <w:sz w:val="18"/>
          <w:szCs w:val="18"/>
          <w:color w:val="auto"/>
        </w:rPr>
      </w:pPr>
    </w:p>
    <w:p>
      <w:pPr>
        <w:ind w:left="560" w:right="180" w:hanging="507"/>
        <w:spacing w:after="0" w:line="266"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proprietary technology and other confidential information, our success and ability to compete will be subject to various risks, such as third-party infringement claims, unauthorized use of our technology, disclosure of our proprietary information or inability to license technology from third parties;</w:t>
      </w:r>
    </w:p>
    <w:p>
      <w:pPr>
        <w:spacing w:after="0" w:line="6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adapt to rapidly changing technology and evolving industry standards and regulatory requirements;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use of machine learning and artificial intelligence presents risks and challenges that could impact our business;</w:t>
      </w:r>
    </w:p>
    <w:p>
      <w:pPr>
        <w:spacing w:after="0" w:line="117" w:lineRule="exact"/>
        <w:rPr>
          <w:rFonts w:ascii="Times New Roman" w:cs="Times New Roman" w:eastAsia="Times New Roman" w:hAnsi="Times New Roman"/>
          <w:sz w:val="18"/>
          <w:szCs w:val="18"/>
          <w:color w:val="auto"/>
        </w:rPr>
      </w:pPr>
    </w:p>
    <w:p>
      <w:pPr>
        <w:ind w:left="560" w:hanging="507"/>
        <w:spacing w:after="0" w:line="282"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software design defects, errors or failures, or employee errors, may result in defects, delays, loss of our clients’ data, litigation against us and harm to our reputation and business;</w:t>
      </w:r>
    </w:p>
    <w:p>
      <w:pPr>
        <w:spacing w:after="0" w:line="53" w:lineRule="exact"/>
        <w:rPr>
          <w:rFonts w:ascii="Times New Roman" w:cs="Times New Roman" w:eastAsia="Times New Roman" w:hAnsi="Times New Roman"/>
          <w:sz w:val="18"/>
          <w:szCs w:val="18"/>
          <w:color w:val="auto"/>
        </w:rPr>
      </w:pPr>
    </w:p>
    <w:p>
      <w:pPr>
        <w:ind w:left="560" w:right="320" w:hanging="507"/>
        <w:spacing w:after="0" w:line="266" w:lineRule="auto"/>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decisions with respect to cash balances, market returns or losses on investments, and limits on insurance applicable to cash balances held in bank and brokerage accounts, including those held by us and as agent on behalf of our clients, could expose us to losses of such cash balances and adversely affect revenues attributable to cash balance deposit investments;</w:t>
      </w:r>
    </w:p>
    <w:p>
      <w:pPr>
        <w:spacing w:after="0" w:line="6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revenues are derived, and a substantial portion of our operations are conducted, outside the U.S.;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that could negatively impact our operating results and financial condition;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9" w:name="page20"/>
    <w:bookmarkEnd w:id="19"/>
    <w:p>
      <w:pPr>
        <w:ind w:left="560" w:hanging="5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funds and our joint ventures could decline in value;</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control certain businesses in which we have significant ownership;</w:t>
      </w:r>
    </w:p>
    <w:p>
      <w:pPr>
        <w:spacing w:after="0" w:line="117" w:lineRule="exact"/>
        <w:rPr>
          <w:rFonts w:ascii="Times New Roman" w:cs="Times New Roman" w:eastAsia="Times New Roman" w:hAnsi="Times New Roman"/>
          <w:sz w:val="18"/>
          <w:szCs w:val="18"/>
          <w:color w:val="auto"/>
        </w:rPr>
      </w:pPr>
    </w:p>
    <w:p>
      <w:pPr>
        <w:ind w:left="560" w:right="280" w:hanging="507"/>
        <w:spacing w:after="0" w:line="282" w:lineRule="auto"/>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joint venture investments are subject to buy-sell agreements, which could, among other things, restrict us from selling our interests even if we were to determine it would be prudent to do so; and</w:t>
      </w:r>
    </w:p>
    <w:p>
      <w:pPr>
        <w:spacing w:after="0" w:line="53"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weakness in our internal controls could have a material adverse effect on us.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Legal or Regulatory Risks</w:t>
      </w:r>
    </w:p>
    <w:p>
      <w:pPr>
        <w:spacing w:after="0" w:line="117" w:lineRule="exact"/>
        <w:rPr>
          <w:sz w:val="20"/>
          <w:szCs w:val="20"/>
          <w:color w:val="auto"/>
        </w:rPr>
      </w:pPr>
    </w:p>
    <w:p>
      <w:pPr>
        <w:ind w:left="560" w:hanging="507"/>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expose us to risks of claims and losses that could be significant and damage our reputation and business prospects;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evolving regulations and increased scrutiny from regulators;</w:t>
      </w:r>
    </w:p>
    <w:p>
      <w:pPr>
        <w:spacing w:after="0" w:line="117" w:lineRule="exact"/>
        <w:rPr>
          <w:rFonts w:ascii="Times New Roman" w:cs="Times New Roman" w:eastAsia="Times New Roman" w:hAnsi="Times New Roman"/>
          <w:sz w:val="18"/>
          <w:szCs w:val="18"/>
          <w:color w:val="auto"/>
        </w:rPr>
      </w:pPr>
    </w:p>
    <w:p>
      <w:pPr>
        <w:ind w:left="560" w:right="120" w:hanging="507"/>
        <w:spacing w:after="0" w:line="282"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role as a fund administrator has in the past, and may in the future, expose us to claims and litigation from clients, their investors, regulators or other third-parties;</w:t>
      </w:r>
    </w:p>
    <w:p>
      <w:pPr>
        <w:spacing w:after="0" w:line="53" w:lineRule="exact"/>
        <w:rPr>
          <w:rFonts w:ascii="Times New Roman" w:cs="Times New Roman" w:eastAsia="Times New Roman" w:hAnsi="Times New Roman"/>
          <w:sz w:val="18"/>
          <w:szCs w:val="18"/>
          <w:color w:val="auto"/>
        </w:rPr>
      </w:pPr>
    </w:p>
    <w:p>
      <w:pPr>
        <w:ind w:left="560" w:right="260" w:hanging="507"/>
        <w:spacing w:after="0" w:line="282"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platform could be used to collect, store, handle, transmit or otherwise process personal information of our customers’ employees or customers, privacy concerns could result in additional cost and liability to us or inhibit use of our platform; and</w:t>
      </w:r>
    </w:p>
    <w:p>
      <w:pPr>
        <w:spacing w:after="0" w:line="53" w:lineRule="exact"/>
        <w:rPr>
          <w:rFonts w:ascii="Times New Roman" w:cs="Times New Roman" w:eastAsia="Times New Roman" w:hAnsi="Times New Roman"/>
          <w:sz w:val="18"/>
          <w:szCs w:val="18"/>
          <w:color w:val="auto"/>
        </w:rPr>
      </w:pPr>
    </w:p>
    <w:p>
      <w:pPr>
        <w:ind w:left="560" w:right="200" w:hanging="507"/>
        <w:spacing w:after="0" w:line="282"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subject to litigation regarding our or a third party’s intellectual property rights or other confidential or proprietary information, which could seriously harm our business and require us to incur significant costs.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Risks Relating to Our Indebtedness</w:t>
      </w:r>
    </w:p>
    <w:p>
      <w:pPr>
        <w:spacing w:after="0" w:line="117" w:lineRule="exact"/>
        <w:rPr>
          <w:sz w:val="20"/>
          <w:szCs w:val="20"/>
          <w:color w:val="auto"/>
        </w:rPr>
      </w:pPr>
    </w:p>
    <w:p>
      <w:pPr>
        <w:ind w:left="560" w:hanging="507"/>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could adversely affect our financial health and operations;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service our indebtedness, we require a significant amount of cash. Our ability to generate cash depends on many factors beyond our control;</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the agreements governing our indebtedness may restrict our ability to pursue our business strategies; and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under our Credit Agreement bear interest based on SOFR, and SOFR has a limited history.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Risks Relating to Ownership of Our Common Stock</w:t>
      </w:r>
    </w:p>
    <w:p>
      <w:pPr>
        <w:spacing w:after="0" w:line="117" w:lineRule="exact"/>
        <w:rPr>
          <w:sz w:val="20"/>
          <w:szCs w:val="20"/>
          <w:color w:val="auto"/>
        </w:rPr>
      </w:pPr>
    </w:p>
    <w:p>
      <w:pPr>
        <w:ind w:left="560" w:right="300" w:hanging="507"/>
        <w:spacing w:after="0" w:line="282"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equity research analysts do not publish or cease publishing research or reports about our business or if they issue unfavorable commentary or downgrade our common stock, the price and trading volume of our common stock could decline;</w:t>
      </w:r>
    </w:p>
    <w:p>
      <w:pPr>
        <w:spacing w:after="0" w:line="53"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which could result in substantial losses for investors in our common stock;</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C. Stone, our Chairman of the Board and Chief Executive Officer, exerts significant influence over our Company;</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SS&amp;C Holdings is a holding company with no operations or assets of its own and its ability to pay dividends is limited or otherwise restricted;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broad discretion in the use of our existing cash resources and may not use such funds effectively; and</w:t>
      </w:r>
    </w:p>
    <w:p>
      <w:pPr>
        <w:spacing w:after="0" w:line="117" w:lineRule="exact"/>
        <w:rPr>
          <w:rFonts w:ascii="Times New Roman" w:cs="Times New Roman" w:eastAsia="Times New Roman" w:hAnsi="Times New Roman"/>
          <w:sz w:val="18"/>
          <w:szCs w:val="18"/>
          <w:color w:val="auto"/>
        </w:rPr>
      </w:pPr>
    </w:p>
    <w:p>
      <w:pPr>
        <w:ind w:left="560" w:right="60" w:hanging="507"/>
        <w:spacing w:after="0" w:line="282"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certificate of incorporation and bylaws might discourage, delay or prevent a change of control of our Company or changes in our management and, therefore, depress the trading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greatly affected by changes in the state of the general economy and the financial markets, and uncertainty in the general economy, the financial services industry or other industries in which our clients operate could disproportionately affect the demand for our products and services.</w:t>
      </w:r>
    </w:p>
    <w:p>
      <w:pPr>
        <w:spacing w:after="0" w:line="5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derive our revenues from the delivery of products and services to clients primarily in the financial services and healthcare industries. Demand for our products and services among companies in those industries could decline for many reasons. If demand for our products or services decreases or if any of the industries we serve decline, our business and our operating results could be adversely affected.</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20" w:name="page21"/>
    <w:bookmarkEnd w:id="20"/>
    <w:p>
      <w:pPr>
        <w:ind w:firstLine="509"/>
        <w:spacing w:after="0" w:line="253" w:lineRule="auto"/>
        <w:rPr>
          <w:sz w:val="20"/>
          <w:szCs w:val="20"/>
          <w:color w:val="auto"/>
        </w:rPr>
      </w:pPr>
      <w:r>
        <w:rPr>
          <w:rFonts w:ascii="Times New Roman" w:cs="Times New Roman" w:eastAsia="Times New Roman" w:hAnsi="Times New Roman"/>
          <w:sz w:val="18"/>
          <w:szCs w:val="18"/>
          <w:color w:val="auto"/>
        </w:rPr>
        <w:t>The global economy has in the past been subject to severe disruptions in the credit markets, increased uncertainty about economic, political, global trade and market conditions, and periods of heightened volatility in a variety of financial and other markets, including commodity prices and currency rates. Our clients include a range of organizations in the financial services industry whose success is linked to the health of the economy generally and of the financial markets specifically. Unfavorable or uncertain economic conditions, economic instability or economic downturns could: (i) cause our clients or prospective clients to cancel, reduce or delay planned expenditures for our products and services; (ii) impair our clients’ ability to pay for products they have purchased; or (iii) cause our clients to process fewer transactions through our software-enabled services, renegotiate their contracts with us, move their IT solutions in-house, switch to lower-priced solutions offered by our competitors or exit the industry. Fluctuations in the value of assets under our clients’ management could also adversely affect our revenues because pricing in many of our agreements is adjusted based on assets under management. We cannot predict the occurrence, timing or duration of any economic downturn, generally, or in the markets in which our businesses operate. Turbulence in the U.S. and international markets, renewed concern about the strength and sustainability of a recovery and prolonged declines in business consumer spending could materially adversely affect our business, results of operations and financial condition, and the liquidity and financial condition of our clients. Changes in inflation rates, and changes in interest rates by the U.S. Federal Reserve and central banks around the world, could result in economic volatility or uncertainty, which could adversely affect our business, financial condition, results of operations and cash flows.</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any other events that adversely affect our clients’ businesses, rates of growth or numbers of clients they serve could decrease demand for our products and services and the number of transactions we process. Events that could adversely affect our clients’ businesses include decreased demand for our clients’ products and services, adverse conditions in our clients’ markets or adverse economic conditions generally. We may be unsuccessful in predicting the needs of changing industries and whether potential clients will accept our products or services. We also may invest in technology or infrastructure for specific clients and not realize additional revenue from such investments. If trends or events do not occur as we expect, our business could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the anticipated benefits from our acquisitions and may face difficulties in integrating them.</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acquired and intend in the future to acquire companies, products or technologies that we believe could complement or expand our business, augment our market coverage, enhance our technical capabilities or otherwise offer growth opportunities. For example, in September 2024, we completed our acquisition of Battea-Class Action Services, LLC (“Battea”). However, acquisitions could subject us to contingent or unknown liabilities, and we may have to incur debt or severance liabilities or write off investments, infrastructure costs or other assets. Our success is also dependent on our ability to complete the integration of the operations of acquired businesses in an efficient and effective manner, which may be difficult to accomplish in the rapidly changing financial services software and services industry. We may not realize the benefits we anticipate from acquisitions, such as lower costs, increased revenues, synergies and growth opportunities, or we may realize such benefits more slowly than anticipated, due to our inability to:</w:t>
      </w:r>
    </w:p>
    <w:p>
      <w:pPr>
        <w:spacing w:after="0" w:line="81" w:lineRule="exact"/>
        <w:rPr>
          <w:sz w:val="20"/>
          <w:szCs w:val="20"/>
          <w:color w:val="auto"/>
        </w:rPr>
      </w:pPr>
    </w:p>
    <w:p>
      <w:pPr>
        <w:ind w:left="560" w:hanging="5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 operations, facilities and differing firm cultures;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employee morale or retain the clients or employees of acquired entities;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market demand for new products and services;</w:t>
      </w:r>
    </w:p>
    <w:p>
      <w:pPr>
        <w:spacing w:after="0" w:line="117" w:lineRule="exact"/>
        <w:rPr>
          <w:rFonts w:ascii="Times New Roman" w:cs="Times New Roman" w:eastAsia="Times New Roman" w:hAnsi="Times New Roman"/>
          <w:sz w:val="18"/>
          <w:szCs w:val="18"/>
          <w:color w:val="auto"/>
        </w:rPr>
      </w:pPr>
    </w:p>
    <w:p>
      <w:pPr>
        <w:ind w:left="560" w:right="260" w:hanging="507"/>
        <w:spacing w:after="0" w:line="282" w:lineRule="auto"/>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geographically dispersed operations and successfully adapt to the complexities of international operations, including compliance with laws, rules and regulations in multiple jurisdictions;</w:t>
      </w:r>
    </w:p>
    <w:p>
      <w:pPr>
        <w:spacing w:after="0" w:line="53"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the technical teams of acquired companies within our organization; or</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acquired technologies, products and services into our current and future product and service lines.</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process of integrating the operations of acquired companies could disrupt our ongoing operations, divert management from day-to-day responsibilities, increase our expenses and harm our business, results of operations and financial condition. Acquisitions may also place a significant strain on our administrative, operational, financial and other resources. In addition, certain of our acquisitions have generated disputes with stockholders or management of acquired companies or other claimants that have required the expenditure of our resources to address or have led to litigation; any such disputes may reduce the value we hope to realize from our acquisitions, either by increasing our costs of the acquisition, reducing our opportunities to realize revenues from the acquisition or imposing litigation costs or adverse judgments on us. Acquisitions may also expose us to litigation from our stockholders arising out of the acquisition, which, even if unsuccessful, could be costly to defend and serve as a distraction to management.</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Consolidations or failures among our clients or within their respective industries could adversely affect us by causing a decline in demand for our products and services.</w:t>
      </w:r>
    </w:p>
    <w:p>
      <w:pPr>
        <w:spacing w:after="0" w:line="5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If banks and financial services firms fail or consolidate, there could be a decline in demand for our products and services. Failures, mergers and consolidations of banks and financial institutions reduce the number of our clients and potential clients, which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20"/>
        <w:spacing w:after="0" w:line="256" w:lineRule="auto"/>
        <w:rPr>
          <w:sz w:val="20"/>
          <w:szCs w:val="20"/>
          <w:color w:val="auto"/>
        </w:rPr>
      </w:pPr>
      <w:r>
        <w:rPr>
          <w:rFonts w:ascii="Times New Roman" w:cs="Times New Roman" w:eastAsia="Times New Roman" w:hAnsi="Times New Roman"/>
          <w:sz w:val="18"/>
          <w:szCs w:val="18"/>
          <w:color w:val="auto"/>
        </w:rPr>
        <w:t>could adversely affect our revenues even if these events do not reduce the aggregate activities of the consolidated entities. Further, if our clients fail and/or merge with or are acquired by other entities that are not our clients, or that use fewer of our products and services, they may discontinue or reduce their use of our products and services. It is also possible that the larger financial institutions resulting from mergers or consolidations would have greater leverage in negotiating terms with us. In addition, these larger financial institutions could decide to perform in-house some or all of the services that we currently provide or could provide or to consolidate their processing on a non-SS&amp;C system. The resulting decline in demand for our products and services over time could have a material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may decrease due to declines in the levels of participation and activity in the securities markets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generate significant revenues from the transaction processing fees we earn for our products and services. These revenue sources are substantially dependent on the levels of participation and activity in the securities markets. The number of unique securities positions held by investors through our clients and our clients’ customer trading volumes reflect the levels of participation and activity in the markets, which are impacted by market prices and the liquidity of the securities markets, among other factors. We could be negatively impacted by the volatile markets as certain of our fees are tied to the asset bases of our clients. The occurrence of significant market volatility or decreased levels of participation would likely result in reduced revenues and decreased profitability from our business operations. Additionally, we may be exposed to operational or other risks in connection with any systematic failures in the markets, or the default due to market-related failures of one or more counterparties with whom we transact.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variations and fluctuations of the asset management industry.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derive significant revenues from asset management, administration and distribution contracts with clients. Under these contracts, the fees paid to us are based on a variety of factors, including the market value of assets under management, assets under administration and number of transactions processed. Assets under management, assets under administration or the number of transactions processed may decline for various reasons, causing results to vary. Factors that could decrease assets under management and assets under administration (and therefore revenues) include declines in the market value of the assets in the funds (and accounts as applicable) managed, administered and distributed, redemptions and other withdrawals from, or shifts among, the funds (and accounts as applicable) managed, administered and distributed, as well as market conditions generally.</w:t>
      </w:r>
    </w:p>
    <w:p>
      <w:pPr>
        <w:spacing w:after="0" w:line="79" w:lineRule="exact"/>
        <w:rPr>
          <w:sz w:val="20"/>
          <w:szCs w:val="20"/>
          <w:color w:val="auto"/>
        </w:rPr>
      </w:pPr>
    </w:p>
    <w:p>
      <w:pPr>
        <w:jc w:val="both"/>
        <w:ind w:right="240" w:firstLine="509"/>
        <w:spacing w:after="0" w:line="257" w:lineRule="auto"/>
        <w:rPr>
          <w:sz w:val="20"/>
          <w:szCs w:val="20"/>
          <w:color w:val="auto"/>
        </w:rPr>
      </w:pPr>
      <w:r>
        <w:rPr>
          <w:rFonts w:ascii="Times New Roman" w:cs="Times New Roman" w:eastAsia="Times New Roman" w:hAnsi="Times New Roman"/>
          <w:sz w:val="18"/>
          <w:szCs w:val="18"/>
          <w:color w:val="auto"/>
        </w:rPr>
        <w:t>These clients and our business relating to them are affected by trends, developments and risks associated with the global hedge fund industry. In addition, the market environment for hedge funds involves risk and has suffered significant turmoil, including as a result of substantial changes in global economies, political uncertainty, stock market declines, a trend toward passive and algorithmic investment strategies and various regulatory initiatives.</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Even in the absence of such factors, the global hedge fund industry is subject to fluctuations in assets under management that are impossible to predict or anticipate. These risks and trends could significantly and adversely affect some or all of our hedge fund clients, which could adversely affect our business, results of operations and financial condition. In addition, market forces have negatively impacted liquidity for many of the financial instruments in which hedge fund client’s trade, which, in turn, could negatively impact our ability to access independent pricing sources for valuing those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and attract clients, our revenues and net income would remain stagnant or decline.</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keep existing clients satisfied, sell additional products and services to existing clients or attract new clients, then our revenues and net income would remain stagnant or decline. A variety of factors could affect our ability to successfully retain and attract clients, including:</w:t>
      </w:r>
    </w:p>
    <w:p>
      <w:pPr>
        <w:spacing w:after="0" w:line="54" w:lineRule="exact"/>
        <w:rPr>
          <w:sz w:val="20"/>
          <w:szCs w:val="20"/>
          <w:color w:val="auto"/>
        </w:rPr>
      </w:pPr>
    </w:p>
    <w:p>
      <w:pPr>
        <w:ind w:left="560" w:hanging="507"/>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potential customers to change software service providers;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client spending for IT;</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from internal client solutions and from other vendors;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client service and the performance of our products;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update our products and services and develop new products and services needed by clients;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organization and processes of our clients; and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manage acquired businesses.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attract, train and retain qualified employees, we may not be able to provide adequate technical expertise and customer service to our clients.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success is due in part to our ability to attract, train and retain highly skilled employees. Competition for qualified personnel in the software and hedge fund industries is intense, and we have, at times, found it difficult to attract and retain skilled personnel for our operations. Our failure to attract and retain a sufficient number of highly skilled employees could prevent us from developing and servicing our products at the same levels as our competitors; therefore, we may lose potential clients and suffer a decline in revenues.</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with respect to our products and services, which may result in price reductions, reduced gross margins or loss of market share.</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financial and healthcare markets we serve, we compete based on a variety of factors, including investment performance, the range of products or services offered, brand recognition, business reputation, financial strength, stability and continuity of client and other intermediary relationships, quality of service, and level of fees charged for products and services. The market for financial and healthcare services software and services is competitive, rapidly evolving and highly sensitive to new product and service introductions, technology innovations and marketing efforts by industry participants. The markets we serve are also highly fragmented and served by numerous firms that target only local markets or specific client types. We also face competition from information systems developed and serviced internally by the IT departments of financial services firms. Some of our current and potential competitors may have significantly greater financial, technical, distribution and marketing resources, generate higher revenues and have greater name recognition. Our current or potential competitors may develop products comparable or superior to those developed by us, or adapt more quickly to new technologies, evolving industry trends or changing client or regulatory requirements. It is also possible that our competitors may enter into alliances with each other or other third parties, and through such alliances, acquire increased market share. Increased competition may result in price reductions, reduced gross margins and loss of market share. Accordingly, our failure to successfully compete in any of our material businesses could have a material adverse effect on results of operations. Competition could also affect the revenue mix of products or services we provide, resulting in decreased revenues in lines of business with higher profit margins, and our business may not grow as expected and may decline.</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from cyber-attacks, breaches of digital security, IT system failures and network disruptions that could adversely affect our reputation and our business.</w:t>
      </w:r>
    </w:p>
    <w:p>
      <w:pPr>
        <w:spacing w:after="0" w:line="5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Our software-enabled services maintain and process confidential data and process trades and perform other back-office functions, including wiring funds, on behalf of our clients, some of which is critical to their business operations. For example, our trading systems maintain account and trading information for our clients and their customers. Our platforms house sensitive, confidential client information. Our internal technology infrastructure on which our software-enabled services depend may be subject to disruptions or may otherwise fail to operate properly or become disabled or damaged as a result of a number of factors, including events that are wholly or partially beyond our control and that could adversely affect our ability to process transactions, provide services or otherwise appropriately conduct our business activities. Such events include cybersecurity attacks or IT systems failures, threats to physical security, sudden increases in transaction volumes, electrical or telecommunications outages, damaging weather or other acts of nature, or employee or contractor error or malfeasance. In particular, cybersecurity threats are evolving and increasing in frequency, prevalence and magnitude across all business types and in our industry as well as for many firms that process information. Our security measures, and those of our service providers, may not detect or prevent all attempts to hack our systems, denial-of-service attacks, viruses, data corruption attempts, malicious software, attempts to gain unauthorized access to data, phishing attacks, social engineering, security breaches or employee or contractor malfeasance and other electronic security breaches that may jeopardize the security of information stored in or transmitted by our sites, networks and systems or that we or our third-party service providers otherwise maintain. Such cybersecurity incidents could lead to disruptions in our systems, the unauthorized use, access, release or destruction of our or our clients’ or other parties’ confidential, proprietary, personal or otherwise protected information and the corruption of data. We and our service providers may not have the resources or technical sophistication to anticipate or prevent all types of attacks. Additionally, the techniques used to obtain unauthorized access to or sabotage systems change frequently and may not be known until launched against us or our third-party service providers. In the last few years there have been many successful advanced cyber-attacks that have damaged several prominent companies in spite of strong information security measures, and we expect that the risks associated with cyber-attacks and the costs of preventing such attacks will continue to increase in the future. We and our clients are regularly the target of attempted cyber-attacks and we must continuously monitor and develop our systems to protect our technology infrastructure and data from misappropriation or corruption. Although we expend significant resources and oversight efforts in an attempt to ensure that we maintain appropriate safeguards with respect to cyber-attacks, and protect against the threat of system disruptions and security breaches, there is no guarantee that our systems and procedures are adequate to protect against all security breaches. If our software-enabled services are disrupted or fail for any reason, or if our systems or facilities are infiltrated or damaged by unauthorized persons, we and our clients could experience data loss, including confidential, proprietary and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spacing w:after="0" w:line="254" w:lineRule="auto"/>
        <w:rPr>
          <w:sz w:val="20"/>
          <w:szCs w:val="20"/>
          <w:color w:val="auto"/>
        </w:rPr>
      </w:pPr>
      <w:r>
        <w:rPr>
          <w:rFonts w:ascii="Times New Roman" w:cs="Times New Roman" w:eastAsia="Times New Roman" w:hAnsi="Times New Roman"/>
          <w:sz w:val="18"/>
          <w:szCs w:val="18"/>
          <w:color w:val="auto"/>
        </w:rPr>
        <w:t>personal information, financial loss, harm to their reputation and significant business interruption. If that happens, we may be exposed to significant liability, our reputation may be harmed, our clients may be dissatisfied, and we may lose business. Although we maintain privacy, data breach and network security liability insurance, we cannot be certain that our coverage will be adequate or cover liabilities actually incurred, or that insurance will continue to be available to us on economically reasonable terms, or at all. Given the unpredictability of the timing, nature and scope of such attacks, breaches, failures or disruptions, we could potentially experience significant costs and exposures, including production downtimes, operational delays, other detrimental impacts on our operations or ability to provide services to our customers, the compromising of confidential, proprietary, personal or otherwise protected information, misappropriation, destruction or corruption of data, security breaches, other manipulation or improper use of our systems or networks, financial losses from remedial actions, loss of business, potential liability, regulatory inquiries, enforcements, actions and fines and/or damage to our reputation, any of which could have a material adverse effect on our business, results of operations and financial condition.</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service providers on which we rely, or other third parties with which we do business or which facilitate our business activities, suffer disruptions to their IT systems, our business could be harmed.</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providing our software-enabled services to our customers, we depend upon IT infrastructure that is primarily managed by our firm, but we also depend on third-party service providers to provide some of the IT infrastructure on which we rely. Although we seek to ensure that appropriate security and other standards are maintained by these third parties, these third parties are also subject to the risks discussed in the preceding risk factor, and there is no guarantee that they will maintain systems and procedures sufficient to protect against cyber-attacks, breaches of digital security, IT system failures and network disruptions.</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third parties with which we do business upon which we rely or which facilitate our business activities, including financial intermediaries, are susceptible to the risks described in the preceding risk factor (including regarding the third parties with which they are similarly interconnected), and our or their business operations and activities may therefore be adversely affected, perhaps materially, by failures, terminations, errors or malfeasance by, or attacks or constraints on, one or more financial, technology or infrastructure institutions or intermediaries with whom they are interconnected or conduct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our operating results, including our profit margins and profitability, may fluctuate over time.</w:t>
      </w:r>
    </w:p>
    <w:p>
      <w:pPr>
        <w:spacing w:after="0" w:line="121"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Historically, our revenues, profit margins and other operating results have fluctuated from period to period and over time primarily due to the timing, size and nature of our license and service transactions. See “Management’s Discussion and Analysis of Financial Condition and Results of Operations” for further discussion on fluctuations in revenues, profit margins and other operating results. Additional factors that may lead to such fluctuation include:</w:t>
      </w:r>
    </w:p>
    <w:p>
      <w:pPr>
        <w:spacing w:after="0" w:line="72" w:lineRule="exact"/>
        <w:rPr>
          <w:sz w:val="20"/>
          <w:szCs w:val="20"/>
          <w:color w:val="auto"/>
        </w:rPr>
      </w:pPr>
    </w:p>
    <w:p>
      <w:pPr>
        <w:ind w:left="560" w:hanging="5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of the introduction and the market acceptance of new products, product enhancements or services by us or our competitors;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lengthy and often unpredictable sales cycles of large client engagements;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operating costs and other expenses;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health of our clients;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of assets under our clients’ management;</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maintenance and/or software-enabled services arrangements by our clients;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national and international regulatory requirements;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during the relevant period;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our licensing contracts and software-enabled services arrangements;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and financial market conditions; and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types of products and services we provide.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tax expense or additional tax exposures could affect our future profitability.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U.S. and various international jurisdictions. Changes in tax laws and regulations, as well as changes in related interpretations and other tax guidance could materially impact our tax receivables and liabilities and our deferred tax assets and deferred tax liabilities. We routinely review and update our corporate structure and intercompany arrangements, including transfer pricing policies, consistent with applicable laws and regulations, to align with our business operations across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ind w:right="120"/>
        <w:spacing w:after="0" w:line="282" w:lineRule="auto"/>
        <w:rPr>
          <w:sz w:val="20"/>
          <w:szCs w:val="20"/>
          <w:color w:val="auto"/>
        </w:rPr>
      </w:pPr>
      <w:r>
        <w:rPr>
          <w:rFonts w:ascii="Times New Roman" w:cs="Times New Roman" w:eastAsia="Times New Roman" w:hAnsi="Times New Roman"/>
          <w:sz w:val="18"/>
          <w:szCs w:val="18"/>
          <w:color w:val="auto"/>
        </w:rPr>
        <w:t>numerous jurisdictions. Failure to align our corporate structure and intercompany arrangements with our business operations may increase our worldwide effective tax rate.</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examinations by various authorities, including tax authorities, in the ordinary course of business. In addition to ongoing investigations, there could be additional investigations launched in the future by governmental authorities in various jurisdictions, and existing investigations could be expanded. The global and diverse nature of our operations means that these risks will continue to exist and additional investigations, proceedings and contingencies may arise from time to time. Our business, results of operations and financial condition may be affected by the outcome of investigations, proceedings and other contingencies that cannot be predicted with 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subaccounting services performed by brokerage firms has and will continue to adversely impact our revenues.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service open-end and closed-end funds registered under the Investment Company Act of 1940, including mutual funds, exchange-traded funds, interval funds and exchange-listed closed-end funds, as well as private funds, collective investment trusts and other accounts under shareowner recordkeeping arrangements which we refer to as registered accounts. These arrangements are distinguished from broker subaccounts, which are serviced under contract with a broker/dealer. Our clients may adopt the broker subaccount structure. We offer subaccounting services to brokerage firms that perform shareowner subaccounting. As the recordkeeping functions in connection with subaccounting are more limited than traditional shareowner accounting, the fees charged are generally lower on a per unit basis. Brokerage firms that obtain agreements from our clients to use a broker subaccount structure cause accounts currently on our traditional recordkeeping system to convert to our subaccounting system, or to the subaccounting systems of other service providers, which generally results in lower revenues. While subaccounting conversions have generally been limited to our non-tax advantaged mutual fund accounts, such conversions have begun to extend to the tax-advantaged accounts (such as retirement and Section 529 accounts) we service, which could adversely affect our business and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adversely affect our business.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 war, terrorist attack, pandemic or other catastrophe may adversely affect our business. In addition, the effects of global climate change, resulting in increased likelihood and severity of natural disasters and extreme weather events, could disrupt our operations. A catastrophic event could have a direct negative impact on us or an indirect impact on us by, for example, affecting our clients, the financial markets or the overall economy and reducing our ability to provide, our clients’ ability to use, and the demand for, our products and services. The potential for a direct effect on our business operations is due primarily to our significant investment in infrastructure. Although we maintain redundant facilities and have contingency plans in place to protect against both man-made and natural threats, it is impossible to fully anticipate and protect against all potential catastrophes. A computer virus or other malware, physical or cybersecurity breach, criminal act, military action, power or communication failure, flood, severe storm or the like could lead to service interruptions and data losses for clients, disruptions to our operations, or damage to important facilities. In addition, such an event may cause clients to cancel their agreements with us for our products or services. Any of these events could adversely affect our business, results of operation and financial condition.</w:t>
      </w:r>
    </w:p>
    <w:p>
      <w:pPr>
        <w:spacing w:after="0" w:line="19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operations and a significant number of employees in India and we are therefore subject to regulatory, economic and political uncertainties in India.</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approximately 7,500 employees located in India. The economy of India may differ favorably or unfavorably from the U.S. economy and our business may be adversely affected by the general economic conditions and economic and fiscal policy in India, including changes in exchange rates and controls, interest rates and taxation policies. In particular, in recent years, India’s government has adopted policies that are designed to promote foreign investment, including significant tax incentives, relaxation of regulatory restrictions, liberalized import and export duties and preferential rules on foreign investment and repatriations. These policies may not continue. In addition, we are subject to risks relating to social stability, political, economic or diplomatic developments affecting India in the future.</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India faces major challenges in the years ahead sustaining the economic growth that it has experienced over the past several years. These challenges include the need for substantial infrastructure development and improving access to healthcare and education. Our ability to recruit, train and retain qualified employees and develop and operate our facilities in India could be adversely affected if India does not successfully meet these challenges, in which case we may need to relocate those facilities and that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senior management and their continued performance and productivity.</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are dependent on the continued efforts of the members of our senior management. The loss of any of the members of our senior management may cause a significant disruption in our business, jeopardize existing customer relationships, impair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40"/>
        <w:spacing w:after="0" w:line="282" w:lineRule="auto"/>
        <w:rPr>
          <w:sz w:val="20"/>
          <w:szCs w:val="20"/>
          <w:color w:val="auto"/>
        </w:rPr>
      </w:pPr>
      <w:r>
        <w:rPr>
          <w:rFonts w:ascii="Times New Roman" w:cs="Times New Roman" w:eastAsia="Times New Roman" w:hAnsi="Times New Roman"/>
          <w:sz w:val="18"/>
          <w:szCs w:val="18"/>
          <w:color w:val="auto"/>
        </w:rPr>
        <w:t>compliance efforts as a public company, and have a material adverse effect on our business objectives. We do not maintain key man life insurance policies for any senior officer or manager.</w:t>
      </w:r>
    </w:p>
    <w:p>
      <w:pPr>
        <w:spacing w:after="0" w:line="15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proprietary technology and other confidential information, our success and our ability to compete will be subject to various risks, such as third-party infringement claims, unauthorized use of our technology, disclosure of our proprietary information or inability to license technology from third parties.</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Our success and ability to compete depends in part upon our ability to protect our intellectual property, proprietary technology and other confidential information. We rely on a combination of patent, trade secret, copyright and trademark law, and nondisclosure agreements, license agreements and technical measures to protect our intellectual property, proprietary technology and other confidential information. We have registered trademarks, service marks, domain names, and logos for some of our products and will continue to evaluate the registration of additional trademarks, service marks, domain names, and logos as appropriate. We generally enter into confidentiality agreements or intellectual property assignment agreements with our employees, partners, independent contractors, consultants, distributors, clients and potential clients or other third parties that have or may have had access to our trade secrets or other proprietary or confidential information, or developed intellectual property on our behalf. However, these efforts may be insufficient to prevent those parties or others from infringing, misappropriating, violating or asserting rights in our intellectual property, confidential information or other technology and our proprietary technology and confidential information may be subject to embezzlement, theft, or other similar illegal behavior by our employees or third parties. In addition, our employees, partners, independent contacts, consultants, distributors, clients and potential clients may breach our confidentiality agreements and we may not have adequate remedies for any such breach. Furthermore, unauthorized third parties may seek to copy portions of our products or to reverse engineer or otherwise obtain and use our proprietary information. If a third party were to gain unauthorized access to or independently develop the confidential or proprietary information we possess, we could suffer a loss of revenues, we could experience an adverse impact on our competitive position, and our relationships with our clients and our reputation could be materially adversely affected. Existing patent and copyright laws afford only limited protection. Third parties may develop substantially equivalent or superseding proprietary technology or may offer equivalent products in competition with our products in a manner that does not infringe, misappropriate or otherwise violate our intellectual property or other proprietary rights, thereby substantially reducing the value of our proprietary rights. A number of third parties hold patents and other intellectual property rights with application in the financial services field. Consequently, we are subject to the risk that such third parties will claim that our products infringe, misappropriate or otherwise violate their intellectual property rights, including their patent rights. Such claims, regardless of merit, could result in expensive and time-consuming litigation, divert the attention of our personnel, and impair our intellectual property rights. An adverse determination in any intellectual property claim could require us to pay damages (compensatory or punitive) and/or temporarily or permanently stop using our technologies, trademarks, copyrighted works and other material found to be in violation of another party’s rights and could prevent us from licensing our technologies to others unless we enter into royalty or licensing arrangements with the prevailing party or are able to redesign our product offerings, services or processes to avoid infringing, misappropriating or otherwise violating such third party’s intellectual property rights, which may not be technically or commercially feasible. Any of the foregoing could have a material adverse effect on our business, results of operation, and financial condition.</w:t>
      </w:r>
    </w:p>
    <w:p>
      <w:pPr>
        <w:spacing w:after="0" w:line="9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use open source software in connection with a limited number of our software products. We monitor our use of open source software in an effort to avoid subjecting our products to unfavorable conditions or conditions that we do not intend, including the requirement to disclose our proprietary source code. However, such a use could inadvertently occur or could be claimed to have occurred, in part because open source license terms can be ambiguous. Some open source licenses require that source code subject to the license be disclosed to third parties, grant such third parties the right to modify and redistribute that source code and a requirement that the source code for any software derived from it be disclosed. If we combine our proprietary software with open source software in a certain manner, we could, under certain open source licenses, be required to release the source code of our proprietary software to the public. Although we believe that we have complied with our obligations under the applicable licenses for open source software that we use, there is little or no legal precedent governing the interpretation of many of the terms of certain of these licenses. As a result, the potential impact of these terms is uncertain and may result in unanticipated obligations or restrictions regarding those of our products, technologies or solutions affected. Additionally, we could face claims from third parties claiming ownership of, or demanding the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platform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have acquired and may acquire important technology rights through our acquisitions and have often incorporated and may incorporate features of these technologies across many of our products and services. As a result, we are subject to the above risks and the additional risk that the seller of the technology rights may not have appropriately protected the intellectual property rights we acquired. Indemnification and other rights under applicable acquisition documents are limited in term and scope and therefore provide us with only limited protection.</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rely on third-party software in providing some of our products and services. If we lose our licenses to use such software or if such licenses are found to infringe, misappropriate or otherwise violate upon the rights of others, we will need to seek alternative means of obtaining the licensed software to continue to provide our products or services, which may not be feasible on a technical or commercial basis. Our inability to replace such software, or to replace such software in a timely manner, could significantly disrupt our business and our ability to deliver products and services to our clients, and adversely affect our business, results of operation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adapt to rapidly changing technology and evolving industry standards and regulatory requirements.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Rapidly changing technology, evolving industry standards and regulatory requirements and new product and service introductions characterize the market for our products and services. Our future success will depend in part upon our ability to enhance our existing products and services and to develop and introduce new products and services to keep pace with such changes and developments and to meet changing client needs. The process of developing our software products is complex and is expected to become increasingly complex and expensive in the future due to the introduction of new platforms, operating systems and technologies. Current areas of significant technological change include mobility, cloud-based computing and the processing and analyzing of large amounts of data. Our ability to keep up with technology and business and regulatory changes is subject to a number of risks, including that:</w:t>
      </w:r>
    </w:p>
    <w:p>
      <w:pPr>
        <w:spacing w:after="0" w:line="81" w:lineRule="exact"/>
        <w:rPr>
          <w:sz w:val="20"/>
          <w:szCs w:val="20"/>
          <w:color w:val="auto"/>
        </w:rPr>
      </w:pPr>
    </w:p>
    <w:p>
      <w:pPr>
        <w:ind w:left="560" w:right="120" w:hanging="507"/>
        <w:spacing w:after="0" w:line="282" w:lineRule="auto"/>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or costly to update our services and software and to develop new products and services quickly enough to meet our clients’ needs;</w:t>
      </w:r>
    </w:p>
    <w:p>
      <w:pPr>
        <w:spacing w:after="0" w:line="53" w:lineRule="exact"/>
        <w:rPr>
          <w:rFonts w:ascii="Times New Roman" w:cs="Times New Roman" w:eastAsia="Times New Roman" w:hAnsi="Times New Roman"/>
          <w:sz w:val="18"/>
          <w:szCs w:val="18"/>
          <w:color w:val="auto"/>
        </w:rPr>
      </w:pPr>
    </w:p>
    <w:p>
      <w:pPr>
        <w:ind w:left="560" w:right="380" w:hanging="507"/>
        <w:spacing w:after="0" w:line="282" w:lineRule="auto"/>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or costly to make some features of our software work effectively and securely over the Internet or with new or changed operating systems;</w:t>
      </w:r>
    </w:p>
    <w:p>
      <w:pPr>
        <w:spacing w:after="0" w:line="53" w:lineRule="exact"/>
        <w:rPr>
          <w:rFonts w:ascii="Times New Roman" w:cs="Times New Roman" w:eastAsia="Times New Roman" w:hAnsi="Times New Roman"/>
          <w:sz w:val="18"/>
          <w:szCs w:val="18"/>
          <w:color w:val="auto"/>
        </w:rPr>
      </w:pPr>
    </w:p>
    <w:p>
      <w:pPr>
        <w:ind w:left="560" w:right="880" w:hanging="507"/>
        <w:spacing w:after="0" w:line="282" w:lineRule="auto"/>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or costly to update our software and services to keep pace with business, evolving industry standards, regulatory requirements and other developments in the industries in which our clients operate; and</w:t>
      </w:r>
    </w:p>
    <w:p>
      <w:pPr>
        <w:spacing w:after="0" w:line="53" w:lineRule="exact"/>
        <w:rPr>
          <w:rFonts w:ascii="Times New Roman" w:cs="Times New Roman" w:eastAsia="Times New Roman" w:hAnsi="Times New Roman"/>
          <w:sz w:val="18"/>
          <w:szCs w:val="18"/>
          <w:color w:val="auto"/>
        </w:rPr>
      </w:pPr>
    </w:p>
    <w:p>
      <w:pPr>
        <w:ind w:left="560" w:right="720" w:hanging="507"/>
        <w:spacing w:after="0" w:line="282" w:lineRule="auto"/>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liability for security breaches that allow unauthorized persons to gain access to confidential, proprietary or personal information stored on our computers or transmitted over our network.</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failure to enhance our existing products and services and to develop and introduce new products and services to promptly address the needs of our clients and a changing marketplace could adversely affect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development and use of machine learning and artificial intelligence presents risks and challenges that could impact our business.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develop and incorporate machine learning and AI technology (collectively “AI”) in certain of our products, services and operations. Issues related to AI may result in reputational harm, liability, increased costs, or other material adverse consequences to our business.</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AI may produce inaccurate, insufficient or false outputs, and outputs with unintended biases. Our AI algorithms and training methodologies may contain errors, biases or other flaws, or be limited by regulatory or contractual restrictions on using data to train our models.</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AI offerings may fail to win market adoption for various reasons. We face significant competition from other companies who may develop or deploy AI faster, at lower cost, or more effectively than we do. In addition, third parties may deploy AI technologies in a manner that reduces customer demand for our products and services.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There may be legal uncertainty around the protectability of AI-generated works, which may limit our ability to obtain exclusive intellectual property rights in our products and innovations. Further, the data we use to train AI may contain protected information, including personal data, or information belonging to third parties, for which we have insufficient rights. Our use of AI may result in exposure to claims by third parties of copyright infringement or other intellectual property misappropriation, which may require us to pay compensation or license fees to third parties.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Vendors who provide AI technology to us, and who utilize AI technology to provide other products and services to us, and their vendors, may not meet existing or rapidly evolving regulatory or industry standards for privacy and data protection, and level of service and experience.</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we, our vendors, or our or their third-party partners experience an actual or perceived breach of privacy or a security incident involving the use of AI, we may lose valuable intellectual property and confidential information, and our reputation could be harmed.</w:t>
      </w:r>
    </w:p>
    <w:p>
      <w:pPr>
        <w:spacing w:after="0" w:line="54"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Malicious actors around the world may use AI for cyberattacks, data theft, and other harmful activities, including AI-powered automated attacks targeting our systems or employees and resulting in the theft and misuse of personal information, confidential information, and intellectual property. AI-generated disinformation could also be used to damage our brand or manipulate market perception of our company.</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regulatory landscape surrounding AI is evolving and uncertain. AI regulations are emerging globally, including in the European Economic Area and other jurisdictions in which we operate. These regulations may not be consistent across jurisdictions and will be subject to change and evolving interpretations.</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Undetected software design defects, errors or failures, or employee errors, may result in defects, delays, loss of our clients’ data, litigation against us and harm to our reputation and business.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software products are highly complex and sophisticated and could contain design defects or software errors that are difficult to detect and correct. Errors or bugs in our software may affect the ability of our products to work with other hardware or software products, delay the development or release of new products or new versions of products, result in the loss of client data, damage our reputation, affect market acceptance of our products or result in the rejection of our products by the market, cause loss of revenues, divert development resources, increase product liability and warranty claims, and increase service and support costs. We cannot be certain that, despite testing by us and our clients, errors will not be found in new products or new versions of products. Moreover, our clients engage in complex trading activities and this complexity increases the likelihood that our employees may make errors. Employee errors, poor employee performance or misconduct may be difficult to detect and deter. These product defects or errors in the product operations, or employee errors, poor performance or misconduct, could cause damages to our clients for which they may assert claims or lawsuits against us. The cost of defending such a lawsuit, regardless of its merit, could be substantial and could divert management’s attention and result in reputational harm.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business, results of operations and financial condition.</w:t>
      </w:r>
    </w:p>
    <w:p>
      <w:pPr>
        <w:spacing w:after="0" w:line="18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Investment decisions with respect to cash balances, market returns or losses on investments, and limits on insurance applicable to cash balances held in bank and brokerage accounts, including those held by us and as agent on behalf of our clients, could expose us to losses of such cash balances and adversely affect revenues attributable to cash balance deposit investments.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part of our transaction processing and other services, we maintain and manage large bank and investment accounts containing client funds, which we hold as agent, as well as operational funds. Our revenues include investment earnings related to client fund cash balances. Our choices in selecting investments, or market conditions that affect the rate of return on or the availability of investments, could have an adverse effect on the level of such revenues. The amounts held in our operational and client deposit accounts could exceed the limits of government insurance programs of organizations such as the Federal Deposit Insurance Corporation and the Securities Investors Protection Corporation, exposing us to the risk of loss. Any substantial loss would have a material adverse impact on our business, results of operations and our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revenues are derived, and a substantial portion of our operations are conducted, outside the U.S.</w:t>
      </w:r>
    </w:p>
    <w:p>
      <w:pPr>
        <w:spacing w:after="0" w:line="121" w:lineRule="exact"/>
        <w:rPr>
          <w:sz w:val="20"/>
          <w:szCs w:val="20"/>
          <w:color w:val="auto"/>
        </w:rPr>
      </w:pPr>
    </w:p>
    <w:p>
      <w:pPr>
        <w:jc w:val="both"/>
        <w:ind w:right="700"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international revenues accounted for 31%, 31% and 29%, respectively, of our total revenues. We sell certain of our products primarily outside the U.S. In addition, international trade tensions have created political and economic uncertainty and instability in global financial and foreign currency markets.</w:t>
      </w:r>
    </w:p>
    <w:p>
      <w:pPr>
        <w:spacing w:after="0" w:line="68"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While Brexit events provide some clarity regarding the future relationship between the U.K. and the E.U., there remains uncertainty, which may adversely affect our operations and financial results, as we generated approximately $673.4 million, $638.6 million and $573.1 million in revenues from the U.K. in the years ended December 31, 2024, 2023 and 2022, respectively. Our international business is also subject to a variety of other risks, including:</w:t>
      </w:r>
    </w:p>
    <w:p>
      <w:pPr>
        <w:spacing w:after="0" w:line="72" w:lineRule="exact"/>
        <w:rPr>
          <w:sz w:val="20"/>
          <w:szCs w:val="20"/>
          <w:color w:val="auto"/>
        </w:rPr>
      </w:pPr>
    </w:p>
    <w:p>
      <w:pPr>
        <w:ind w:left="560" w:right="240" w:hanging="507"/>
        <w:spacing w:after="0" w:line="282" w:lineRule="auto"/>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a specific country’s or region’s political or economic climate, including the ongoing situation involving Ukraine and Russia, and the conflict in the Middle-East;</w:t>
      </w:r>
    </w:p>
    <w:p>
      <w:pPr>
        <w:spacing w:after="0" w:line="53"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a variety of local regulations and laws, U.S. export controls, the U.S. Foreign Corrupt Practices Act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left="560"/>
        <w:spacing w:after="0"/>
        <w:rPr>
          <w:sz w:val="20"/>
          <w:szCs w:val="20"/>
          <w:color w:val="auto"/>
        </w:rPr>
      </w:pPr>
      <w:r>
        <w:rPr>
          <w:rFonts w:ascii="Times New Roman" w:cs="Times New Roman" w:eastAsia="Times New Roman" w:hAnsi="Times New Roman"/>
          <w:sz w:val="18"/>
          <w:szCs w:val="18"/>
          <w:color w:val="auto"/>
        </w:rPr>
        <w:t>(“FCPA”) and the U.K. Bribery Act (“Bribery Act”);</w:t>
      </w:r>
    </w:p>
    <w:p>
      <w:pPr>
        <w:spacing w:after="0" w:line="117" w:lineRule="exact"/>
        <w:rPr>
          <w:sz w:val="20"/>
          <w:szCs w:val="20"/>
          <w:color w:val="auto"/>
        </w:rPr>
      </w:pPr>
    </w:p>
    <w:p>
      <w:pPr>
        <w:ind w:left="560" w:hanging="507"/>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issues and uncertainties arising from geopolitical tensions, governmental policy changes, and other factors;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expropriation of assets by foreign governments;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repatriating any international profits;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discriminatory fiscal policies;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tax laws and the interpretation and application of such laws; and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difficulty enforcing third-party contractual obligations and intellectual property rights.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factors could adversely affect our business, results of operations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that could negatively impact our operating results and financial condition.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Because a significant portion of our business is conducted outside the U.S. and significant revenues are generated outside the U.S., we face exposure to adverse movements in foreign currency exchange rates. Fluctuations in currencies relative to currencies in which our earnings are generated also make it more difficult to perform period-to-period comparisons of our reported results of operations. Because our Consolidated Financial Statements are reported in U.S. dollars, translation of sales or earnings generated in other currencies into U.S. dollars can result in a significant increase or decrease in the reported amount of those sales or earnings. In addition, we incur currency transaction risk whenever we enter into either a purchase or a sales transaction using a currency other than the local currency of the transacting entity. Given the volatility of exchange rates, we cannot be assured we will be able to effectively manage our currency translation or transaction risk, and significant changes in the value of foreign currencies relative to the U.S. dollar could adversely affect our financial statements. See “Management’s Discussion and Analysis of Financial Condition and Results of Operations” for further discussion on the foreign currency translation impact on operating results and financial condition.</w:t>
      </w:r>
    </w:p>
    <w:p>
      <w:pPr>
        <w:spacing w:after="0" w:line="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do not currently engage in material hedging activities. Changes in economic or political conditions globally and in any of the countries in which we operate could result in exchange rate movements, new currency or exchange controls or other restrictions being imposed on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funds and our joint ventures could decline in value.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add new investment strategies to our investment product offerings by providing the initial cash investments as “seed capital.” The seed capital investments may decline in value. A significant decline in their value could have a material adverse effect on our financial condition or operating results. We are a limited partner in various private equity funds and have future capital commitments related to certain private equity fund investments. These investments are illiquid. Generally, private equity fund securities are non-transferable or are subject to long holding periods, and withdrawals from the private equity firm partnerships are typically not permitted. Even when transfer restrictions do not apply, there is generally no public market for the securities. Therefore, we may not be able to sell the securities at a time when we desire to do so. We may not always be able to sell those investments at the same or higher prices than we paid for them. We also participate in joint ventures with other companies. These joint venture investments could require further capital contributions.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control certain businesses in which we have significant ownership.</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invest in joint ventures and other unconsolidated affiliates as part of our business strategy, and part of our net income is derived from our pro rata share of the earnings of those businesses. Despite owning significant equity interests in those companies and having directors on their boards, we do not control their operations, strategies or financial decisions. The other owners may have economic, business or legal interests or goals that are inconsistent with our goals or the goals of the businesses we co-own. Our pro rata share of any losses due to unfavorable performance of those companies could negatively impact our financial results.</w:t>
      </w:r>
    </w:p>
    <w:p>
      <w:pPr>
        <w:spacing w:after="0" w:line="179"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Some of our joint venture investments are subject to buy-sell agreements, which could, among other things, restrict us from selling our interests even if we were to determine it would be prudent to do so.</w:t>
      </w:r>
    </w:p>
    <w:p>
      <w:pPr>
        <w:spacing w:after="0" w:line="3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own interests in unconsolidated entities and various real estate joint ventures. Our interests in such unconsolidated entities are subject to buy/sell arrangements, which could restrict our ability to sell our interests even if we were to determine it would be prudent to do so. These arrangements could also allow us to purchase the other owners’ interests to prevent someone else from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right="100"/>
        <w:spacing w:after="0" w:line="282" w:lineRule="auto"/>
        <w:rPr>
          <w:sz w:val="20"/>
          <w:szCs w:val="20"/>
          <w:color w:val="auto"/>
        </w:rPr>
      </w:pPr>
      <w:r>
        <w:rPr>
          <w:rFonts w:ascii="Times New Roman" w:cs="Times New Roman" w:eastAsia="Times New Roman" w:hAnsi="Times New Roman"/>
          <w:sz w:val="18"/>
          <w:szCs w:val="18"/>
          <w:color w:val="auto"/>
        </w:rPr>
        <w:t>acquiring them and we cannot control the timing of occasions to do so. The businesses or other owners may encourage us to increase our investment in or make contributions to the businesses at an inopportune time.</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some of the agreements governing our joint venture arrangements include buy/sell provisions that provide a party to the arrangement with the option to purchase the other party’s interests upon such other party’s change of control at a purchase price that may be less than fair market value. For instance, under the partnership agreement of IFDS L.P., in the event of a change of control of the Company, the other partner would have the option to purchase our interests in IFDS L.P. at a price equal to book value, unless another purchase provision in the partnership agreement was triggered prior to the change of control. Book value may be substantially less than fair market value at the time of any sale of our interests upon a change of control.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material weakness in our internal controls could have a material adverse effect on us.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reasonable assurance with respect to our financial reports and to effectively prevent fraud. If we cannot do so, our reputation and operating results could be harmed. A material weakness in our internal control over financial reporting could adversely impact our ability to provide timely and accurate financial information. Even effective internal controls can provide only reasonable assurance with respect to the preparation and fair presentation of financial statements. In addition, controls can be circumvented by individual acts of some persons, by collusion of two or more people, or by management override of the controls. Over time, controls may become inadequate because changes in conditions or deterioration in the degree of compliance with policies or procedures may occur. Because of the inherent limitations in a cost-effective control system, misstatements due to error or fraud may occur and not be detected. If we are unable to report financial information timely and accurately or to maintain effective disclosure controls and procedures, our stock price could be negatively impacted and we could be subject to, among other things, regulatory or enforcement actions by the SEC, which could have a material adverse effect on our business,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or Regulatory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businesses expose us to risks of claims and losses that could be significant and damage our reputation and business prospects.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proprietary applications and related consulting and other services include the processing or clearing of financial and healthcare transactions for our clients and their customers and the design of benefit plans and compliance programs. The dollar amount of transactions processed or cleared is vastly in excess than the revenues we derive from providing these services. In the event we make transaction processing or operational errors, or mismanage any process, we could be exposed to claims for any resulting processing delays, disclosure of protected information, miscalculations, mishandling of pass-through disbursements or other processes, and failure to follow a client’s instructions or meet specifications. Additionally, we may be subject to claims or liability resulting from a failure of third parties (including regulatory authorities) to recognize the limitations of our role as our clients’ agent or consultant, and we may be subject to claims or liability resulting from fraud committed by third parties. We may be exposed to the risk of counterparty breaches or failure to perform. We may be subject to claims, including class actions, for reimbursements, losses or damages arising from any transaction processing or operational error, or from process mismanagement. Because of the sensitive nature of the financial and healthcare transactions we process, our liability and any alleged damages may significantly exceed the fees we receive for performing the service at issue. Litigation could include class action claims based upon, among other theories, various regulatory requirements and consumer protection and privacy laws that class action plaintiffs may attempt to use to assert private rights of action. Any of these claims and related settlements or judgments could affect our operating results, damage our reputation, decrease demand for our products and services, or cause us to make costly operating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evolving regulations and increased scrutiny from regulators.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business is subject to evolving and increasing U.S. and foreign regulation, including privacy, licensing, processing, recordkeeping, investment adviser, broker/dealer, retirement, data protection, reporting and related regulations. New products and services we plan to offer may also be subject to regulation, either directly or as a downstream provider to customers or clients. Such regulations cover all aspects of our business including, but not limited to, sales and trading methods, trade practices among broker/dealers, use and safekeeping of clients’ funds and securities, use of client and employee data, capital structure of securities firms, net capital, anti-money laundering efforts, healthcare, recordkeeping and the conduct of directors, officers and employees. Any violation of applicable regulations could expose us or those businesses to civil or criminal liability, significant fines or sanctions, damage our reputation, the revocation of licenses, censures, or a temporary suspension or permanent bar from conducting business, which could adversely affect our business, results of operations and our financial condition.</w:t>
      </w:r>
    </w:p>
    <w:p>
      <w:pPr>
        <w:spacing w:after="0" w:line="84"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Our clients are subject to extensive regulation, including investment adviser, broker/dealer and privacy regulations applicable to products and services we provide to the financial services industry and insurance, privacy and other regulations applicable to services we provide to the healthcare industry. As a result, our relationships with our clients may subject us to increased scrutiny from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number of regulators and government entities that regulate the financial services industry in the U.S., the U.K. and the other jurisdictions in which we operate. As a result of the changes in the global economy and the turmoil in global financial markets in recent years, the risk of additional government regulation has increased.</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Moreover, our healthcare business is subject to evolving and increasing federal and state regulation. Such federal regulation is developed, interpreted or enforced by regulators including, the Centers for Medicare and Medicaid Services, the U.S. Dept. of Health and Human Services, the Office for Civil Rights and the Office of the Inspector General. Typically, a state’s department of insurance regulates much of our healthcare business; however, each state’s statutes dictate such authority. Any of these regulations may limit or curtail our activities, including activities that might be profitable, and changes to existing regulations, or the interpretations thereof, may affect our ability to continue to offer our existing products and services, or to offer products and services we may wish to offer in the future.</w:t>
      </w:r>
    </w:p>
    <w:p>
      <w:pPr>
        <w:spacing w:after="0" w:line="79"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The E.U.’s AIFMD and the U.S. Dodd-Frank Act, among other initiatives, pose significant changes to the regulatory environment in which we and our clients operate. The impact of these regulatory changes remains uncertain. If we fail to comply with any applicable laws, rules or regulations, we may be subject to censure, fines or other sanctions, including revocation of our licenses and/or registrations with various regulatory agencies, criminal penalties and civil lawsuits.</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FCPA and anti-bribery laws in other jurisdictions, including the Bribery Act, generally prohibit companies and their intermediaries from making improper payments for the purpose of obtaining or retaining business or other commercial advantage. The FCPA also imposes accounting standards and requirements on publicly traded U.S. corporations and their foreign affiliates which are intended to prevent the diversion of corporate funds to the payment of bribes and other improper payments, and to prevent the establishment of “off books” slush funds from which such improper payments can be made. We and our clients operate in a number of jurisdictions that may pose a risk of potential FCPA or Bribery Act violations.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Changes in, and any violation by our clients of, applicable laws and regulations (whether related to the products and services we provide or otherwise) could diminish their business or financial condition and thus their demand for our products and services or could increase our cost of continuing to provide our products and services to such industries. Demand could also decrease if we do not continue to offer products and services that help our clients comply with regulations. For example, our accounts in the healthcare industry are impacted by the Patient Protection and Affordable Care Act of 2010 (the “Affordable Care Act”), including the Health Insurance Marketplace.</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we cannot predict the nature, scope or effect of future regulatory requirements to which our internal operations might be subject or the manner in which existing laws might be administered or interpreted. While our policies mandate compliance with these laws, there can be no assurance that we will be completely effective in ensuring our compliance with all applicable anti-corruption laws. A failure to comply with these laws, rules or regulations, or allegations of such noncompliance, could adversely affect our business, reputation, results of operations and financial condition.</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role as a fund administrator has in the past, and may in the future, expose us to claims and litigation from clients, their investors, regulators or other third parties.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a service provider, we have been, and may in the future be, subject to claims and lawsuits from investors, regulators, liquidators, other third parties and our clients, some of which pursue high-risk investment strategies and all of which are subject to substantial market risk, in the event that the underlying fund suffers investment losses, incurs instances of fraud, becomes insolvent, files for bankruptcy or otherwise becomes defunct. Even if we are not ultimately found to be liable, defending such claims or lawsuits could be time-consuming, divert management resources, harm our reputation and cause us to incur significant expenses. These claims or lawsuits could have an adverse effect on our business, results of operations and financial condition.</w:t>
      </w:r>
    </w:p>
    <w:p>
      <w:pPr>
        <w:spacing w:after="0" w:line="17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platform could be used to collect, store, handle, transmit or otherwise process personal information of our customers’ employees or customers, privacy concerns could result in additional cost and liability to us or inhibit use of our platform.</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Personal privacy has become a significant issue in the U.S. and in many other countries where we offer our solutions or may offer them in the future. The global data protection landscape is rapidly evolving, is not uniform and is likely to remain uncertain for the foreseeable future, and there has been an increasing focus on data privacy and protection issues with the potential to affect our business. Many federal, state and foreign government bodies and agencies have adopted or are considering adopting laws and regulations regarding the collection, use, disclosure, control, security and deletion and other processing of personal information. In the U.S., these include, without limitation, laws and regulations promulgated by states, as well as rules and regulations promulgated under the authority of the Federal Trade Commission (“FTC”) and federal financial regulatory bodies. In certain circumstances in the U.S., we are also subject to the federal Gramm-Leach-Bliley Act (“GLBA”), which, among other things, requires certain of our businesses, including, without limitation, broker-dealers, transfer agents, and registered investment advisers, to maintain written policies and procedures to protect certain non-public personal information of individuals who are clients of certain of our financial</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1" w:name="page32"/>
    <w:bookmarkEnd w:id="31"/>
    <w:p>
      <w:pPr>
        <w:spacing w:after="0" w:line="252" w:lineRule="auto"/>
        <w:rPr>
          <w:sz w:val="20"/>
          <w:szCs w:val="20"/>
          <w:color w:val="auto"/>
        </w:rPr>
      </w:pPr>
      <w:r>
        <w:rPr>
          <w:rFonts w:ascii="Times New Roman" w:cs="Times New Roman" w:eastAsia="Times New Roman" w:hAnsi="Times New Roman"/>
          <w:sz w:val="18"/>
          <w:szCs w:val="18"/>
          <w:color w:val="auto"/>
        </w:rPr>
        <w:t>institution customers, to notify such individuals if certain of their sensitive non-public personal information has been accessed or used without authorization, and to take reasonable measures to protect against unauthorized access to or use of certain non-public personal information of individuals who are clients of certain of our financial institution customers in connection with its disposal. In certain circumstances in the U.S., we are subject to the U.S. Health Insurance Portability and Accountability Act of 1996 (“HIPAA”), which governs the use and disclosure of protected health information of individuals who are clients of or otherwise serviced by certain of our healthcare industry customers. In the U.S., new or evolving laws and regulations governing data privacy and the use and disclosure of non-public, confidential or protected personal information, including the California Consumer Privacy Act, as amended by the California Privacy Rights Act (collectively, “CCPA”), State biometric laws, and other emerging U.S. state privacy laws, pose increasingly complex compliance challenges and could potentially elevate our compliance risks and costs. Internationally, most of the jurisdictions in which we operate have established their own data security and privacy legal frameworks, many of which are broader in scope, more restrictive and impose greater obligations on us and our customers than in the U.S., including, without limitation, the E.U.</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s General Data Protection Regulation (“GDPR”) which </w:t>
      </w:r>
      <w:r>
        <w:rPr>
          <w:rFonts w:ascii="Times New Roman" w:cs="Times New Roman" w:eastAsia="Times New Roman" w:hAnsi="Times New Roman"/>
          <w:sz w:val="18"/>
          <w:szCs w:val="18"/>
          <w:color w:val="231F20"/>
        </w:rPr>
        <w:t xml:space="preserve">imposes strict privacy and data security requirements and provides for robust regulatory enforcement and sanctions for non-compliance. </w:t>
      </w:r>
      <w:r>
        <w:rPr>
          <w:rFonts w:ascii="Times New Roman" w:cs="Times New Roman" w:eastAsia="Times New Roman" w:hAnsi="Times New Roman"/>
          <w:sz w:val="18"/>
          <w:szCs w:val="18"/>
          <w:color w:val="000000"/>
        </w:rPr>
        <w:t>The GDPR</w:t>
      </w:r>
      <w:r>
        <w:rPr>
          <w:rFonts w:ascii="Times New Roman" w:cs="Times New Roman" w:eastAsia="Times New Roman" w:hAnsi="Times New Roman"/>
          <w:sz w:val="18"/>
          <w:szCs w:val="18"/>
          <w:color w:val="231F20"/>
        </w:rPr>
        <w:t xml:space="preserve"> also imposes strict rules on the transfer of personal data to countries outside of the European Economic Area (“EEA”), including the United States, in respect of which the European Commission or other relevant regulatory body has not issued a so called ‘adequacy decision,’ unless the parties to the transfer have implemented specific safeguards to protect the transferred personal data. Recent legal developments in Europe have created complexity, uncertainty and risk regarding such transfers, in particular in relation to transfers to the United States.</w:t>
      </w:r>
    </w:p>
    <w:p>
      <w:pPr>
        <w:spacing w:after="0" w:line="8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Moreover, following Brexit, the GDPR was transposed into UK law (“UK GDPR”) as supplemented by the UK Data Protection Act 2018, which currently imposes the same obligations as the GDPR in most material respects. However, the UK GDPR will not automatically incorporate changes made to the GDPR going forward (which would need to be specifically incorporated by the UK Government), which creates a risk of divergent parallel regimes and related uncertainty and compliance risk. We cannot predict how the UK GDPR and other UK privacy and data security laws, rules or regulations may develop, including as compared to the GDPR, nor can we predict the effects of divergent laws and related guidance. Moreover, we face similar issues and risks of compliance with divergent data privacy laws in India, Thailand, Brazil, China, and other countries in which we operate.</w:t>
      </w:r>
    </w:p>
    <w:p>
      <w:pPr>
        <w:spacing w:after="0" w:line="7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Additionally, many statutory requirements, both in the U.S. and abroad, include obligations for companies to notify individuals of data breaches involving certain personal information. For example, certain federal laws and laws in all 50 U.S. states require certain businesses to provide notice to consumers whose personal information has been disclosed as a result of a data breach. These laws are not consistent, and compliance with such state laws and applicable U.S. federal laws in the event of a widespread data breach is difficult and may be costly. Moreover, states and U.S. regulatory agencies frequently amend existing laws, requiring attention to changing state and federal regulatory requirements. We also may be contractually required to notify consumers or other third parties of a security breach.</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government regulation, privacy advocacy and industry groups may propose new and different self-regulatory standards that either legally or contractually apply to us. As a result of uncertainty regarding the interpretation and application of privacy and data protection-related laws, regulations, and self-regulatory requirements, it is possible that these laws, regulations, and requirements may be interpreted and applied in a manner that is inconsistent with our existing data handling practices or the technological features of our solutions. If so, in addition to the possibility of fines, lawsuits and other claims, each of which may be material, we could be required to fundamentally change our business activities and practices or modify our solutions, which could have an adverse effect on our business. Any inability to adequately address privacy or data protection-related concerns, even if unfounded, or comply with applicable privacy or data protection-related industry standards, laws, rules, regulations, policies and other obligations, could result in additional cost and liability to us, damage our reputation, inhibit sales and harm our business. Furthermore, the costs of compliance with, and other burdens imposed by, the industry standards, laws, regulations, policies and other obligations that are applicable to us and the businesses of our customers may limit the use and adoption of, and reduce the overall demand for, our solutions. Also, privacy concerns, whether valid or not valid, may inhibit market adoption of our solutions, particularly in foreign countries.</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subject to litigation regarding our or a third party’s intellectual property rights or other confidential or proprietary information, which could seriously harm our business and require us to incur significant costs.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recent years, there has been a high incidence of litigation in the U.S. involving patents and other intellectual property rights. We are from time to time a party to litigation to enforce our intellectual property rights or to protect our confidential or proprietary information, or as a result of an allegation that we infringe, misappropriate or otherwise violate a third party’s intellectual property rights, including patents, trademarks, trade secrets and copyrights. We also may be contractually required to defend and indemnify our clients against third-party infringement claims related to our intellectual property. From time to time, we have received notices claiming our technology may infringe, misappropriate or otherwise violate third-party intellectual property rights or otherwise threatening to assert intellectual property rights. These claims and any resulting lawsuit, if successful, could subject us to significant liability for damages and our intellectual property rights being reduced, narrowed or held unenforceable or invalid. These lawsuits,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ind w:right="260"/>
        <w:spacing w:after="0" w:line="255" w:lineRule="auto"/>
        <w:rPr>
          <w:sz w:val="20"/>
          <w:szCs w:val="20"/>
          <w:color w:val="auto"/>
        </w:rPr>
      </w:pPr>
      <w:r>
        <w:rPr>
          <w:rFonts w:ascii="Times New Roman" w:cs="Times New Roman" w:eastAsia="Times New Roman" w:hAnsi="Times New Roman"/>
          <w:sz w:val="18"/>
          <w:szCs w:val="18"/>
          <w:color w:val="auto"/>
        </w:rPr>
        <w:t>regardless of their success, could be time-consuming and expensive to resolve, adversely affect our revenues, profitability and prospects, and divert management time and attention. If we are found to infringe, misappropriate or otherwise violate a third party’s intellectual property rights, we may be required to pay the third party substantial monetary damages and to cease the activities covered by such intellectual property rights, unless we obtain a license to such intellectual property rights, which may not be available on commercially reasonable terms or at all, or incur substantial costs to develop non-infringing intellectual property to make it or our related products or services available under contracts with our customers. In addition, these claims and threats could also cause us to undertake to re-engineer our products or services which may not be technically or commercially feasible. Any of the foregoing could have a material adverse effect on our business, results of operation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health and operations.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currently have a substantial amount of indebtedness. As of December 31, 2024, we had total indebtedness of $7,045.0 million and an additional $596.3 million available for borrowings under our revolving credit facility. This indebtedness could have adverse consequences. For example, it may:</w:t>
      </w:r>
    </w:p>
    <w:p>
      <w:pPr>
        <w:spacing w:after="0" w:line="54" w:lineRule="exact"/>
        <w:rPr>
          <w:sz w:val="20"/>
          <w:szCs w:val="20"/>
          <w:color w:val="auto"/>
        </w:rPr>
      </w:pPr>
    </w:p>
    <w:p>
      <w:pPr>
        <w:jc w:val="both"/>
        <w:ind w:left="560" w:right="200" w:hanging="507"/>
        <w:spacing w:after="0" w:line="312" w:lineRule="auto"/>
        <w:tabs>
          <w:tab w:leader="none" w:pos="5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substantial portion of our cash flow from operations to payments on our indebtedness, thereby reducing the availability of our cash flow to fund acquisitions, working capital, capital expenditures, research and development efforts and other general corporate purposes;</w:t>
      </w:r>
    </w:p>
    <w:p>
      <w:pPr>
        <w:spacing w:after="0" w:line="31" w:lineRule="exact"/>
        <w:rPr>
          <w:rFonts w:ascii="Times New Roman" w:cs="Times New Roman" w:eastAsia="Times New Roman" w:hAnsi="Times New Roman"/>
          <w:sz w:val="17"/>
          <w:szCs w:val="17"/>
          <w:color w:val="auto"/>
        </w:rPr>
      </w:pPr>
    </w:p>
    <w:p>
      <w:pPr>
        <w:ind w:left="560" w:hanging="507"/>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and limit our flexibility in planning for, or reacting to, change in our business and the industry in which we operate;</w:t>
      </w:r>
    </w:p>
    <w:p>
      <w:pPr>
        <w:spacing w:after="0" w:line="117" w:lineRule="exact"/>
        <w:rPr>
          <w:rFonts w:ascii="Times New Roman" w:cs="Times New Roman" w:eastAsia="Times New Roman" w:hAnsi="Times New Roman"/>
          <w:sz w:val="18"/>
          <w:szCs w:val="18"/>
          <w:color w:val="auto"/>
        </w:rPr>
      </w:pPr>
    </w:p>
    <w:p>
      <w:pPr>
        <w:ind w:left="560" w:hanging="507"/>
        <w:spacing w:after="0" w:line="282" w:lineRule="auto"/>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certain distributions with respect to our capital stock due to restricted payment and other financial covenants in our credit facilities and other financing agreements;</w:t>
      </w:r>
    </w:p>
    <w:p>
      <w:pPr>
        <w:spacing w:after="0" w:line="53"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borrowings under our senior credit facility are subject to variable rates of interest;</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117"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addition, the agreement governing our senior credit facility contains financial and other restrictive covenants that limit our ability to engage in activities that may be in our long-term best interests, and any additional indebtedness may incur may also contain restrictive covenants. Our failure to comply with those covenants could result in an event of default which, if not cured or waived, could result in the acceleration of all of our debts. In addition, increases in interest rates by the U.S. Federal Reserve and central banks around the world have resulted in economic volatility and uncertainty, and if sustained, could adversely affect our financial health and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service our indebtedness, we require a significant amount of cash. Our ability to generate cash depends on many factors beyond our control.</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estimate that our current levels of indebtedness as of December 31, 2024 will result in annual interest payments of approximately $431.1 million. Our ability to make payments on and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our business fails to generate sufficient cash flow from operations and future borrowings are not available to us, we may not be able to pay our indebtedness or fund our other liquidity needs. We may need to refinance all or a portion of our indebtedness on or before maturity. We may not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joint ventures. We may not be able to effect such actions, if necessary, on commercially reasonable terms or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in the agreements governing our indebtedness may restrict our ability to pursue our business strategies.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Credit Agreement limits our ability, among other things, to:</w:t>
      </w:r>
    </w:p>
    <w:p>
      <w:pPr>
        <w:spacing w:after="0" w:line="117" w:lineRule="exact"/>
        <w:rPr>
          <w:sz w:val="20"/>
          <w:szCs w:val="20"/>
          <w:color w:val="auto"/>
        </w:rPr>
      </w:pPr>
    </w:p>
    <w:p>
      <w:pPr>
        <w:ind w:left="560" w:hanging="507"/>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560" w:hanging="507"/>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including capital stock of certain subsidiaries;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repurchase or redeem stock or make other distributions to stockholders;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liquidate or dissolve;</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our affiliates; and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the Credit Agreement also requires us to maintain a specified leverage ratio. Our ability to comply with these provisions may be affected by events beyond our control, and these provisions could limit our ability to plan for or react to market conditions, meet capital needs or otherwise conduct our business activities and plans.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inability to comply with any of these provisions could result in a default under one or more of the agreements governing our indebtedness. If such a default occurs under one such agreement, the creditors under another debt agreement may elect to declare all borrowings outstanding, together with accrued interest and other fees, to be immediately due and payable. In addition, the lenders under our Credit Agreement would have the right to terminate any commitments they have to provide further borrowings.</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repay outstanding borrowings when due, the lenders under our Credit Agreement also have the right to proceed against the collateral, including substantially all of our domestic assets and the assets of our domestic subsidiaries, granted to them to secure the indebtedness under that facility. If the indebtedness under our Credit Agreement were to be accelerated, we cannot assure you that our assets would be sufficient to repay in full that indebtedness and our other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under our Credit Agreement bear interest based on SOFR, and SOFR has a limited history.</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Loans under our Credit Agreement bear interest at a rate based on the Secured Overnight Financing Rate (“SOFR”). Previously, our Credit Agreement could bear interest at U.S dollar London Interbank Overnight (“LIBOR”) rates. ICE Benchmark Administration, the authorized and regulated administrator of LIBOR, ended publication of the one-week and two-month LIBOR tenors on December 31, 2021, and ended publication of the remaining LIBOR tenors on June 30, 2023.</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SOFR has a limited history, and the future performance of SOFR cannot be predicted based on its limited historical performance. Prior observed patterns, if any, in the behavior of market variables and their relation to SOFR, such as correlations, may change in the future. There could be unanticipated difficulties or disruptions with the calculation and publication of SOFR-based rates. This could result in increased borrowing costs for SS&amp;C.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or cease publishing research or reports about our business or if they issue unfavorable commentary or downgrade our common stock, the price and trading volume of our common stock could decline.</w:t>
      </w:r>
    </w:p>
    <w:p>
      <w:pPr>
        <w:spacing w:after="0" w:line="5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do not control these analysts. The price of our stock or trading volume in our stock could decline if one or more equity analysts downgrade our stock or if those analysts issue other unfavorable commentary or cease publishing regular reports about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 in our common stock.</w:t>
      </w:r>
    </w:p>
    <w:p>
      <w:pPr>
        <w:spacing w:after="0" w:line="12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Shares of our common stock were sold in our initial public offering at a price of $7.50 per share on March 31, 2010, and through December 31, 2024, our common stock has traded as high as $84.85 and as low as $6.64. An active, liquid and orderly market for our common stock may not be sustained, which could depress the trading price of our common stock. In addition, the market price of our common stock may fluctuate significantly. Some of the factors that may cause the market price of our common stock to fluctuate include:</w:t>
      </w:r>
    </w:p>
    <w:p>
      <w:pPr>
        <w:spacing w:after="0" w:line="72" w:lineRule="exact"/>
        <w:rPr>
          <w:sz w:val="20"/>
          <w:szCs w:val="20"/>
          <w:color w:val="auto"/>
        </w:rPr>
      </w:pPr>
    </w:p>
    <w:p>
      <w:pPr>
        <w:ind w:left="560" w:hanging="507"/>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financial results or the quarterly financial results of companies perceived to be similar to us;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financial results or recommendations by securities analysts;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products to achieve or maintain market acceptance;</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competitive products;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ind w:left="560" w:hanging="5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contracts, acquisitions or strategic alliances;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any of our markets;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our Company, our general industry or both;</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industry and market conditions.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if the market for technology stocks, financial services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 C. Stone, our Chairman of the Board and Chief Executive Officer, exerts significant influence over our Company.</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As of February 19, 2025, William C. Stone, our Chairman of the Board and Chief Executive Officer, beneficially owned approximately 14.0% of the outstanding shares of our common stock. We are party to a stockholders’ agreement with Mr. Stone, pursuant to which Mr. Stone has the right to nominate two members of our board of directors, one of which will be Mr. Stone for so long as he is our Chief Executive Officer. As a result, Mr. Stone has significant influence over our policy and affairs and matters requiring stockholder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SS&amp;C Holdings is a holding company with no operations or assets of its own and its ability to pay dividends is limited or otherwise restricted.</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SS&amp;C Holdings has no direct operations and no significant assets other than the stock of SS&amp;C. The ability of SS&amp;C Holdings to pay dividends is limited by its status as a holding company and by the terms of the agreement governing our indebtedness. See “Risk factors - Risks relating to our indebtedness - Restrictive covenants in the agreements governing our indebtedness may restrict our ability to pursue our business strategies.” Moreover, none of the subsidiaries of SS&amp;C Holdings are obligated to make funds available to SS&amp;C Holdings for the payment of dividends or otherwise. In addition, Delaware law imposes requirements that may restrict the ability of our subsidiaries, including SS&amp;C, to pay dividends to SS&amp;C Holdings. These limitations could reduce our attractiveness to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broad discretion in the use of our existing cash resources and may not use such funds effectively.</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in the application of our cash resources. Accordingly, our stockholders will have to rely upon the judgment of our management with respect to our existing cash resources, with only limited information concerning management’s specific intentions. Our management may spend our cash resources in ways that our stockholders may not desire or that may not yield a favorable return. The failure by our management to apply these funds effectively could harm our business.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might discourage, delay or prevent a change of control of our Company or changes in our management and, therefore, depress the trading price of our common stock.</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and Delaware law may discourage, delay or prevent a merger, acquisition or other change in control that stockholders may consider favorable, including transactions in which stockholders might otherwise receive a premium for their shares of our common stock. These provisions may also prevent or frustrate attempts by our stockholders to replace or remove our management. These provisions include:</w:t>
      </w:r>
    </w:p>
    <w:p>
      <w:pPr>
        <w:spacing w:after="0" w:line="72" w:lineRule="exact"/>
        <w:rPr>
          <w:sz w:val="20"/>
          <w:szCs w:val="20"/>
          <w:color w:val="auto"/>
        </w:rPr>
      </w:pPr>
    </w:p>
    <w:p>
      <w:pPr>
        <w:ind w:left="560" w:hanging="507"/>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make, alter or repeal our bylaws;</w:t>
      </w:r>
    </w:p>
    <w:p>
      <w:pPr>
        <w:spacing w:after="0" w:line="117" w:lineRule="exact"/>
        <w:rPr>
          <w:rFonts w:ascii="Times New Roman" w:cs="Times New Roman" w:eastAsia="Times New Roman" w:hAnsi="Times New Roman"/>
          <w:sz w:val="18"/>
          <w:szCs w:val="18"/>
          <w:color w:val="auto"/>
        </w:rPr>
      </w:pPr>
    </w:p>
    <w:p>
      <w:pPr>
        <w:ind w:left="560" w:right="160" w:hanging="507"/>
        <w:spacing w:after="0" w:line="266" w:lineRule="auto"/>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560" w:hanging="507"/>
        <w:spacing w:after="0"/>
        <w:tabs>
          <w:tab w:leader="none" w:pos="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from acting by written consent, except under certain limited circumstances.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our stockholders could receive a premium for their shares of common stock in an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information security processes are designed to assess, identify and manage material risks from cybersecurity threats. In conducting our business activities, we are entrusted with confidential information from our clients, business partners and employees. Confidential information may include sensitive business, proprietary and technical information, as well as personal information. Our Information Security Management System (“ISMS”), based on ISO/IEC27001, is an integral part of our overall enterprise risk management system, and serves as a framework for handling cybersecurity threats and incidents, including such threats and incidents associated with our use of services by information technology suppliers. The ISMS is operated by our Global Information Security team headed by our Global Chief Information Security Officer (“CISO”). We maintain physical, electronic and procedural safeguards designed to guard confidential and proprietary information contained within our information systems from loss, misuse, unauthorized access, disclosure, alteration or destruction. We have layered defenses designed to protect against intrusions that could affect the confidentiality, integrity and availability of information.</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prepare for security incidents by analyzing threat intelligence, holding periodic cybersecurity incident tabletop exercises, and reviewing lessons learned on a regular basis. Our incident management process is communicated to employees during periodic security awareness training. Our employees are trained to report incidents, including security weaknesses, malfunctions, threats and breaches immediately to the concerned internal departments and to our information security group. Our computer security incident response team is trained to manage incident response.</w:t>
      </w:r>
    </w:p>
    <w:p>
      <w:pPr>
        <w:spacing w:after="0" w:line="180"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conduct systematic and manual assessments designed to identify information security vulnerabilities, such as external party penetration tests, internal manual penetration tests, source code scanning and other techniques. We perform information technology risk assessments on a periodic basis designed to detect risks for which controls and mitigation strategies are developed.</w:t>
      </w:r>
    </w:p>
    <w:p>
      <w:pPr>
        <w:spacing w:after="0" w:line="176"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We engage with external experts, including cybersecurity assessors and consultants, in evaluating and testing our information systems and information security controls, enabling us to obtain specialized knowledge and insights.</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perform information technology supplier risk assessments on a periodic basis. Information technology suppliers to SS&amp;C that access, handle, transmit, process or store personal information or other customer data on our behalf are assessed and are also subject to periodic due diligence procedures.</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Cybersecurity risk is overseen by the board of directors, with additional oversight of the relevant risk framework and controls provided by the Audit Committee. The Audit Committee oversees our policies with respect to risk assessment and risk management generally, including guidelines and policies to govern the process by which our exposure to risk is handled. As set forth in its charter, Audit Committee oversight includes periodic review of our information security controls and procedures and the processes and procedures for managing cybersecurity risks.</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CISO, who reports to SS&amp;C’s Chief Technology Officer, provides periodic updates to the Audit Committee or to the board of directors on cybersecurity matters, including risk assessments, mitigation strategies, areas of emerging risks, incidents, industry trends and other areas of importance.</w:t>
      </w:r>
    </w:p>
    <w:p>
      <w:pPr>
        <w:spacing w:after="0" w:line="162"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CISO is responsible for our overall information security strategy, policy, security engineering, operations, cybersecurity threat detection and response. Our CISO has over 20 years of industry experience, including serving in similar roles leading and overseeing cybersecurity programs at other companies. Global Information Security team members provide regular reports to our CISO with respect to the prevention, detection, mitigation and remediation of cybersecurity incidents, and otherwise aid our CISO in operating the ISMS. Global Information Security team members have relevant education, certifications, and industry experience.</w:t>
      </w:r>
    </w:p>
    <w:p>
      <w:pPr>
        <w:spacing w:after="0" w:line="18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our clients and our vendors are regularly the target of attempted cyber-attacks, and we must continuously monitor and develop our systems to protect our technology infrastructure and data from misappropriation or corruption. Such cybersecurity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200"/>
        <w:spacing w:after="0" w:line="255" w:lineRule="auto"/>
        <w:rPr>
          <w:sz w:val="20"/>
          <w:szCs w:val="20"/>
          <w:color w:val="auto"/>
        </w:rPr>
      </w:pPr>
      <w:r>
        <w:rPr>
          <w:rFonts w:ascii="Times New Roman" w:cs="Times New Roman" w:eastAsia="Times New Roman" w:hAnsi="Times New Roman"/>
          <w:sz w:val="18"/>
          <w:szCs w:val="18"/>
          <w:color w:val="auto"/>
        </w:rPr>
        <w:t>incidents could lead to disruptions in our systems; the unauthorized release or destruction of our or our clients’ or other parties’ confidential or otherwise protected information; and corruption of data. We regularly re-evaluate, modify and enhance our information security processes as new technologies emerge or new risks are identified. In 2024, we did not identify any cybersecurity threats that have materially affected or are reasonably likely to materially affect our business, operating results, cash flows or financial condition. Notwithstanding the extensive approach we take to cybersecurity, we may not be successful in preventing or mitigating a cybersecurity incident that could have a material adverse effect on us. See “Risk factors - Risks Relating to Our Business - We face risks from cyber-attacks, breaches of digital security, IT system failures and network disruptions that could adversely affect our reputation and our business.” for more information about these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We lease our corporate offices at 80 Lamberton Road, Windsor, CT 06095. We utilize offices in 109 other locations in North America, South America, Europe, Asia, Australia and Africa. We lease approximately 65% of our office space as compared to owning 35% of our office space. We believe that our offices are in good condition and generally suitable to meet our needs for the foreseeable future; however, we will continue to seek additional space as needed to satisfy our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Certain legal proceedings in which we are involved are discussed in Note 18 to the Consolidated Financial Statements, which is included elsewhere in this annual report on Form 10-K and incorporated by reference herein. In the opinion of our management, we are not involved in any litigation or proceedings that would have a material adverse effect on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5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“SSNC”. As of January 17, 2025, we had approximately 269,000 beneficial shareholders of our common stock.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equity plan information required by this item is incorporated by reference to the information in Part III, Item 12 of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repurchases of our common stock in the fourth quarter of 2024 (in millions, except average price per share):</w:t>
      </w:r>
    </w:p>
    <w:tbl>
      <w:tblPr>
        <w:tblLayout w:type="fixed"/>
        <w:tblInd w:w="0" w:type="dxa"/>
        <w:tblCellMar>
          <w:top w:w="0" w:type="dxa"/>
          <w:left w:w="0" w:type="dxa"/>
          <w:bottom w:w="0" w:type="dxa"/>
          <w:right w:w="0" w:type="dxa"/>
        </w:tblCellMar>
      </w:tblPr>
      <w:tr>
        <w:trPr>
          <w:trHeight w:val="151"/>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 Total Number</w:t>
            </w:r>
          </w:p>
        </w:tc>
        <w:tc>
          <w:tcPr>
            <w:tcW w:w="34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 Average</w:t>
            </w:r>
          </w:p>
        </w:tc>
        <w:tc>
          <w:tcPr>
            <w:tcW w:w="3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6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 May</w:t>
            </w:r>
          </w:p>
        </w:tc>
        <w:tc>
          <w:tcPr>
            <w:tcW w:w="0" w:type="dxa"/>
            <w:vAlign w:val="bottom"/>
          </w:tcPr>
          <w:p>
            <w:pPr>
              <w:spacing w:after="0"/>
              <w:rPr>
                <w:sz w:val="1"/>
                <w:szCs w:val="1"/>
                <w:color w:val="auto"/>
              </w:rPr>
            </w:pPr>
          </w:p>
        </w:tc>
      </w:tr>
      <w:tr>
        <w:trPr>
          <w:trHeight w:val="149"/>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120" w:type="dxa"/>
            <w:vAlign w:val="bottom"/>
          </w:tcPr>
          <w:p>
            <w:pPr>
              <w:spacing w:after="0"/>
              <w:rPr>
                <w:sz w:val="12"/>
                <w:szCs w:val="12"/>
                <w:color w:val="auto"/>
              </w:rPr>
            </w:pPr>
          </w:p>
        </w:tc>
        <w:tc>
          <w:tcPr>
            <w:tcW w:w="1120" w:type="dxa"/>
            <w:vAlign w:val="bottom"/>
          </w:tcPr>
          <w:p>
            <w:pPr>
              <w:jc w:val="right"/>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3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360" w:type="dxa"/>
            <w:vAlign w:val="bottom"/>
          </w:tcPr>
          <w:p>
            <w:pPr>
              <w:spacing w:after="0"/>
              <w:rPr>
                <w:sz w:val="12"/>
                <w:szCs w:val="12"/>
                <w:color w:val="auto"/>
              </w:rPr>
            </w:pPr>
          </w:p>
        </w:tc>
        <w:tc>
          <w:tcPr>
            <w:tcW w:w="17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w:t>
            </w:r>
          </w:p>
        </w:tc>
        <w:tc>
          <w:tcPr>
            <w:tcW w:w="0" w:type="dxa"/>
            <w:vAlign w:val="bottom"/>
          </w:tcPr>
          <w:p>
            <w:pPr>
              <w:spacing w:after="0"/>
              <w:rPr>
                <w:sz w:val="1"/>
                <w:szCs w:val="1"/>
                <w:color w:val="auto"/>
              </w:rPr>
            </w:pPr>
          </w:p>
        </w:tc>
      </w:tr>
      <w:tr>
        <w:trPr>
          <w:trHeight w:val="173"/>
        </w:trPr>
        <w:tc>
          <w:tcPr>
            <w:tcW w:w="5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Purchased (2)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(3)</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 (3)</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3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3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based on trade dates of repurchase transactions.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repurchased in open market transactions pursuant to the Common Stock Repurchase Program.</w:t>
      </w:r>
    </w:p>
    <w:p>
      <w:pPr>
        <w:spacing w:after="0" w:line="9" w:lineRule="exact"/>
        <w:rPr>
          <w:rFonts w:ascii="Times New Roman" w:cs="Times New Roman" w:eastAsia="Times New Roman" w:hAnsi="Times New Roman"/>
          <w:sz w:val="18"/>
          <w:szCs w:val="18"/>
          <w:color w:val="auto"/>
        </w:rPr>
      </w:pPr>
    </w:p>
    <w:p>
      <w:pPr>
        <w:ind w:right="280" w:firstLine="8"/>
        <w:spacing w:after="0" w:line="255"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were made pursuant to our Common Stock Repurchase Program authorized by our Board of Directors in July 2024. The program allows for the purchase of up to $1 billion of outstanding common stock in one or more transactions on the open market or in privately negotiated purchases.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SS&amp;C Technologies Holdings, Inc. under the Exchange Act.</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following graph shows a comparison from December 31, 2019 through December 31, 2024 of cumulative total return for our common stock, the Nasdaq Composite Index and the Nasdaq Technology Dividend TR Index. Such returns are based on historical results and are not intended to suggest future performance.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SS&amp;C Technologies Holdings, Inc., the Nasdaq Composite Index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Nasdaq Technology Dividend TR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142875</wp:posOffset>
            </wp:positionV>
            <wp:extent cx="6172200" cy="31457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 invested in stock on December 31, 2019. Return calculations of indices assume the reinvestment of dividends.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0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20" w:type="dxa"/>
            <w:vAlign w:val="bottom"/>
          </w:tcPr>
          <w:p>
            <w:pPr>
              <w:spacing w:after="0"/>
              <w:rPr>
                <w:sz w:val="15"/>
                <w:szCs w:val="15"/>
                <w:color w:val="auto"/>
              </w:rPr>
            </w:pPr>
          </w:p>
        </w:tc>
      </w:tr>
      <w:tr>
        <w:trPr>
          <w:trHeight w:val="21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Technologies Holdings, Inc.</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18"/>
                <w:szCs w:val="18"/>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 Total Returns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r>
      <w:tr>
        <w:trPr>
          <w:trHeight w:val="21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Nasdaq Technology Dividend TR Index</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ind w:right="148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1"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We are a leading provider of mission-critical, sophisticated software-enabled services that allow financial services providers to automate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business processes. Our portfolio of software products and rapidly deployable software-enabled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ind w:right="140"/>
        <w:spacing w:after="0" w:line="255" w:lineRule="auto"/>
        <w:rPr>
          <w:sz w:val="20"/>
          <w:szCs w:val="20"/>
          <w:color w:val="auto"/>
        </w:rPr>
      </w:pPr>
      <w:r>
        <w:rPr>
          <w:rFonts w:ascii="Times New Roman" w:cs="Times New Roman" w:eastAsia="Times New Roman" w:hAnsi="Times New Roman"/>
          <w:sz w:val="18"/>
          <w:szCs w:val="18"/>
          <w:color w:val="auto"/>
        </w:rPr>
        <w:t>services allows our clients to automate and integrate front-office functions such as trading and modeling, middle-office functions such as portfolio management and reporting, and back-office functions such as accounting, transfer agency, compliance, regulatory services, performance measurement, reconciliation, reporting, processing and clearing. We provide our solutions globally to thousands of clients, principally within the institutional asset and wealth management, alternative investment management, brokerage, retirement, financial advisory and financial institutions vertical markets. In addition, we provide solutions to the healthcare industry including pharmacy, healthcare administration and health outcomes optimization solutions to satisfy their information processing, quality of care, cost management and payment integrity needs. Our healthcare solutions include claims adjudication, benefit management, care management and business intelligence services.</w:t>
      </w:r>
    </w:p>
    <w:p>
      <w:pPr>
        <w:spacing w:after="0" w:line="187" w:lineRule="exact"/>
        <w:rPr>
          <w:sz w:val="20"/>
          <w:szCs w:val="20"/>
          <w:color w:val="auto"/>
        </w:rPr>
      </w:pPr>
    </w:p>
    <w:p>
      <w:pPr>
        <w:ind w:right="5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supplement our growth, we evaluate and execute acquisitions that provide complementary products or services, add proven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and an established client base, expand our intellectual property portfolio or address a highly specialized problem or a market niche.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lists the significant businesses we have acquired since January 1,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Acquired Business</w:t>
            </w:r>
          </w:p>
        </w:tc>
        <w:tc>
          <w:tcPr>
            <w:tcW w:w="160" w:type="dxa"/>
            <w:vAlign w:val="bottom"/>
          </w:tcPr>
          <w:p>
            <w:pPr>
              <w:spacing w:after="0"/>
              <w:rPr>
                <w:sz w:val="15"/>
                <w:szCs w:val="15"/>
                <w:color w:val="auto"/>
              </w:rPr>
            </w:pPr>
          </w:p>
        </w:tc>
        <w:tc>
          <w:tcPr>
            <w:tcW w:w="1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60" w:type="dxa"/>
            <w:vAlign w:val="bottom"/>
          </w:tcPr>
          <w:p>
            <w:pPr>
              <w:spacing w:after="0"/>
              <w:rPr>
                <w:sz w:val="15"/>
                <w:szCs w:val="15"/>
                <w:color w:val="auto"/>
              </w:rPr>
            </w:pPr>
          </w:p>
        </w:tc>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Acquired Capabilities, Products and Services</w:t>
            </w:r>
          </w:p>
        </w:tc>
      </w:tr>
      <w:tr>
        <w:trPr>
          <w:trHeight w:val="191"/>
        </w:trPr>
        <w:tc>
          <w:tcPr>
            <w:tcW w:w="31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Battea-Class Action Services, LLC</w:t>
            </w:r>
          </w:p>
        </w:tc>
        <w:tc>
          <w:tcPr>
            <w:tcW w:w="160" w:type="dxa"/>
            <w:vAlign w:val="bottom"/>
          </w:tcPr>
          <w:p>
            <w:pPr>
              <w:spacing w:after="0"/>
              <w:rPr>
                <w:sz w:val="16"/>
                <w:szCs w:val="16"/>
                <w:color w:val="auto"/>
              </w:rPr>
            </w:pPr>
          </w:p>
        </w:tc>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September 2024</w:t>
            </w:r>
          </w:p>
        </w:tc>
        <w:tc>
          <w:tcPr>
            <w:tcW w:w="160" w:type="dxa"/>
            <w:vAlign w:val="bottom"/>
          </w:tcPr>
          <w:p>
            <w:pPr>
              <w:spacing w:after="0"/>
              <w:rPr>
                <w:sz w:val="16"/>
                <w:szCs w:val="16"/>
                <w:color w:val="auto"/>
              </w:rPr>
            </w:pPr>
          </w:p>
        </w:tc>
        <w:tc>
          <w:tcPr>
            <w:tcW w:w="6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Added expertise in in all stages of filing and processing settlement claims in</w:t>
            </w:r>
          </w:p>
        </w:tc>
      </w:tr>
      <w:tr>
        <w:trPr>
          <w:trHeight w:val="234"/>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 antitrust, securities litigation and settlement recovery services</w:t>
            </w:r>
          </w:p>
        </w:tc>
      </w:tr>
      <w:tr>
        <w:trPr>
          <w:trHeight w:val="198"/>
        </w:trPr>
        <w:tc>
          <w:tcPr>
            <w:tcW w:w="31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Iress Managed Funds Administration</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October 2023</w:t>
            </w:r>
          </w:p>
        </w:tc>
        <w:tc>
          <w:tcPr>
            <w:tcW w:w="160" w:type="dxa"/>
            <w:vAlign w:val="bottom"/>
            <w:shd w:val="clear" w:color="auto" w:fill="CFF0FC"/>
          </w:tcPr>
          <w:p>
            <w:pPr>
              <w:spacing w:after="0"/>
              <w:rPr>
                <w:sz w:val="17"/>
                <w:szCs w:val="17"/>
                <w:color w:val="auto"/>
              </w:rPr>
            </w:pPr>
          </w:p>
        </w:tc>
        <w:tc>
          <w:tcPr>
            <w:tcW w:w="6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Provided software and services for trading and market data, financial advice,</w:t>
            </w:r>
          </w:p>
        </w:tc>
      </w:tr>
      <w:tr>
        <w:trPr>
          <w:trHeight w:val="21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management, mortgages, superannuation, life and pensions and data</w:t>
            </w:r>
          </w:p>
        </w:tc>
      </w:tr>
      <w:tr>
        <w:trPr>
          <w:trHeight w:val="234"/>
        </w:trPr>
        <w:tc>
          <w:tcPr>
            <w:tcW w:w="3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intelligence</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Tier1</w:t>
            </w:r>
          </w:p>
        </w:tc>
        <w:tc>
          <w:tcPr>
            <w:tcW w:w="16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August 2022</w:t>
            </w:r>
          </w:p>
        </w:tc>
        <w:tc>
          <w:tcPr>
            <w:tcW w:w="1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Extended SS&amp;C's customer relationship management offerings</w:t>
            </w:r>
          </w:p>
        </w:tc>
      </w:tr>
      <w:tr>
        <w:trPr>
          <w:trHeight w:val="198"/>
        </w:trPr>
        <w:tc>
          <w:tcPr>
            <w:tcW w:w="31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O'Shares ETF</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June 2022</w:t>
            </w:r>
          </w:p>
        </w:tc>
        <w:tc>
          <w:tcPr>
            <w:tcW w:w="160" w:type="dxa"/>
            <w:vAlign w:val="bottom"/>
            <w:shd w:val="clear" w:color="auto" w:fill="CFF0FC"/>
          </w:tcPr>
          <w:p>
            <w:pPr>
              <w:spacing w:after="0"/>
              <w:rPr>
                <w:sz w:val="17"/>
                <w:szCs w:val="17"/>
                <w:color w:val="auto"/>
              </w:rPr>
            </w:pPr>
          </w:p>
        </w:tc>
        <w:tc>
          <w:tcPr>
            <w:tcW w:w="6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Expanded the offerings of SS&amp;C ALPS Advisors, SS&amp;C's wholly-owned asset</w:t>
            </w:r>
          </w:p>
        </w:tc>
      </w:tr>
      <w:tr>
        <w:trPr>
          <w:trHeight w:val="234"/>
        </w:trPr>
        <w:tc>
          <w:tcPr>
            <w:tcW w:w="3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Minerals Management, LLC</w:t>
            </w:r>
          </w:p>
        </w:tc>
        <w:tc>
          <w:tcPr>
            <w:tcW w:w="160" w:type="dxa"/>
            <w:vAlign w:val="bottom"/>
          </w:tcPr>
          <w:p>
            <w:pPr>
              <w:spacing w:after="0"/>
              <w:rPr>
                <w:sz w:val="17"/>
                <w:szCs w:val="17"/>
                <w:color w:val="auto"/>
              </w:rPr>
            </w:pPr>
          </w:p>
        </w:tc>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May 2022</w:t>
            </w:r>
          </w:p>
        </w:tc>
        <w:tc>
          <w:tcPr>
            <w:tcW w:w="160" w:type="dxa"/>
            <w:vAlign w:val="bottom"/>
          </w:tcPr>
          <w:p>
            <w:pPr>
              <w:spacing w:after="0"/>
              <w:rPr>
                <w:sz w:val="17"/>
                <w:szCs w:val="17"/>
                <w:color w:val="auto"/>
              </w:rPr>
            </w:pPr>
          </w:p>
        </w:tc>
        <w:tc>
          <w:tcPr>
            <w:tcW w:w="6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Extended SS&amp;C's offerings into the energy market while helping clients streamline</w:t>
            </w:r>
          </w:p>
        </w:tc>
      </w:tr>
      <w:tr>
        <w:trPr>
          <w:trHeight w:val="234"/>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operations across all asset classes and type</w:t>
            </w:r>
          </w:p>
        </w:tc>
      </w:tr>
      <w:tr>
        <w:trPr>
          <w:trHeight w:val="198"/>
        </w:trPr>
        <w:tc>
          <w:tcPr>
            <w:tcW w:w="31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Hubwise Holdings Limited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March 2022</w:t>
            </w:r>
          </w:p>
        </w:tc>
        <w:tc>
          <w:tcPr>
            <w:tcW w:w="160" w:type="dxa"/>
            <w:vAlign w:val="bottom"/>
            <w:shd w:val="clear" w:color="auto" w:fill="CFF0FC"/>
          </w:tcPr>
          <w:p>
            <w:pPr>
              <w:spacing w:after="0"/>
              <w:rPr>
                <w:sz w:val="17"/>
                <w:szCs w:val="17"/>
                <w:color w:val="auto"/>
              </w:rPr>
            </w:pPr>
          </w:p>
        </w:tc>
        <w:tc>
          <w:tcPr>
            <w:tcW w:w="6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Enhanced SS&amp;C's capacity to help customers create highly automated and efficient</w:t>
            </w:r>
          </w:p>
        </w:tc>
      </w:tr>
      <w:tr>
        <w:trPr>
          <w:trHeight w:val="234"/>
        </w:trPr>
        <w:tc>
          <w:tcPr>
            <w:tcW w:w="3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multi-asset, multi-currency and multi-wrapper strategies</w:t>
            </w: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Prism Group Plc</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March 2022</w:t>
            </w:r>
          </w:p>
        </w:tc>
        <w:tc>
          <w:tcPr>
            <w:tcW w:w="16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Added deep expertise in intelligent automation and robotic process automation</w:t>
            </w:r>
          </w:p>
        </w:tc>
      </w:tr>
    </w:tbl>
    <w:p>
      <w:pPr>
        <w:spacing w:after="0" w:line="1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discussion in this Part II, Item 7 of this Annual Report on Form 10-K includes the operations of the businesses listed in the table above for the respective time periods each was owned by SS&amp;C.</w:t>
      </w:r>
    </w:p>
    <w:p>
      <w:pPr>
        <w:spacing w:after="0" w:line="16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As we have expanded our business, we have focused on increasing our software-enabled services. Since 2022, we have seen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in the financial services industry for these services from existing and new customers. We have taken a number of steps to support that demand, such as automating our software-enabled services delivery methods and expanding our service offerings. We have also acquired businesses that offer software-enabled services or have a large base of term license or maintenance clients. In particular, the acquisition of Blue Prism increased our term license and maintenance revenues. Our software-enabled services revenues increased from $4,273.9 million in 2022 to $4,840.3 million in 2024. We believe that our high degree of these contractually recurring revenues provides us with the ability to better manage our costs and capital investments. To support the growth in our software-enabled services revenues and maintain our level of customer service, we have added personnel, expanded our facilities and invested in IT.</w:t>
      </w:r>
    </w:p>
    <w:p>
      <w:pPr>
        <w:spacing w:after="0" w:line="185" w:lineRule="exact"/>
        <w:rPr>
          <w:sz w:val="20"/>
          <w:szCs w:val="20"/>
          <w:color w:val="auto"/>
        </w:rPr>
      </w:pPr>
    </w:p>
    <w:p>
      <w:pPr>
        <w:ind w:right="22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Liquidity. </w:t>
      </w:r>
      <w:r>
        <w:rPr>
          <w:rFonts w:ascii="Times New Roman" w:cs="Times New Roman" w:eastAsia="Times New Roman" w:hAnsi="Times New Roman"/>
          <w:sz w:val="17"/>
          <w:szCs w:val="17"/>
          <w:color w:val="auto"/>
        </w:rPr>
        <w:t>In May 2024, we entered into the Incremental Joinder &amp; First Amendment to the Credit Agreement, resulting in term B-8 loans totaling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$3,935.0 million. We also issued $750.0 million of 6.5% Senior Notes in May 2024. The net proceeds of the Term B-8 Loans and from the sale of the</w:t>
      </w:r>
    </w:p>
    <w:p>
      <w:pPr>
        <w:spacing w:after="0" w:line="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6.5% Senior Notes were used to repay all amounts owed under the previously existing term loans. In September 2024, in connection with our acquisition of Battea, we entered into an Incremental Joinder to our credit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resulting in new term loans totaling $800.0 million. All of these transactions are described in </w:t>
      </w:r>
      <w:r>
        <w:rPr>
          <w:rFonts w:ascii="Times New Roman" w:cs="Times New Roman" w:eastAsia="Times New Roman" w:hAnsi="Times New Roman"/>
          <w:sz w:val="18"/>
          <w:szCs w:val="18"/>
          <w:i w:val="1"/>
          <w:iCs w:val="1"/>
          <w:color w:val="auto"/>
        </w:rPr>
        <w:t>Contractual Obligations.</w:t>
      </w:r>
    </w:p>
    <w:p>
      <w:pPr>
        <w:spacing w:after="0" w:line="1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generated $1,388.6 million in cash from operating activities in 2024, compared to $1,215.1 million and $1,134.3 million in 2023 and 2022, respectively. In 2024, we used our operating cash flow, cash received from debt borrowings, $355.1 million in proceeds from the exercise of stock options and existing cash to fund the Battea acquisition, purchase $737.5 million of common stock for treasury, pay $244.9 million in dividends and invest in capital expenditures in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Ongoing macroeconomic conditions, such as changes in interest rates and inflation rates and changes in foreign currency exchange rates, could have impacts on our results that are uncertain and, in many respects, outside our control. Economic conditions are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Total out-of-pocket revenue was $93.2 million, $93.6 million and $92.0 million for the years ended December 31, 2024, 2023 and 2022, respectively.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192"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Our results of operations below include the results of our recent acquisitions from the date which they were acquired, including Blue Prism and Hubwise in March 2022, MineralWare in May 2022, O’Shares in June 2022, Tier1 in August 2022, CFO in December 2022, the Iress Managed Funds Administration Business in October 2023 and Battea in September 2024.</w:t>
      </w:r>
    </w:p>
    <w:p>
      <w:pPr>
        <w:spacing w:after="0" w:line="176"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our total revenues represented by each of the following sources of revenues for the periods indicated:</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84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10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6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60" w:type="dxa"/>
            <w:vAlign w:val="bottom"/>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1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17.7 %</w:t>
            </w:r>
          </w:p>
        </w:tc>
        <w:tc>
          <w:tcPr>
            <w:tcW w:w="1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18.4 %</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100.0 %</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-170815</wp:posOffset>
            </wp:positionV>
            <wp:extent cx="120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-170815</wp:posOffset>
            </wp:positionV>
            <wp:extent cx="120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-170815</wp:posOffset>
            </wp:positionV>
            <wp:extent cx="120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revenues (dollars in millions) and percent change in revenues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6"/>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5"/>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Percent Change From Prior</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Borders>
              <w:bottom w:val="single" w:sz="8" w:color="auto"/>
            </w:tcBorders>
            <w:gridSpan w:val="3"/>
          </w:tcPr>
          <w:p>
            <w:pPr>
              <w:jc w:val="center"/>
              <w:ind w:left="74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Software-enabled services</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540" w:type="dxa"/>
            <w:vAlign w:val="bottom"/>
            <w:tcBorders>
              <w:bottom w:val="single" w:sz="8" w:color="CFF0FC"/>
            </w:tcBorders>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2.7 %</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0"/>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5,502.8</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5,283.0</w:t>
            </w: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6.9 %</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-170815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-170815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Fiscal 2024 versus Fiscal 2023</w:t>
      </w:r>
      <w:r>
        <w:rPr>
          <w:rFonts w:ascii="Times New Roman" w:cs="Times New Roman" w:eastAsia="Times New Roman" w:hAnsi="Times New Roman"/>
          <w:sz w:val="18"/>
          <w:szCs w:val="18"/>
          <w:color w:val="auto"/>
        </w:rPr>
        <w:t>. Our revenues increased $379.2 million, or 6.9%, primarily due to an increase of $336.8 million in organic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strength in the SS&amp;C GlobeOp fund administration, virtual data room services, Global Investor and Distribution Solutions and Wealth and Investment Technologies businesses. Our revenues also increased due to acquisitions, which contributed $31.7 million in revenues as well as the favorable impact from foreign currency translation of $10.7 million. Software-enabled services revenues increased $352.0 million, or 7.8%, primarily due to an increase in organic revenues of $311.7 million, and acquisitions, which added $29.9 million in revenues, as well as the favorable impact from foreign currency translation of $10.4 million. License, maintenance and related revenues increased $27.2 million, or 2.7%, primarily due to an increase in organic revenues of $25.1 million, acquisitions added $1.8 million in revenues and the favorable impact from foreign currency translation was $0.3 million.</w:t>
      </w:r>
    </w:p>
    <w:p>
      <w:pPr>
        <w:spacing w:after="0" w:line="183"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Fiscal 2023 versus Fiscal 2022</w:t>
      </w:r>
      <w:r>
        <w:rPr>
          <w:rFonts w:ascii="Times New Roman" w:cs="Times New Roman" w:eastAsia="Times New Roman" w:hAnsi="Times New Roman"/>
          <w:sz w:val="18"/>
          <w:szCs w:val="18"/>
          <w:color w:val="auto"/>
        </w:rPr>
        <w:t>. Our revenues increased $219.8 million, or 4.2%, primarily due to an increase of $143.2 million in organic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strength in the SS&amp;C GlobeOp fund administration, virtual data room services, Global Investor and Distribution Solutions and Blue Prism products. Our revenues also increased due to acquisitions, which contributed $75.8 million 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right="120"/>
        <w:spacing w:after="0" w:line="256" w:lineRule="auto"/>
        <w:rPr>
          <w:sz w:val="20"/>
          <w:szCs w:val="20"/>
          <w:color w:val="auto"/>
        </w:rPr>
      </w:pPr>
      <w:r>
        <w:rPr>
          <w:rFonts w:ascii="Times New Roman" w:cs="Times New Roman" w:eastAsia="Times New Roman" w:hAnsi="Times New Roman"/>
          <w:sz w:val="18"/>
          <w:szCs w:val="18"/>
          <w:color w:val="auto"/>
        </w:rPr>
        <w:t>revenues as well as the favorable impact from foreign currency translation of $0.8 million. Software-enabled services revenues increased $214.4 million, or 5.0%, primarily due to an increase in organic revenues of $187.9 million, and acquisitions, which added $23.9 million in revenues, as well as the favorable impact from foreign currency translation of $2.6 million. License, maintenance and related revenues increased $5.4 million, or 0.5%, primarily due to acquisitions, which added $51.9 million in revenues. The increase was partially offset by a decrease in organic revenues of $44.7 million and the unfavorable impact from foreign currency translation of $1.8 million. The decrease in organic revenues was due to decreased license revenues for institutional and investment management products.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Cost of software-enabled services revenues consists primarily of costs related to personnel utilized in servicing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each of the following cost of revenues as a percentage of their respective revenue source for the periods indicated:</w:t>
      </w:r>
    </w:p>
    <w:p>
      <w:pPr>
        <w:spacing w:after="0" w:line="219"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software-enabled services</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60" w:type="dxa"/>
            <w:vAlign w:val="bottom"/>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license, maintenance and related</w:t>
            </w:r>
          </w:p>
        </w:tc>
        <w:tc>
          <w:tcPr>
            <w:tcW w:w="6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7"/>
              </w:rPr>
              <w:t>38.4 %</w:t>
            </w:r>
          </w:p>
        </w:tc>
        <w:tc>
          <w:tcPr>
            <w:tcW w:w="1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37.4 %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16"/>
        </w:trPr>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cost of revenues</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7"/>
              </w:rPr>
              <w:t>51.3 %</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51.8 %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6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7"/>
              </w:rPr>
              <w:t>48.7 %</w:t>
            </w:r>
          </w:p>
        </w:tc>
        <w:tc>
          <w:tcPr>
            <w:tcW w:w="1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48.2 %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cost of revenues (dollars in millions) and percent change in cost of revenues for the periods indicated:</w:t>
      </w: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6"/>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gridSpan w:val="5"/>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Percent Change From Prior</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Borders>
              <w:bottom w:val="single" w:sz="8" w:color="auto"/>
            </w:tcBorders>
            <w:gridSpan w:val="3"/>
          </w:tcPr>
          <w:p>
            <w:pPr>
              <w:jc w:val="center"/>
              <w:ind w:left="72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software-enabled services</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license, maintenance and related</w:t>
            </w: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540" w:type="dxa"/>
            <w:vAlign w:val="bottom"/>
            <w:tcBorders>
              <w:bottom w:val="single" w:sz="8" w:color="CFF0FC"/>
            </w:tcBorders>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5.4 %</w:t>
            </w:r>
          </w:p>
        </w:tc>
        <w:tc>
          <w:tcPr>
            <w:tcW w:w="2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10"/>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2,767.7</w:t>
            </w: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5.9 %</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-170815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-170815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Fiscal 2024 versus Fiscal 2023</w:t>
      </w:r>
      <w:r>
        <w:rPr>
          <w:rFonts w:ascii="Times New Roman" w:cs="Times New Roman" w:eastAsia="Times New Roman" w:hAnsi="Times New Roman"/>
          <w:sz w:val="18"/>
          <w:szCs w:val="18"/>
          <w:color w:val="auto"/>
        </w:rPr>
        <w:t>. Our total cost of revenues increased by $167.4 million, or 5.9%, primarily due to an increase in organic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$135.1 million and acquisitions, which added $25.5 million in costs. Our cost of revenues also increased due to the unfavorable impact from foreign currency translation of $6.8 million. Organic cost increases reflect the continued investment in delivering client service. Cost of software-enabled services revenues increased $146.8 million, or 5.9%, primarily due to an increase of $116.0 million in organic costs, acquisitions, which added $25.4 million in costs, and the unfavorable impact from foreign currency translation of $5.4 million. Cost of license, maintenance and related revenues increased $20.6 million, or 5.4%, primarily due to an increase of $19.1 million in organic costs, the unfavorable impact from foreign currency translation of $1.4 million and acquisitions, which added $0.1 million in costs.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Fiscal 2023 versus Fiscal 2022</w:t>
      </w:r>
      <w:r>
        <w:rPr>
          <w:rFonts w:ascii="Times New Roman" w:cs="Times New Roman" w:eastAsia="Times New Roman" w:hAnsi="Times New Roman"/>
          <w:sz w:val="18"/>
          <w:szCs w:val="18"/>
          <w:color w:val="auto"/>
        </w:rPr>
        <w:t>. Our total cost of revenues increased by $83.3 million, or 3.0%, primarily due to an increase in organic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$55.1 million and acquisitions, which added $32.8 million in costs, partially offset by the favorable impact from foreign currency translation of $4.6 million. Organic cost increases are primarily due to personnel costs, including the impact of wage inflation and costs to support organic growth. Cost of software-enabled services revenues increased $57.2 million, or 2.4%, primarily due to an increase of $47.4 million in organic costs and acquisitions, which added $15.3 million in costs, partially offset by the favorable impact from foreign currency translation of $5.5 million. Cost of license, maintenance and related revenues increased $26.1 million, or 7.4%, primarily due to acquisitions, which added $17.5 million in costs, an increase in organic costs of $7.7 million and the unfavorable impact from foreign currency translation of $0.9 million.</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primarily of the personnel costs associated with the selling and marketing of our products, including salaries, commissions,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legal, human resources and administration and associated overhead costs, as well as fees for professional services.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expenses as a percentage of our total revenues for the periods indicated:</w:t>
      </w:r>
    </w:p>
    <w:p>
      <w:pPr>
        <w:sectPr>
          <w:pgSz w:w="11900" w:h="16838" w:orient="portrait"/>
          <w:cols w:equalWidth="0" w:num="1">
            <w:col w:w="11240"/>
          </w:cols>
          <w:pgMar w:left="320" w:top="1199"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Selling and marketing</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Total operating expenses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1"/>
        </w:trPr>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9.9</w:t>
            </w:r>
          </w:p>
        </w:tc>
        <w:tc>
          <w:tcPr>
            <w:tcW w:w="260" w:type="dxa"/>
            <w:vAlign w:val="bottom"/>
            <w:vMerge w:val="continue"/>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260" w:type="dxa"/>
            <w:vAlign w:val="bottom"/>
            <w:vMerge w:val="continue"/>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9.5</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8.8 %</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8.6 %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4"/>
        </w:trPr>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7.1 %</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7.6 %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09"/>
        </w:trPr>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-445135</wp:posOffset>
            </wp:positionV>
            <wp:extent cx="570039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-162560</wp:posOffset>
            </wp:positionV>
            <wp:extent cx="570039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500" w:space="720"/>
            <w:col w:w="5020"/>
          </w:cols>
          <w:pgMar w:left="320" w:top="1199"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expenses (dollars in millions) and percent change in operating expenses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 Change From Prior</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Borders>
              <w:bottom w:val="single" w:sz="8" w:color="auto"/>
            </w:tcBorders>
            <w:gridSpan w:val="3"/>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6.0 %</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9.3 %</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52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9"/>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5.4 %</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-170815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Fiscal 2024 versus 2023</w:t>
      </w:r>
      <w:r>
        <w:rPr>
          <w:rFonts w:ascii="Times New Roman" w:cs="Times New Roman" w:eastAsia="Times New Roman" w:hAnsi="Times New Roman"/>
          <w:sz w:val="18"/>
          <w:szCs w:val="18"/>
          <w:color w:val="auto"/>
        </w:rPr>
        <w:t>. Operating expenses increased $77.2 million, or 5.4%, primarily due to an increase of $66.9 million in organic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acquisitions, which added $6.9 million in expenses, and the unfavorable impact from foreign currency translation of $3.4 million. Total operating expenses, excluding the impact of acquisitions and foreign currency translation, primarily increased due to resource needs to support organic growth.</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Fiscal 2023 versus 2022</w:t>
      </w:r>
      <w:r>
        <w:rPr>
          <w:rFonts w:ascii="Times New Roman" w:cs="Times New Roman" w:eastAsia="Times New Roman" w:hAnsi="Times New Roman"/>
          <w:sz w:val="18"/>
          <w:szCs w:val="18"/>
          <w:color w:val="auto"/>
        </w:rPr>
        <w:t>. Operating expenses increased $70.5 million, or 5.1%, primarily due to acquisitions, which added $42.7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an increase in organic operating expenses of $32.0 million. These increases were partially offset by the favorable impact from foreign currency translation of $4.2 million. Total operating expenses, excluding the impact of acquisitions and foreign currency translation, primarily increased due to shifting resources to support organic growth and an increase in stock-based compensation expense.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Fiscal 2024, 2023 and 2022 for Interest, Taxes and Other</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We had interest expense of $463.0 million in 2024 compared to $476.3 million in 2023 and $312.2 million in 2022. The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interest expense for 2024 as compared to 2023 is due to lower average debt balances. The increase in interest expense for 2023 as compared to 2022 is due to higher average interest rates on debt. We had an average interest rate of 6.71%, 6.65% and 4.22%, for the twelve months ended December 31, 2024, 2023 and 2022, respectively. Our debt balances are discussed further in “Liquidity and Capital Resources”.</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We had other income, net of $8.9 million in 2024 compared to $20.7 million in 2023 and $20.8 million in 2022. Other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for 2024 included net investment gains of $19.6 million, which includes fair value adjustments to increase the carrying value of our investments and dividend income. Those investment gains were partially offset by foreign currency translation losses of $8.2 million. Other income, net for 2023 included net investment gains of $19.0 million, which includes fair value adjustments to increase the carrying value of our investments and dividend income. Other income, net for 2023 also included income of $13.4 million from the settlement of a dispute related to pre-acquisition matters. The remaining portion of other income, net consisted primarily of losses on the sale or adjustment to carrying value of fixed assets of $11.7 million. Other income, net for 2022 included net investment gains of $38.7 million, which includes fair value adjustments to increase the carrying value of our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type w:val="continuous"/>
        </w:sectPr>
      </w:pPr>
    </w:p>
    <w:bookmarkStart w:id="42" w:name="page43"/>
    <w:bookmarkEnd w:id="42"/>
    <w:p>
      <w:pPr>
        <w:ind w:right="260"/>
        <w:spacing w:after="0" w:line="282" w:lineRule="auto"/>
        <w:rPr>
          <w:sz w:val="20"/>
          <w:szCs w:val="20"/>
          <w:color w:val="auto"/>
        </w:rPr>
      </w:pPr>
      <w:r>
        <w:rPr>
          <w:rFonts w:ascii="Times New Roman" w:cs="Times New Roman" w:eastAsia="Times New Roman" w:hAnsi="Times New Roman"/>
          <w:sz w:val="18"/>
          <w:szCs w:val="18"/>
          <w:color w:val="auto"/>
        </w:rPr>
        <w:t>investments and dividend income. Other income, net for 2022 also included an expense of $8.1 million relating to a legal accrual recorded in connection with the DST ERISA litigation. The remaining portion of other income, net consisted primarily of foreign currency translation gains and losses.</w:t>
      </w:r>
    </w:p>
    <w:p>
      <w:pPr>
        <w:spacing w:after="0" w:line="160" w:lineRule="exact"/>
        <w:rPr>
          <w:sz w:val="20"/>
          <w:szCs w:val="20"/>
          <w:color w:val="auto"/>
        </w:rPr>
      </w:pPr>
    </w:p>
    <w:p>
      <w:pPr>
        <w:ind w:right="2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Equity in earnings of unconsolidated affiliates, net</w:t>
      </w:r>
      <w:r>
        <w:rPr>
          <w:rFonts w:ascii="Times New Roman" w:cs="Times New Roman" w:eastAsia="Times New Roman" w:hAnsi="Times New Roman"/>
          <w:sz w:val="18"/>
          <w:szCs w:val="18"/>
          <w:color w:val="auto"/>
        </w:rPr>
        <w:t>. We had equity in earnings of unconsolidated affiliates, net of $24.4 million for 2024, $100.0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2023 and $25.8 million for 2022. Our equity in earnings of unconsolidated affiliates in 2024, 2023 and 2022 is primarily related to a $19.1 million, $96.3 million and $29.3 million adjustment, respectively, to increase the carrying value of one of our investments.</w:t>
      </w:r>
    </w:p>
    <w:p>
      <w:pPr>
        <w:spacing w:after="0" w:line="173"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Loss on extinguishment of debt, net</w:t>
      </w:r>
      <w:r>
        <w:rPr>
          <w:rFonts w:ascii="Times New Roman" w:cs="Times New Roman" w:eastAsia="Times New Roman" w:hAnsi="Times New Roman"/>
          <w:sz w:val="18"/>
          <w:szCs w:val="18"/>
          <w:color w:val="auto"/>
        </w:rPr>
        <w:t>. We recorded a $31.2 million, $2.1 million and $5.5 loss on extinguishment of debt in 2024, 2023 and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loss on extinguishment of debt, net in 2024 primarily related to the amendment of our credit agreement discussed further in “Liquidity and Capital Resources.” The loss on extinguishment of debt, net in 2023 and 2022 relates to the write-off of a portion of the unamortized capitalized financing fees and the unamortized original issue discount associated with additional prepayments on our term loans prior to their scheduled maturity.</w:t>
      </w:r>
    </w:p>
    <w:p>
      <w:pPr>
        <w:spacing w:after="0" w:line="180"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following table sets forth the provision for income taxes (dollars in millions) and effective tax rates for the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6"/>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 Change From Prior</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Borders>
              <w:bottom w:val="single" w:sz="8" w:color="auto"/>
            </w:tcBorders>
            <w:gridSpan w:val="3"/>
          </w:tcPr>
          <w:p>
            <w:pPr>
              <w:jc w:val="center"/>
              <w:ind w:left="74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9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(47.0 )%</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14.8 %</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29.0 %</w:t>
            </w:r>
          </w:p>
        </w:tc>
        <w:tc>
          <w:tcPr>
            <w:tcW w:w="2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25.9 %</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2024, 2023 and 2022 effective tax rates differ from the statutory rate primarily due to the effect of our foreign operations and permanent book to tax differences. The decrease in the effective tax rate from 2023 to 2024 was primarily related to releases of uncertain tax positions in the current year, recognition of a state tax benefit associated with income apportionment rules, increases in relative favorable impacts of stock-based compensation in the current year, and a change in the composition of income before income taxes from foreign and domestic tax jurisdictions. Our effective tax rate for 2024 includes benefits related to releases of uncertain tax positions and tax refunds, both due to closed audits, recognition of a state tax benefit associated with income apportionment rules, recognition of a tax benefit associated with a change in domestic tax credit methodology, releases of valuation allowances on deferred tax assets, and benefits related to stock-based awards. Our effective tax rate for 2023 included increases in uncertain tax positions and benefits related to stock-based awards. Our effective tax rate for 2022 included increases in valuation allowances on deferred tax assets, benefits related to stock-based awards and releases of uncertain tax positions due to statute of limitation expirations.</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effective tax rate includes the effect of operations outside the U.S., which historically have been taxed at rates lower than the U.S. statutory rate. While we have income from multiple foreign sources, the majority of our non-U.S. operations are in the United Kingdom and India, where the statutory rates were 25.0% and approximately 25.4%, respectively, in 2024, 23.5% and approximately 33.0%, respectively, in 2023, and 19.0% and approximately 29.0%, respectively, in 2022. A future proportionate change in the composition of income before income taxes from foreign and domestic tax jurisdictions could impact our periodic effective tax rate.</w:t>
      </w:r>
    </w:p>
    <w:p>
      <w:pPr>
        <w:spacing w:after="0" w:line="183"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which includes a 15% corporate alternative minimum tax and a 1% excise tax on stock repurchases. The provisions were effective January 1, 2023 and were not material to our financial results, financial position and cash flows. The 1% excise tax on stock repurchases is included as a cost to acquire treasury stock.</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2021, the OECD (“Organisation for Economic Co-operation and Development”)/G20 Inclusive Framework on Base Erosion and Profit Shifting released Model Global Anti-Base Erosion rules under Pillar Two. Further guidance has been released throughout 2022 and 2023. Certain aspects of Pillar Two are effective January 1, 2024 and other aspects are effective January 1, 2025. Many non-U.S. tax jurisdictions in which we operate have either recently enacted legislation or are in the process of enacting legislation to adopt certain components of the Pillar Two Model Rules beginning in 2024 or in future years. The provisions effective in 2024 were not material to our financial position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principal cash requirements are to finance the costs of our operations, to fund payments with respect to our indebtedness, to invest in research and development, to acquire complementary businesses or assets, repurchase shares of our common stock and to pay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420"/>
        <w:spacing w:after="0" w:line="282" w:lineRule="auto"/>
        <w:rPr>
          <w:sz w:val="20"/>
          <w:szCs w:val="20"/>
          <w:color w:val="auto"/>
        </w:rPr>
      </w:pPr>
      <w:r>
        <w:rPr>
          <w:rFonts w:ascii="Times New Roman" w:cs="Times New Roman" w:eastAsia="Times New Roman" w:hAnsi="Times New Roman"/>
          <w:sz w:val="18"/>
          <w:szCs w:val="18"/>
          <w:color w:val="auto"/>
        </w:rPr>
        <w:t>dividends on our common stock. We expect our cash on hand, cash flows from operations, and cash available under our Credit Agreement to provide sufficient liquidity to fund our cash requirements for at least the next twelve months.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cash, cash equivalents and restricted cash and cash equivalents, including amounts held on behalf of clients, at December 31, 2024 were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$3,370.5 million, an increase of $371.9 million from $2,998.6 million at December 31, 2023. The increase in cash was primarily due to the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associated with funds held on behalf of clients. See Notes 8, 10 and 11 to our Consolidated Financial Statements for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of acquisitions, debt and equity, respectively.</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Client funds obligations include our transfer agency client balances invested overnight as well as our contractual obligations to remit funds to satisfy client pharmacy claim obligations and are recorded on the Consolidated Balance Sheet when incurred, generally after a claim has been processed by us. Our contractual obligations to remit funds to satisfy client obligations are primarily sourced by funds held on behalf of clients. We had $3,162.2 million and $2,615.6 million of client funds obligations at December 31, 2024 and 2023, respectively.</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our Consolidated Statements of Cash Flows, are summarized in the following table (in millions):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6"/>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Change From Prior</w:t>
            </w:r>
          </w:p>
        </w:tc>
        <w:tc>
          <w:tcPr>
            <w:tcW w:w="0" w:type="dxa"/>
            <w:vAlign w:val="bottom"/>
          </w:tcPr>
          <w:p>
            <w:pPr>
              <w:spacing w:after="0"/>
              <w:rPr>
                <w:sz w:val="1"/>
                <w:szCs w:val="1"/>
                <w:color w:val="auto"/>
              </w:rPr>
            </w:pPr>
          </w:p>
        </w:tc>
      </w:tr>
      <w:tr>
        <w:trPr>
          <w:trHeight w:val="17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cash equivalents and restricted cash provided by (used in):</w:t>
            </w: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7"/>
        </w:trPr>
        <w:tc>
          <w:tcPr>
            <w:tcW w:w="5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activities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1,388.6</w:t>
            </w:r>
          </w:p>
        </w:tc>
        <w:tc>
          <w:tcPr>
            <w:tcW w:w="240" w:type="dxa"/>
            <w:vAlign w:val="bottom"/>
          </w:tcPr>
          <w:p>
            <w:pPr>
              <w:spacing w:after="0"/>
              <w:rPr>
                <w:sz w:val="24"/>
                <w:szCs w:val="24"/>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1,215.1</w:t>
            </w:r>
          </w:p>
        </w:tc>
        <w:tc>
          <w:tcPr>
            <w:tcW w:w="220" w:type="dxa"/>
            <w:vAlign w:val="bottom"/>
          </w:tcPr>
          <w:p>
            <w:pPr>
              <w:spacing w:after="0"/>
              <w:rPr>
                <w:sz w:val="24"/>
                <w:szCs w:val="24"/>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1,134.3</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(855.7 )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(268.4 )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(1,757.6 )</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(587.3 )</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1,489.2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(152.3 )</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(1,184.5 )</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(865.1 )</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w:t>
            </w:r>
          </w:p>
        </w:tc>
        <w:tc>
          <w:tcPr>
            <w:tcW w:w="220" w:type="dxa"/>
            <w:vAlign w:val="bottom"/>
            <w:shd w:val="clear" w:color="auto" w:fill="CFF0FC"/>
          </w:tcPr>
          <w:p>
            <w:pPr>
              <w:spacing w:after="0"/>
              <w:rPr>
                <w:sz w:val="16"/>
                <w:szCs w:val="16"/>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(8.7 )</w:t>
            </w:r>
          </w:p>
        </w:tc>
        <w:tc>
          <w:tcPr>
            <w:tcW w:w="20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(26.0 )</w:t>
            </w:r>
          </w:p>
        </w:tc>
        <w:tc>
          <w:tcPr>
            <w:tcW w:w="12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shd w:val="clear" w:color="auto" w:fill="CFF0FC"/>
          </w:tcPr>
          <w:p>
            <w:pPr>
              <w:spacing w:after="0"/>
              <w:rPr>
                <w:sz w:val="16"/>
                <w:szCs w:val="16"/>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1,661.0</w:t>
            </w:r>
          </w:p>
        </w:tc>
        <w:tc>
          <w:tcPr>
            <w:tcW w:w="22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(1,833.8 )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(1,289.1 )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3,494.8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-162560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-162560</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-162560</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-162560</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 versus 2023</w:t>
      </w:r>
    </w:p>
    <w:p>
      <w:pPr>
        <w:spacing w:after="0" w:line="22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during the year ended December 31, 2024 resulted from net income of $761.7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for non-cash items of $811.6 million, partially offset by changes in our working capital accounts totaling $184.7 million. The changes in our working capital accounts were primarily driven by increases in accounts receivable, contract assets and prepaid expenses, partially offset by increases in deferred revenue.</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Cash used in investing activities during the year ended December 31, 2024 totaled $855.7 million, which included $647.1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paid for business acquisitions, net of cash acquired and asset acquisitions, capitalized software development costs of $194.3 million and capital expenditures of $61.4 million, partially offset by distributions received from unconsolidated affiliates of $25.3 million, receipts from the collection of other non-current receivables of $10.2 million, proceeds from sales and maturities of investments of $6.9 million and proceeds from the sale of property and equipment of $4.8 million.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during the year ended December 31, 2024 was $152.3 million and primarily resulted from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$737.5 million of purchases of common stock for treasury, $244.9 million in quarterly dividends paid, $39.4 million in payments of deferred financing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$26.2 million in withholding taxes paid related to equity award net share settlements. These expenditures were partially offset by net borrowings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$289.9 million, proceeds of $355.1 million from stock option exercises, the increase in client funds obligations of $235.8 million and proceeds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 of $14.9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versus 2022</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cash, cash equivalents and restricted cash and cash equivalents, including amounts held on behalf of clients, at December 31, 2023 were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$2,998.6 million, an increase of $1,661.0 million from $1,337.6 million at December 31, 2022. The increase in cash was primarily due to the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associated with funds held on behalf of clients. See Notes 8, 10 and 11 to our Consolidated Financial Statements for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of acquisitions, debt and equity, respectively. We also had $2,615.6 million and $966.3 million of client funds obligations at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2022, respectively.</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during the year ended December 31, 2023 resulted from net income of $608.6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for non-cash items of $704.7 million, partially offset by changes in our working capital accounts totaling $98.2 million. The changes in our working capital accounts were primarily driven by decreases in accrued expenses and other liabilities, changes in income taxes prepaid and payable and an increase in accounts receivable, partially offset by an increase in accounts payable. The decrease in accrued expenses was primarily due to the payments made relating to the DST ERISA litigation.</w:t>
      </w:r>
    </w:p>
    <w:p>
      <w:pPr>
        <w:spacing w:after="0" w:line="183"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Cash used in investing activities during the year ended December 31, 2023 totaled $268.4 million, which included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development costs of $194.9 million, capital expenditures of $56.6 million and cash paid for acquisitions (net of cash acquired) of $34.1 million, partially offset by receipts from the collection of other non-current receivables of $10.0 million and proceeds from sales and maturities of investments of $8.0 million.</w:t>
      </w:r>
    </w:p>
    <w:p>
      <w:pPr>
        <w:spacing w:after="0" w:line="180" w:lineRule="exact"/>
        <w:rPr>
          <w:sz w:val="20"/>
          <w:szCs w:val="20"/>
          <w:color w:val="auto"/>
        </w:rPr>
      </w:pPr>
    </w:p>
    <w:p>
      <w:pPr>
        <w:jc w:val="both"/>
        <w:ind w:right="4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during the year ended December 31, 2023 was $712.8 million and resulted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client funds obligations of $1,669.7 million and $115.4 million received from the exercise of stock options. These proceeds were partially offset by treasury stock repurchases of $471.6 million, net repayments of debt totaling $374.7 million, quarterly dividends paid of $220.9 million and withholding taxes paid related to equity award net share settlements of $5.1 million.</w:t>
      </w:r>
    </w:p>
    <w:p>
      <w:pPr>
        <w:spacing w:after="0" w:line="18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made a permanent reinvestment determination in certain non-U.S. operations that have historically generated positive operating cash flows. At December 31, 2024, we held approximately $257.7 million in cash and cash equivalents at non-U.S. subsidiaries where we have made such a determination and in turn no provision for income taxes had been made.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2024 that require us to make future cash payments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 and</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Less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3-5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Commitments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and long-term debt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payments (1)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obligations (2)</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payable (3)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obligations (4)</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9,872.5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3,094.6</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-170815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both"/>
        <w:ind w:left="520" w:right="260" w:hanging="512"/>
        <w:spacing w:after="0" w:line="257"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interest payments on our Credit Agreement at an assumed interest rate of one-month Adjusted Term SOFR of 4.36% plus 2.00% on our Term B-8 facility, one-month Adjusted Term SOFR of 4.36% plus 1.50% on our Term A-9 facility, 5.5% on our 5.5% Senior Notes and 6.5% on our 6.5% Senior Notes.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under noncancelable operating leases for office space and office equipment.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obligation under the Tax Act to pay the deemed repatriation tax on certain non-US earnings over eight years.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include the minimum amounts committed under contracts for goods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-824865</wp:posOffset>
            </wp:positionV>
            <wp:extent cx="11912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our liability for uncertain tax positions and related interest and penalties payable was $110.0 million and $16.1 million, respectively. We are unable to reasonably estimate the timing of such liability and interest payments in individual years beyond 12 months due to uncertainties in the timing of the effective settlement of tax positions. As of December 31, 2024, our defined benefit pension plan projected obligation was $12.4 million and we are unable to reasonably estimate the timing of such obligation due to uncertainties in the timing of payments. As a result, these amounts are not included in the above contractual obligations 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 and Senior Notes</w:t>
      </w:r>
    </w:p>
    <w:p>
      <w:pPr>
        <w:spacing w:after="0" w:line="121"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On April 16, 2018, in connection with our acquisition of DST, we entered into an amended and restated credit agreement with SS&amp;C Technologies, Inc. (“SS&amp;C”), SS&amp;C European Holdings SARL, an indirect wholly-owned subsidiary of SS&amp;C (“SS&amp;C SARL”) and SS&amp;C Technologies Holdings Europe SARL, an indirect wholly-owned subsidiary of SS&amp;C (“SS&amp;C Tech SARL”) as the borrowers (“Credit Agreement”), which included Term B-3 and Term B-4 Loans. Also in 2018, we entered into amendments to the Credit Agreement in connection with our acquisitions of Eze and Intralinks, the Term B-5 Loan. On March 22, 2022, in connection with our acquisition of Blue Prism, we entered into an Incremental Joinder to the Credit Agreement with certain of our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5" w:name="page46"/>
    <w:bookmarkEnd w:id="45"/>
    <w:p>
      <w:pPr>
        <w:ind w:right="280"/>
        <w:spacing w:after="0" w:line="266" w:lineRule="auto"/>
        <w:rPr>
          <w:sz w:val="20"/>
          <w:szCs w:val="20"/>
          <w:color w:val="auto"/>
        </w:rPr>
      </w:pPr>
      <w:r>
        <w:rPr>
          <w:rFonts w:ascii="Times New Roman" w:cs="Times New Roman" w:eastAsia="Times New Roman" w:hAnsi="Times New Roman"/>
          <w:sz w:val="18"/>
          <w:szCs w:val="18"/>
          <w:color w:val="auto"/>
        </w:rPr>
        <w:t>subsidiaries. Pursuant to the Incremental Joinder, a new $650.0 million senior secured incremental term loan B facility (“Term B-6 Loan”) and a new $880.0 million senior secured incremental term loan B facility (“Term B-7 Loan” and together with the Term B-6 Loan, the “Incremental Term Loans”) was made available to us, the proceeds of which were used to finance substantially all of the consideration for the acquisition of Blue Prism.</w:t>
      </w:r>
    </w:p>
    <w:p>
      <w:pPr>
        <w:spacing w:after="0" w:line="68" w:lineRule="exact"/>
        <w:rPr>
          <w:sz w:val="20"/>
          <w:szCs w:val="20"/>
          <w:color w:val="auto"/>
        </w:rPr>
      </w:pPr>
    </w:p>
    <w:p>
      <w:pPr>
        <w:ind w:right="380" w:firstLine="584"/>
        <w:spacing w:after="0" w:line="282" w:lineRule="auto"/>
        <w:rPr>
          <w:sz w:val="20"/>
          <w:szCs w:val="20"/>
          <w:color w:val="auto"/>
        </w:rPr>
      </w:pPr>
      <w:r>
        <w:rPr>
          <w:rFonts w:ascii="Times New Roman" w:cs="Times New Roman" w:eastAsia="Times New Roman" w:hAnsi="Times New Roman"/>
          <w:sz w:val="18"/>
          <w:szCs w:val="18"/>
          <w:color w:val="auto"/>
        </w:rPr>
        <w:t>On March 28, 2019, we issued $2.0 billion aggregate principal amount of 5.5% Senior Notes due 2027 (“5.5% Senior Notes”), the proceeds of which were used to repay a portion of the outstanding Term B-3 Loan under our Credit Agreement.</w:t>
      </w:r>
    </w:p>
    <w:p>
      <w:pPr>
        <w:spacing w:after="0" w:line="162" w:lineRule="exact"/>
        <w:rPr>
          <w:sz w:val="20"/>
          <w:szCs w:val="20"/>
          <w:color w:val="auto"/>
        </w:rPr>
      </w:pPr>
    </w:p>
    <w:p>
      <w:pPr>
        <w:ind w:right="20" w:firstLine="578"/>
        <w:spacing w:after="0" w:line="254" w:lineRule="auto"/>
        <w:rPr>
          <w:sz w:val="20"/>
          <w:szCs w:val="20"/>
          <w:color w:val="auto"/>
        </w:rPr>
      </w:pPr>
      <w:r>
        <w:rPr>
          <w:rFonts w:ascii="Times New Roman" w:cs="Times New Roman" w:eastAsia="Times New Roman" w:hAnsi="Times New Roman"/>
          <w:sz w:val="18"/>
          <w:szCs w:val="18"/>
          <w:color w:val="auto"/>
        </w:rPr>
        <w:t>The Credit Agreement had a revolving credit facility with a five-year term available for borrowings by SS&amp;C with $250.0 million in available commitments (“Revolving Credit Facility”). The Revolving Credit Facility also contained a $25 million letter of credit sub-facility. On December 28, 2022, we entered into an amendment (the “Revolving Facility Amendment”) to the Credit Agreement with certain of our subsidiaries. Pursuant to the Revolving Facility Amendment, the Revolving Credit Facility was amended to: (i) extend the maturity date to December 28, 2027, (ii) amend the interest rate provisions to replace LIBOR with Term SOFR as the interest rate benchmark, (iii) increase the aggregate commitments from $250.0 million to $600.0 million, (iv) increase the letter of credit sub-facility from $25.0 million to $75.0 million and (v) make certain other revisions fully set forth in the Revolving Facility Amendment. As of December 31, 2024, there was $3.7 million utilized of the letter of credit sub-facility and $596.3 million available of the Revolving Facility Amendment.</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May 9, 2024, we entered into the Incremental Joinder &amp; First Amendment to Credit Agreement (the “Amendment”) which amended our Credit Agreement. Pursuant to the Amendment, we borrowed $3,935.0 million in aggregate principal amount of incremental term B-8 loans (the “Term B-8 Loans”). The Term B-8 Loans bear interest at, at our option, the Base Rate (as defined in the Amendment), plus 1.00% per annum, or the Term SOFR Rate (as defined in the Amendment), plus 2.00% per annum.</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Also on May 9, 2024, we issued $750.0 million aggregate principal amount of 6.5% Senior Notes due 2032 (the “6.5% Senior Notes”). The 6.5% Senior Notes are senior unsecured obligations and rank equal in right of payment with all of our existing and future senior indebtedness. The 6.5% Senior Notes are fully and unconditionally guaranteed, jointly and severally, by SS&amp;C Holdings and all of its existing domestic restricted subsidiaries (other than SS&amp;C Technologies) that guarantee our existing senior secured credit facilities and future domestic restricted subsidiaries that guarantee our existing senior secured credit facilities and certain other indebtedness. Interest on the 6.5% Senior Notes is payable semi-annually in arrears on June 1 and December 1 of each year, beginning on December 1, 2024.</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net proceeds of the Term B-8 Loans and from the sale of the 6.5% Senior Notes were used to repay all amounts owed under the term B-3 loans, the term B-4 loans, the term B-5 loans, the term B-6 loans and the term B-7 loans (together, the “Existing Term Loans”) under the Credit Agreement, as well as to pay related fees and expenses.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September 27, 2024, in connection with our acquisition of Battea, we entered into an Incremental Joinder to our Credit Agreement (the “September 2024 Incremental Joinder”). Pursuant to the September 2024 Incremental Joinder, we borrowed $800.0 million in aggregate principal amount of incremental term A-9 loans (“Term A-9 Loans”), the net proceeds of which were used to finance in part the acquisition of Battea, the payment of fees and expenses related thereto and for working capital and general corporate purposes. The Term A-9 Loans bear interest at, at our option, the Base Rate (as defined in the Incremental Joinder), plus 0.50% per annum, or the Term SOFR Rate (as defined in the Incremental Joinder), plus 1.50% per annum, in each case with two leverage-based adjustments that increase the interest rate margin by 0.25% per annum if our consolidated net secured leverage ratio is greater than 3.50x and 4.25x, respectively, and one leverage-based adjustment that reduces the interest rate margin by 0.125% per annum if our consolidated net secured leverage ratio is less than or equal to 2.50x.</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summary of the key terms of our Senior Secured Credit Facilities and Senior Notes: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320" w:type="dxa"/>
            <w:vAlign w:val="bottom"/>
          </w:tcPr>
          <w:p>
            <w:pPr>
              <w:spacing w:after="0"/>
              <w:rPr>
                <w:sz w:val="13"/>
                <w:szCs w:val="13"/>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Quarterly</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at December 31, 2024</w:t>
            </w:r>
          </w:p>
        </w:tc>
        <w:tc>
          <w:tcPr>
            <w:tcW w:w="32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tc>
        <w:tc>
          <w:tcPr>
            <w:tcW w:w="2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Required</w:t>
            </w:r>
          </w:p>
        </w:tc>
        <w:tc>
          <w:tcPr>
            <w:tcW w:w="0" w:type="dxa"/>
            <w:vAlign w:val="bottom"/>
          </w:tcPr>
          <w:p>
            <w:pPr>
              <w:spacing w:after="0"/>
              <w:rPr>
                <w:sz w:val="1"/>
                <w:szCs w:val="1"/>
                <w:color w:val="auto"/>
              </w:rPr>
            </w:pPr>
          </w:p>
        </w:tc>
      </w:tr>
      <w:tr>
        <w:trPr>
          <w:trHeight w:val="191"/>
        </w:trPr>
        <w:tc>
          <w:tcPr>
            <w:tcW w:w="3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B-8 Loans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2031</w:t>
            </w:r>
          </w:p>
        </w:tc>
        <w:tc>
          <w:tcPr>
            <w:tcW w:w="2240" w:type="dxa"/>
            <w:vAlign w:val="bottom"/>
            <w:gridSpan w:val="2"/>
          </w:tcPr>
          <w:p>
            <w:pPr>
              <w:jc w:val="right"/>
              <w:ind w:right="817"/>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A-9 Loans</w:t>
            </w:r>
          </w:p>
        </w:tc>
        <w:tc>
          <w:tcPr>
            <w:tcW w:w="2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320" w:type="dxa"/>
            <w:vAlign w:val="bottom"/>
            <w:shd w:val="clear" w:color="auto" w:fill="CFF0FC"/>
          </w:tcPr>
          <w:p>
            <w:pPr>
              <w:spacing w:after="0"/>
              <w:rPr>
                <w:sz w:val="18"/>
                <w:szCs w:val="18"/>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27, 2029 (2)</w:t>
            </w:r>
          </w:p>
        </w:tc>
        <w:tc>
          <w:tcPr>
            <w:tcW w:w="2240" w:type="dxa"/>
            <w:vAlign w:val="bottom"/>
            <w:gridSpan w:val="2"/>
            <w:shd w:val="clear" w:color="auto" w:fill="CFF0FC"/>
          </w:tcPr>
          <w:p>
            <w:pPr>
              <w:jc w:val="right"/>
              <w:ind w:right="517"/>
              <w:spacing w:after="0"/>
              <w:rPr>
                <w:sz w:val="20"/>
                <w:szCs w:val="20"/>
                <w:color w:val="auto"/>
              </w:rPr>
            </w:pPr>
            <w:r>
              <w:rPr>
                <w:rFonts w:ascii="Times New Roman" w:cs="Times New Roman" w:eastAsia="Times New Roman" w:hAnsi="Times New Roman"/>
                <w:sz w:val="18"/>
                <w:szCs w:val="18"/>
                <w:color w:val="auto"/>
              </w:rPr>
              <w:t>0.625% (3)</w:t>
            </w:r>
          </w:p>
        </w:tc>
        <w:tc>
          <w:tcPr>
            <w:tcW w:w="0" w:type="dxa"/>
            <w:vAlign w:val="bottom"/>
          </w:tcPr>
          <w:p>
            <w:pPr>
              <w:spacing w:after="0"/>
              <w:rPr>
                <w:sz w:val="1"/>
                <w:szCs w:val="1"/>
                <w:color w:val="auto"/>
              </w:rPr>
            </w:pPr>
          </w:p>
        </w:tc>
      </w:tr>
      <w:tr>
        <w:trPr>
          <w:trHeight w:val="216"/>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28, 2027</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5.5% Senior Notes</w:t>
            </w:r>
          </w:p>
        </w:tc>
        <w:tc>
          <w:tcPr>
            <w:tcW w:w="2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20" w:type="dxa"/>
            <w:vAlign w:val="bottom"/>
            <w:shd w:val="clear" w:color="auto" w:fill="CFF0FC"/>
          </w:tcPr>
          <w:p>
            <w:pPr>
              <w:spacing w:after="0"/>
              <w:rPr>
                <w:sz w:val="18"/>
                <w:szCs w:val="18"/>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30, 2027</w:t>
            </w:r>
          </w:p>
        </w:tc>
        <w:tc>
          <w:tcPr>
            <w:tcW w:w="220" w:type="dxa"/>
            <w:vAlign w:val="bottom"/>
            <w:shd w:val="clear" w:color="auto" w:fill="CFF0FC"/>
          </w:tcPr>
          <w:p>
            <w:pPr>
              <w:spacing w:after="0"/>
              <w:rPr>
                <w:sz w:val="18"/>
                <w:szCs w:val="18"/>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6.5% Senior Notes</w:t>
            </w:r>
          </w:p>
        </w:tc>
        <w:tc>
          <w:tcPr>
            <w:tcW w:w="2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 2032</w:t>
            </w: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20" w:right="1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the September 2024 Incremental Joinder, scheduled quarterly payments of 0.25% are required. We have made prepayments on our Term B-8 Loans and do not have any principal quarterly payments due until March 2030.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left="1020" w:right="20" w:hanging="503"/>
        <w:spacing w:after="0" w:line="23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A-9 Loans will mature on the earlier to occur of (1) September 27, 2029 or (2) 91 days prior to the maturity of (x) the 5.5% Senior Notes if more than $150.0 million aggregate principal amount remains outstanding on the 91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day prior to such maturity or (y) the Revolving Credit Facility if more than $150.0 million aggregate principal amount of commitments remain outstanding on the 91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day prior to such maturity, whichever of (x) or (y) comes first.</w:t>
      </w:r>
    </w:p>
    <w:p>
      <w:pPr>
        <w:spacing w:after="0" w:line="92"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quarterly payment required for the first eight fiscal quarters commencing with the fiscal quarter ending December 31, 2024. The scheduled quarterly payment will increase to 1.250% for each quarter thereafter until the maturity date of the Term A-9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Terms</w:t>
      </w:r>
    </w:p>
    <w:p>
      <w:pPr>
        <w:spacing w:after="0" w:line="229" w:lineRule="exact"/>
        <w:rPr>
          <w:sz w:val="20"/>
          <w:szCs w:val="20"/>
          <w:color w:val="auto"/>
        </w:rPr>
      </w:pPr>
    </w:p>
    <w:p>
      <w:pPr>
        <w:ind w:right="100" w:firstLine="578"/>
        <w:spacing w:after="0" w:line="258" w:lineRule="auto"/>
        <w:rPr>
          <w:sz w:val="20"/>
          <w:szCs w:val="20"/>
          <w:color w:val="auto"/>
        </w:rPr>
      </w:pPr>
      <w:r>
        <w:rPr>
          <w:rFonts w:ascii="Times New Roman" w:cs="Times New Roman" w:eastAsia="Times New Roman" w:hAnsi="Times New Roman"/>
          <w:sz w:val="18"/>
          <w:szCs w:val="18"/>
          <w:color w:val="auto"/>
        </w:rPr>
        <w:t>Our obligations under the Term B-8 Loans and Term A-9 Loans are guaranteed by our existing and future wholly-owned domestic restricted subsidiaries (subject to customary exceptions and limitations). The obligations of the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w:t>
      </w:r>
    </w:p>
    <w:p>
      <w:pPr>
        <w:spacing w:after="0" w:line="183" w:lineRule="exact"/>
        <w:rPr>
          <w:sz w:val="20"/>
          <w:szCs w:val="20"/>
          <w:color w:val="auto"/>
        </w:rPr>
      </w:pPr>
    </w:p>
    <w:p>
      <w:pPr>
        <w:ind w:right="140" w:firstLine="578"/>
        <w:spacing w:after="0" w:line="253" w:lineRule="auto"/>
        <w:rPr>
          <w:sz w:val="20"/>
          <w:szCs w:val="20"/>
          <w:color w:val="auto"/>
        </w:rPr>
      </w:pPr>
      <w:r>
        <w:rPr>
          <w:rFonts w:ascii="Times New Roman" w:cs="Times New Roman" w:eastAsia="Times New Roman" w:hAnsi="Times New Roman"/>
          <w:sz w:val="18"/>
          <w:szCs w:val="18"/>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maximum consolidated net secured leverage ratio. The amended senior secured credit facility also contains a financial maintenance covenant for the benefit of the Term A-9 Loans that will require us to maintain a separate maximum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December 31, 2024, we were in compliance with all financial and non-financial covenants.</w:t>
      </w:r>
    </w:p>
    <w:p>
      <w:pPr>
        <w:spacing w:after="0" w:line="149"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5.5% Senior Notes are guaranteed, jointly and severally, by SS&amp;C Holdings and all of its existing and future domestic restricted subsidiaries that guarantee our existing senior secured credit facilities or certain other indebtedness. The 5.5% Senior Notes are unsecured senior obligations that are equal in right of payment to all of our existing and future senior unsecured indebtedness. Interest on the 5.5% Senior Notes is payable on March 30 and September 30 of each year.</w:t>
      </w:r>
    </w:p>
    <w:p>
      <w:pPr>
        <w:spacing w:after="0" w:line="153" w:lineRule="exact"/>
        <w:rPr>
          <w:sz w:val="20"/>
          <w:szCs w:val="20"/>
          <w:color w:val="auto"/>
        </w:rPr>
      </w:pPr>
    </w:p>
    <w:p>
      <w:pPr>
        <w:ind w:right="400" w:firstLine="584"/>
        <w:spacing w:after="0" w:line="282" w:lineRule="auto"/>
        <w:rPr>
          <w:sz w:val="20"/>
          <w:szCs w:val="20"/>
          <w:color w:val="auto"/>
        </w:rPr>
      </w:pPr>
      <w:r>
        <w:rPr>
          <w:rFonts w:ascii="Times New Roman" w:cs="Times New Roman" w:eastAsia="Times New Roman" w:hAnsi="Times New Roman"/>
          <w:sz w:val="18"/>
          <w:szCs w:val="18"/>
          <w:color w:val="auto"/>
        </w:rPr>
        <w:t>At any time and from time to time, we may, at our option, redeem some or all of the 5.5% Senior Notes, in whole or in part, at the redemption prices set forth in the following table, expressed as a percentage of the principal amount, plus accrued and unpaid interest to the redemption date:</w:t>
      </w:r>
    </w:p>
    <w:p>
      <w:pPr>
        <w:spacing w:after="0" w:line="20"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5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5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On or after March 30, 2024</w:t>
            </w: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101.375 %</w:t>
            </w:r>
          </w:p>
        </w:tc>
      </w:tr>
      <w:tr>
        <w:trPr>
          <w:trHeight w:val="243"/>
        </w:trPr>
        <w:tc>
          <w:tcPr>
            <w:tcW w:w="20" w:type="dxa"/>
            <w:vAlign w:val="bottom"/>
          </w:tcPr>
          <w:p>
            <w:pPr>
              <w:spacing w:after="0"/>
              <w:rPr>
                <w:sz w:val="21"/>
                <w:szCs w:val="21"/>
                <w:color w:val="auto"/>
              </w:rPr>
            </w:pP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30, 2025 and thereafter</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157"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At any time prior to June 1, 2027, we may, at our option, redeem some or all of the 6.5% Senior Notes, in whole or in part, at a price equal to 100% of the principal amount of the 6.5% Senior Notes, plus a “make-whole” premium, plus accrued and unpaid interest, if any, to, the date of redemption. On and after June 1, 2027, we may, at our option, redeem some or all of the 6.5% Senior Notes, in whole or in part, at the redemption prices set forth in the following table, expressed as a percentage of the principal amount, plus accrued and unpaid interest to the redemption date:</w:t>
      </w:r>
    </w:p>
    <w:p>
      <w:pPr>
        <w:spacing w:after="0" w:line="38"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120" w:type="dxa"/>
            <w:vAlign w:val="bottom"/>
            <w:gridSpan w:val="2"/>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0"/>
              </w:rPr>
              <w:t>On</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after June 1, 2027</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0" w:type="dxa"/>
            <w:vAlign w:val="bottom"/>
            <w:shd w:val="clear" w:color="auto" w:fill="CFF0FC"/>
          </w:tcPr>
          <w:p>
            <w:pPr>
              <w:spacing w:after="0"/>
              <w:rPr>
                <w:sz w:val="18"/>
                <w:szCs w:val="18"/>
                <w:color w:val="auto"/>
              </w:rPr>
            </w:pPr>
          </w:p>
        </w:tc>
        <w:tc>
          <w:tcPr>
            <w:tcW w:w="53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On or after June 1, 2028</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101.625 %</w:t>
            </w:r>
          </w:p>
        </w:tc>
      </w:tr>
      <w:tr>
        <w:trPr>
          <w:trHeight w:val="234"/>
        </w:trPr>
        <w:tc>
          <w:tcPr>
            <w:tcW w:w="20" w:type="dxa"/>
            <w:vAlign w:val="bottom"/>
          </w:tcPr>
          <w:p>
            <w:pPr>
              <w:spacing w:after="0"/>
              <w:rPr>
                <w:sz w:val="20"/>
                <w:szCs w:val="20"/>
                <w:color w:val="auto"/>
              </w:rPr>
            </w:pPr>
          </w:p>
        </w:tc>
        <w:tc>
          <w:tcPr>
            <w:tcW w:w="5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June 1, 2029 and thereafter</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139" w:lineRule="exact"/>
        <w:rPr>
          <w:sz w:val="20"/>
          <w:szCs w:val="20"/>
          <w:color w:val="auto"/>
        </w:rPr>
      </w:pPr>
    </w:p>
    <w:p>
      <w:pPr>
        <w:ind w:right="420" w:firstLine="584"/>
        <w:spacing w:after="0" w:line="282" w:lineRule="auto"/>
        <w:rPr>
          <w:sz w:val="20"/>
          <w:szCs w:val="20"/>
          <w:color w:val="auto"/>
        </w:rPr>
      </w:pPr>
      <w:r>
        <w:rPr>
          <w:rFonts w:ascii="Times New Roman" w:cs="Times New Roman" w:eastAsia="Times New Roman" w:hAnsi="Times New Roman"/>
          <w:sz w:val="18"/>
          <w:szCs w:val="18"/>
          <w:color w:val="auto"/>
        </w:rPr>
        <w:t>We may also, from time to time in our sole discretion, purchase, redeem, or retire any outstanding 5.5% Senior Notes and 6.5% Senior Notes, through tender offers, in privately negotiated or open market transactions, or otherwise.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7" w:name="page48"/>
    <w:bookmarkEnd w:id="47"/>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The indentures governing the 5.5% Senior Notes and 6.5% Senior Notes contain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each of the Senior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 and Loss on Extinguishment of Debt</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evaluated the borrowing of our Term B-8 Loans and issuance of 6.5% Senior Notes and the repayment of our Existing Term Loans in accordance with FASB Accounting Standards Codification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We determined that the new debt borrowing and issuance and existing debt repayment were two independent transactions due to the fact that (i) no single investor held a significant concentration of both the old and the new debt, (ii) none of the old investors were included in negotiations with creditors about modifying the old debt, and (iii) all lenders were provided the same opportunity to participate in the new debt regardless of whether they were an existing lender. Consequently, the refinancing was accounted for as a debt extinguishment. As a result, the Existing Term Loans borrowing costs of $27.7 million were expensed and are included in Loss on extinguishment of debt in the Consolidated Statement of Comprehensive Income during the year ended December 31, 2024.</w:t>
      </w:r>
    </w:p>
    <w:p>
      <w:pPr>
        <w:spacing w:after="0" w:line="8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May 2024 and September 2024 debt transactions, we capitalized an aggregate of $39.4 million during year ended December 31, 2024 in financing costs, which represent new third-party costs.</w:t>
      </w:r>
    </w:p>
    <w:p>
      <w:pPr>
        <w:spacing w:after="0" w:line="54" w:lineRule="exact"/>
        <w:rPr>
          <w:sz w:val="20"/>
          <w:szCs w:val="20"/>
          <w:color w:val="auto"/>
        </w:rPr>
      </w:pPr>
    </w:p>
    <w:p>
      <w:pPr>
        <w:ind w:right="300" w:firstLine="584"/>
        <w:spacing w:after="0" w:line="266" w:lineRule="auto"/>
        <w:rPr>
          <w:sz w:val="20"/>
          <w:szCs w:val="20"/>
          <w:color w:val="auto"/>
        </w:rPr>
      </w:pPr>
      <w:r>
        <w:rPr>
          <w:rFonts w:ascii="Times New Roman" w:cs="Times New Roman" w:eastAsia="Times New Roman" w:hAnsi="Times New Roman"/>
          <w:sz w:val="18"/>
          <w:szCs w:val="18"/>
          <w:color w:val="auto"/>
        </w:rPr>
        <w:t>We made additional principal payments prior to their scheduled maturity in 2024, 2023 and 2022, which resulted in a loss on extinguishment of debt of $3.5 million, $2.1 million and $5.5 million, respectively, due to the write-off of a portion of the unamortized capitalized financing fees and the unamortized original issue discount.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In addition, the Term A-9 Loans will be subject to a 5.25x consolidated net secured leverage ratio commencing at the fiscal quarter ending December 31, 2024, which will, at our option, increase to 5.75x for four consecutive fiscal quarters following a material permitted acquisition. Our ability to meet either financial ratio can be affected by events beyond our control, and we cannot assure you that we will meet either ratio. Any breach of either financial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spacing w:after="0" w:line="16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spacing w:after="0" w:line="147"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8" w:name="page49"/>
    <w:bookmarkEnd w:id="48"/>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75" w:lineRule="exact"/>
        <w:rPr>
          <w:sz w:val="20"/>
          <w:szCs w:val="20"/>
          <w:color w:val="auto"/>
        </w:rPr>
      </w:pPr>
    </w:p>
    <w:p>
      <w:pPr>
        <w:ind w:left="720" w:hanging="377"/>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significant interest expense we incur as a result of our debt leverage;</w:t>
      </w:r>
    </w:p>
    <w:p>
      <w:pPr>
        <w:spacing w:after="0" w:line="117"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provision (benefit) of income tax expense in our various jurisdictions;</w:t>
      </w:r>
    </w:p>
    <w:p>
      <w:pPr>
        <w:spacing w:after="0" w:line="117" w:lineRule="exact"/>
        <w:rPr>
          <w:rFonts w:ascii="Times New Roman" w:cs="Times New Roman" w:eastAsia="Times New Roman" w:hAnsi="Times New Roman"/>
          <w:sz w:val="18"/>
          <w:szCs w:val="18"/>
          <w:color w:val="auto"/>
        </w:rPr>
      </w:pPr>
    </w:p>
    <w:p>
      <w:pPr>
        <w:ind w:left="720" w:right="440" w:hanging="377"/>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any attribution of costs to our operations related to our investments and capital expenditures through depreciation and amortization charges;</w:t>
      </w:r>
    </w:p>
    <w:p>
      <w:pPr>
        <w:spacing w:after="0" w:line="53"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cost of compensation we provide to our employees in the form of stock-based awards;</w:t>
      </w:r>
    </w:p>
    <w:p>
      <w:pPr>
        <w:spacing w:after="0" w:line="117"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equity in earnings of unconsolidated affiliates; and</w:t>
      </w:r>
    </w:p>
    <w:p>
      <w:pPr>
        <w:spacing w:after="0" w:line="117" w:lineRule="exact"/>
        <w:rPr>
          <w:rFonts w:ascii="Times New Roman" w:cs="Times New Roman" w:eastAsia="Times New Roman" w:hAnsi="Times New Roman"/>
          <w:sz w:val="18"/>
          <w:szCs w:val="18"/>
          <w:color w:val="auto"/>
        </w:rPr>
      </w:pPr>
    </w:p>
    <w:p>
      <w:pPr>
        <w:ind w:left="720" w:right="120" w:hanging="377"/>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excludes expenses and income that are permitted to be excluded per the terms of our Credit Agreement, but which others may believe are normal expenses for the operation of a business.</w:t>
      </w:r>
    </w:p>
    <w:p>
      <w:pPr>
        <w:spacing w:after="0" w:line="16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income to Consolidated EBITDA attributable to SS&amp;C common stockholders, as defined in our amended senior secured credit facility.</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2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608.6</w:t>
            </w:r>
          </w:p>
        </w:tc>
        <w:tc>
          <w:tcPr>
            <w:tcW w:w="2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EBITDA</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Acquired EBITDA and cost savings (1)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(24.4 )</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(100.0 )</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(25.8 )</w:t>
            </w: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accounting adjustments (2)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ASC 606 adoption impact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(1.9 )</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(3.1 )</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losses (gains)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(0.2 )</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(3)</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(19.6 )</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(19.0 )</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(38.7 )</w:t>
            </w:r>
          </w:p>
        </w:tc>
        <w:tc>
          <w:tcPr>
            <w:tcW w:w="0" w:type="dxa"/>
            <w:vAlign w:val="bottom"/>
          </w:tcPr>
          <w:p>
            <w:pPr>
              <w:spacing w:after="0"/>
              <w:rPr>
                <w:sz w:val="1"/>
                <w:szCs w:val="1"/>
                <w:color w:val="auto"/>
              </w:rPr>
            </w:pP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Facilities and workforce restructuring</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(0.1 )</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(5)</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196"/>
        </w:trPr>
        <w:tc>
          <w:tcPr>
            <w:tcW w:w="52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Consolidated EBITDA</w:t>
            </w: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2,304.5</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2,110.6</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Consolidated EBITDA attributable to noncontrolling interest (6)</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(4.1 )</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(2.9 )</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196"/>
        </w:trPr>
        <w:tc>
          <w:tcPr>
            <w:tcW w:w="52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Consolidated EBITDA attributable to SS&amp;C common stockholders</w:t>
            </w: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2,300.4</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2,107.7</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-2082165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-2082165</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-2082165</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-436245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-436245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-436245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-161925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-161925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-161925</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11912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86" w:lineRule="exact"/>
        <w:rPr>
          <w:sz w:val="20"/>
          <w:szCs w:val="20"/>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58"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includes unrealized fair value adjustments of investments and dividend income received on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9" w:name="page50"/>
    <w:bookmarkEnd w:id="49"/>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includes costs related to both current acquisitions and the resolution of pre-acquisition matters.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additional expenses and income that are permitted to be excluded per the terms of our amended senior secured credit facility from Consolidated EBITDA, a financial measure used in calculating our covenant compliance.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attributable to noncontrolling interest represents Consolidated EBITDA based on the ownership interest retained by the noncontrolling parties of DomaniRx, our consolidated variable interest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covenant requirement for consolidated net secured leverage ratio for the benefit of the Revolving Credit Facility and the actual ratio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are as follows: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73"/>
        </w:trPr>
        <w:tc>
          <w:tcPr>
            <w:tcW w:w="694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71"/>
        </w:trPr>
        <w:tc>
          <w:tcPr>
            <w:tcW w:w="69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Maximum consolidated net secured leverage to</w:t>
            </w:r>
          </w:p>
        </w:tc>
        <w:tc>
          <w:tcPr>
            <w:tcW w:w="1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r>
      <w:tr>
        <w:trPr>
          <w:trHeight w:val="254"/>
        </w:trPr>
        <w:tc>
          <w:tcPr>
            <w:tcW w:w="6940" w:type="dxa"/>
            <w:vAlign w:val="bottom"/>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Consolidated EBITDA ratio</w:t>
            </w:r>
            <w:r>
              <w:rPr>
                <w:rFonts w:ascii="Times New Roman" w:cs="Times New Roman" w:eastAsia="Times New Roman" w:hAnsi="Times New Roman"/>
                <w:sz w:val="24"/>
                <w:szCs w:val="24"/>
                <w:color w:val="auto"/>
                <w:vertAlign w:val="superscript"/>
              </w:rPr>
              <w:t>(1)</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6.25x</w:t>
            </w: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1.69x</w:t>
            </w:r>
          </w:p>
        </w:tc>
      </w:tr>
    </w:tbl>
    <w:p>
      <w:pPr>
        <w:spacing w:after="0" w:line="144" w:lineRule="exact"/>
        <w:rPr>
          <w:sz w:val="20"/>
          <w:szCs w:val="20"/>
          <w:color w:val="auto"/>
        </w:rPr>
      </w:pPr>
    </w:p>
    <w:p>
      <w:pPr>
        <w:ind w:left="760" w:right="180" w:hanging="752"/>
        <w:spacing w:after="0" w:line="258" w:lineRule="auto"/>
        <w:tabs>
          <w:tab w:leader="none" w:pos="3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ratio of consolidated net secured funded indebtedness, net of cash and cash equivalents, excluding $155.2 million of cash and cash equivalents held at DomaniRx,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1912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number of our accounting policies require the application of significant judgment by our management, and such judgments are reflected in the amounts reported in our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On an ongoing basis, we evaluate our estimates and judgments, including those related to revenue recognition, goodwill and other intangible assets and other contingent liabilities. Actual results may differ significantly from the estimates contained in our Consolidated Financial Statements. Information about recently adopted accounting pronouncements and accounting pronouncements not yet effective is included in Note 2 to our Consolidated Financial Statements. We believe that the following comprise the accounting estimates or assumptions we have made where the nature of the estimates or assumptions could be material due to the levels of subjectivity and judgment involved.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investments</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have five significant types of investments: 1) investments in unconsolidated affiliates; 2) partnership interests in private equity funds; 3) investments in marketable equity securities related to our deferred compensation agreements; 4) non-marketable equity securities; and 5) seed capital investments.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equity method of accounting is used for investments in entities, partnerships and similar interests (including investments in private equity funds for which we are a limited partner and hold a greater than 5% partnership interest in the fund) in which we have significant influence but do not control. Under the equity method, we recognize income or losses from our pro-rata share of these unconsolidated affiliates’ net income or loss, which changes the carrying value of the investment of the unconsolidated affiliate.</w:t>
      </w:r>
    </w:p>
    <w:p>
      <w:pPr>
        <w:spacing w:after="0" w:line="180"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Our investments in unconsolidated affiliates are accounted for under the equity method of accounting. The carrying value of our investments in unconsolidated affiliates exceeds the proportionate share of net assets of the unconsolidated affiliates, resulting in basis differences. We recognize our proportionate share of the results of the unconsolidated affiliates and amortization expense related to basis differences in equity in earnings of unconsolidated affiliates, net on our Consolidated Statements of Comprehensive Income.</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partnership interests in private equity funds, marketable equity securities and seed capital investments, other than those accounted for under the equity method of accounting or those that result in consolidation of the investee, are recorded at fair value, with changes in the fair value recognized in other income, net on our Consolidated Statements of Comprehensive Income. Our marketable equity securities and seed capital investments have readily determinable fair values in the market. We use net asset value as a practical expedient for the fair value of partnership interests in private equity funds that are not accounted for under the equity method of accounting.</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0" w:name="page51"/>
    <w:bookmarkEnd w:id="50"/>
    <w:p>
      <w:pPr>
        <w:ind w:right="200" w:firstLine="509"/>
        <w:spacing w:after="0" w:line="276" w:lineRule="auto"/>
        <w:rPr>
          <w:sz w:val="20"/>
          <w:szCs w:val="20"/>
          <w:color w:val="auto"/>
        </w:rPr>
      </w:pPr>
      <w:r>
        <w:rPr>
          <w:rFonts w:ascii="Times New Roman" w:cs="Times New Roman" w:eastAsia="Times New Roman" w:hAnsi="Times New Roman"/>
          <w:sz w:val="17"/>
          <w:szCs w:val="17"/>
          <w:color w:val="auto"/>
        </w:rPr>
        <w:t>Investments in non-marketable equity securities that do not have readily determinable fair values and do not qualify for the practical expedient to measure the investment using a net asset value per share are recorded using the measurement alternative in Accounting Standards Update (“ASU”) 2016-</w:t>
      </w:r>
    </w:p>
    <w:p>
      <w:pPr>
        <w:spacing w:after="0" w:line="1" w:lineRule="exact"/>
        <w:rPr>
          <w:sz w:val="20"/>
          <w:szCs w:val="20"/>
          <w:color w:val="auto"/>
        </w:rPr>
      </w:pPr>
    </w:p>
    <w:p>
      <w:pPr>
        <w:ind w:right="40" w:firstLine="8"/>
        <w:spacing w:after="0" w:line="252" w:lineRule="auto"/>
        <w:tabs>
          <w:tab w:leader="none" w:pos="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are recorded at cost, less impairment, adjusted for observable price changes in orderly transactions for an identical or similar investment of the same issuer. At each reporting period, we assess if these investments continue to qualify for this measurement alternative. Impairment is recorded when there is evidence that the expected fair value of the investment has declined to below the recorded cost. Future adverse changes in market conditions or poor operating results of underlying investments could result in losses or an inability to recover the carrying value of the investments that may not be reflected in an investment’s current carrying value, thereby possibly requiring an impairment charge in the future, which could have a material effect on our financial position.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and Goodwill</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completion of our acquisitions, we allocate the purchase price to the assets and liabilities we acquire, such as net tangible assets, completed technology, customer relationships, other identifiable intangible assets, deferred revenue and goodwill. We apply significant judgments and estimates in determining the fair market value of the assets acquired and their useful lives. For example, we have determined the fair value of existing client contracts based on the discounted estimated net future cash flows from such client contracts existing at the date of acquisition and the fair value of the completed technology based on the relief-from-royalties method on estimated future revenues of such completed technology and assumed obsolescence factors. While actual results during the years ended December 31, 2024, 2023 and 2022 were consistent with our estimated cash flows and we did not incur any impairment charges during those years, different estimates and assumptions in valuing acquired assets could yield materially different results.</w:t>
      </w:r>
    </w:p>
    <w:p>
      <w:pPr>
        <w:spacing w:after="0" w:line="8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must test goodwill annually for impairment (and in interim periods if certain events occur indicating that the carrying value of goodwill or indefinite-lived intangible assets may be impaired) by comparing the fair value of a reporting unit to its carrying value. Judgment is required in the determination of goodwill reporting units. As of December 31, 2024 and 2023, we have two reporting units, one is our health business and the other includes the rest of our operations. To the extent that we do not achieve our revenue or operating cash flow plans or other measures of fair value decline, including external valuation assumptions, our current goodwill carrying value could be impaired. Our impairment analysis indicated that the fair values of our reporting units significantly exceeded their carrying values at December 31, 2024.</w:t>
      </w:r>
    </w:p>
    <w:p>
      <w:pPr>
        <w:spacing w:after="0" w:line="18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assess the impairment of identifiable intangibles and goodwill whenever events or changes in circumstances indicate that the carrying value may not be recoverable. Factors we consider important which could trigger an impairment review include the following:</w:t>
      </w:r>
    </w:p>
    <w:p>
      <w:pPr>
        <w:spacing w:after="0" w:line="54" w:lineRule="exact"/>
        <w:rPr>
          <w:sz w:val="20"/>
          <w:szCs w:val="20"/>
          <w:color w:val="auto"/>
        </w:rPr>
      </w:pPr>
    </w:p>
    <w:p>
      <w:pPr>
        <w:ind w:left="560" w:hanging="507"/>
        <w:spacing w:after="0"/>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historical or projected future operating results;</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of our use of the acquired assets or the strategy for our overall business; and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22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When we determine that the carrying value of intangibles may not be recoverable due to the existence of one or more of the above indicators of potential impairment, we assess whether an impairment has occurred based on whether net book value of the assets exceeds related projected undiscounted cash flows from these assets. We consider a number of factors, including past operating results, budgets, economic projections, market trends and product development cycles in estimating future cash flows. Differing estimates and assumptions of any of the factors described above could result in a materially different impairment charge, if any, and thus materially different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Capitalization</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Significant management judgment is required in determining which projects and costs associated with software development will be capitalized and in assigning estimated economic lives to the completed projects. Management specifically evaluates software development projects, milestones achieved and the commitments to continue funding the projects. Significant changes in any of these items may result in discontinuing capitalization of development costs, as well as immediately expensing previously capitalized costs. We review, on a quarterly basis, our capitalized software for possible impairment.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Accounting</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acquisitions, we allocate the purchase price to the assets and liabilities we acquire, such as net tangible assets, completed technology, customer relationships, other identifiable intangible assets, deferred revenue and goodwill. We apply significant judgments and estimates in determining the fair market value of the assets acquired and their useful lives. For example, we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right="60"/>
        <w:spacing w:after="0" w:line="258" w:lineRule="auto"/>
        <w:rPr>
          <w:sz w:val="20"/>
          <w:szCs w:val="20"/>
          <w:color w:val="auto"/>
        </w:rPr>
      </w:pPr>
      <w:r>
        <w:rPr>
          <w:rFonts w:ascii="Times New Roman" w:cs="Times New Roman" w:eastAsia="Times New Roman" w:hAnsi="Times New Roman"/>
          <w:sz w:val="18"/>
          <w:szCs w:val="18"/>
          <w:color w:val="auto"/>
        </w:rPr>
        <w:t>have determined the fair value of existing client contracts based on the discounted estimated net future cash flows from such client contracts existing at the date of acquisition and the fair value of the completed technology based on the relief-from-royalties method on estimated future revenues of such completed technology and assumed obsolescence factors. While actual results during the years ended December 31, 2024, 2023 and 2022 were consistent with our estimated cash flows and we did not incur any impairment charges during those years, different estimates and assumptions in valuing acquired assets could yield materially different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revenues consist of software-enabled services and license, maintenance and related revenues.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Software-enabled services revenues, which are based on a monthly fee or are transaction-based, are recognized as the services are performed. Software-enabled services are generally provided under contracts with initial terms of one to five years that require monthly or quarterly payments, and are subject to automatic annual renewal at the end of the initial term unless terminated by either party.</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recognize software-enabled services revenues on a monthly basis as the arrangement is a single performance obligation or a stand-ready performance obligation, which in either case is comprised of a series of distinct services that are substantially the same and have the same pattern of transfer to the customer (i.e. distinct days or months of service). We apply a measure of progress (typically time-based) to any fixed consideration and allocate variable consideration to the distinct periods of service based on usage or summarization of account information. These variable payments relate specifically to our efforts to perform the services in the period in which the fee applies. This variability is solely attributed to and resolved as a result of the transfer of these services; these fees are independent of the transfer of past or future goods or services. These fees meet the allocation objective of ASC</w:t>
      </w:r>
    </w:p>
    <w:p>
      <w:pPr>
        <w:spacing w:after="0" w:line="5"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606 because they represent the amount of consideration we are entitled to for these services. Revenue is generally recognized over the period the services are provided, which results in revenue recognition that corresponds with the value to the client of the services transferred to date relative to the remaining services promised.</w:t>
      </w:r>
    </w:p>
    <w:p>
      <w:pPr>
        <w:spacing w:after="0" w:line="1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generate revenues in the form of software license fees and related maintenance and services fees. License fees include perpetual license fees and term license fees that differ mainly in the duration over which the customer benefits from the software. Maintenance and services primarily consist of fees for maintenance services (including support and unspecified upgrades and enhancements when and if they are available) and, in some cases, professional services which focus on both deployment and training our customers to fully leverage the use of our products.</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Software license revenues are recognized at the point of time when the software license has been delivered. Term license fees are typically due in annual installments at the beginning of each annual period, and we record a contract asset for amounts recognized as revenue in excess of amounts billed. We recognize maintenance revenues ratably over the term of the underlying contract term because we transfer control evenly by providing a stand-ready service. The term of the maintenance contract on a perpetual license is usually one year and the duration of a term license contract is usually between one to five years. Renewals of maintenance contracts create new performance obligations that are satisfied over the term with the revenues recognized ratably over the term. Revenues from professional services consist mostly of services provided on a time and materials basis.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contracts with multiple performance obligations, we account for individual performance obligations separately if they are distinct. We allocate the transaction price to each performance obligation based on our relative standalone selling price out of total consideration of the contract. Standalone selling price is determined utilizing observable prices to the extent available. If the standalone selling price for a performance obligation is not directly observable, we estimate it maximizing the use of observable inputs. For maintenance and support, we determine the standalone selling price based on the price at which we separately sell a renewal contract and the economic relationship between licenses and maintenance. We primarily determine the standalone selling price for sales of license arrangements using the residual approach. For professional services, we determine the standalone selling prices based on the price at which we separately sell those services.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occasionally enter into license agreements requiring significant customization of our software that are not material to our results of operations. We account for the license and professional service fees under these agreements as a single performance obligation, recognized over time using an input method during the development of the license. This method requires estimates to be made for costs to complete the agreement utilizing an estimate of development man-hours remaining. Revenue is recognized each period based on the hours incurred to date compared to the total hours expected to complete the project. Due to uncertainties inherent in the estimation process, it is at least reasonably possible that completion costs will be revised. Such revisions are recognized in the period in which the revisions are determined. Provisions for estimated losses on uncompleted contracts are determined on a contract-by-contract basis and are made in the period in which such losses are first estimated or determined.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Using the fair value recognition provisions of relevant accounting literature, stock-based compensation cost is measured at the grant date based on the value of the award and is recognized as expense over the appropriate service period. Determining the fair value of stock-based awards requires considerable judgment, including estimating the expected term of stock options and the expected volatility of our stock price. In addition, for stock-based awards where vesting is dependent upon achieving earnings per share growth targets, we estimate the likelihood of achieving the performance goals. Differences between actual results and these estimates could have a material effect on our financial results. A deferred income tax asset is recorded over the vesting period as stock compensation expense is recorded for non-qualified stock options. The realizability of the deferred tax asset is ultimately based on the actual value of the stock-based award upon exercise. If the actual value is lower than the fair value determined on the date of grant, then there would be an income tax expense for the portion of the deferred tax asset that is not realizable.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carrying value of our deferred tax assets assumes that we will be able to generate sufficient future taxable income in certain tax jurisdictions, based on estimates and assumptions. If these estimates and related assumptions change in the future, we may be required to record additional valuation allowances against our deferred tax assets resulting in additional income tax expense in our Consolidated Statements of Comprehensive Income. On a quarterly basis, we evaluate whether deferred tax assets are realizable and assess whether there is a need for additional valuation allowances. The carrying value of our deferred tax assets and liabilities is recorded based on the statutory rates that we expect our deferred tax assets and liabilities to reverse into income. We estimate the state rate at which our deferred tax assets and liabilities will reverse based on estimates of state income apportionment for future years. Each of these estimates requires significant judgment on the part of our management. In addition, we evaluate the need to provide additional tax provisions for adjustments proposed by taxing authorities.</w:t>
      </w:r>
    </w:p>
    <w:p>
      <w:pPr>
        <w:spacing w:after="0" w:line="19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had $110.0 million in liabilities associated with unrecognized tax benefits. All of the unrecognized tax benefits, if recognized, would decrease our effective tax rate and increase our net income. Additionally, we recognize accrued interest and penalties relating to unrecognized tax benefits as a component of the income tax provision.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do not use derivative financial instruments for trading or speculative purposes. We have invested our available cash in short-term, highly liquid financial instruments, having initial maturities of three months or less. When necessary, we have borrowed to fund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derive service revenues from investment earnings related to cash balances maintained in bank accounts on which we are the agent for clients. The balances maintained in the bank accounts can significantly fluctuate. For 2024, there were average daily cash balances of approximately $2.3 billion maintained in such accounts. We estimate that a 100 basis point change in the interest earnings rates would equate to approximately $11.6 million of net income, net of income taxes, on an annual basis. The effect of changes in interest rates attributable to earnings derived from cash balances we hold for clients is partially offset by changes in interest rates on our variable debt.</w:t>
      </w:r>
    </w:p>
    <w:p>
      <w:pPr>
        <w:spacing w:after="0" w:line="1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2024, we had total debt of $7,045.0 million, including $4,295.0 million of variable interest rate debt. As of December 31, 2024, a 100 basis point increase in interest rates would result in a change in interest expense of approximately $43.0 million per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December 31, 2024 was approximately $43.9 million. The impact of a 10% change in fair value of these investments would have been approximately $3.3 million to net income. Changes in equity values of our investments could have a material effect on our results of operations and our financial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3" w:name="page54"/>
    <w:bookmarkEnd w:id="53"/>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During 2024, approximately 31% of our revenues were from clients located outside the United States (“U.S.”). A portion of the revenues from clients located outside the U.S. is denominated in foreign currencies, primarily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income, net. These outstanding amounts were not material for the year ended December 31, 2024.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as a result of our acquisitions and changes in our operations. We do not enter into any market risk sensitive instruments for trading purposes.</w:t>
      </w:r>
    </w:p>
    <w:p>
      <w:pPr>
        <w:spacing w:after="0" w:line="18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04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52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940" w:type="dxa"/>
            <w:vAlign w:val="bottom"/>
            <w:gridSpan w:val="4"/>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0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2024, 2023 and 2022</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5280" w:type="dxa"/>
            <w:vAlign w:val="bottom"/>
            <w:gridSpan w:val="5"/>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Financial statement schedules are not submitted because they are not applicable, not required or the information is included in our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ind w:right="4900"/>
        <w:spacing w:after="0" w:line="488" w:lineRule="auto"/>
        <w:rPr>
          <w:sz w:val="20"/>
          <w:szCs w:val="20"/>
          <w:color w:val="auto"/>
        </w:rPr>
      </w:pPr>
      <w:r>
        <w:rPr>
          <w:rFonts w:ascii="Times New Roman" w:cs="Times New Roman" w:eastAsia="Times New Roman" w:hAnsi="Times New Roman"/>
          <w:sz w:val="17"/>
          <w:szCs w:val="17"/>
          <w:color w:val="auto"/>
        </w:rPr>
        <w:t xml:space="preserve">To the Board of Directors and Stockholders of SS&amp;C Technologies Holdings, Inc. </w:t>
      </w: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SS&amp;C Technologies Holdings, Inc. and its subsidiaries (the "Company") as of December 31, 2024 and 2023, and the related consolidated statements of comprehensive income, of changes in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4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0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described in the Report of Management on Internal Control over Financial Reporting, management has excluded Battea-Class Action Services, LLC ("Battea") from its assessment of internal control over financial reporting as of December 31, 2024, because it was acquired by the Company in a purchase business combination during 2024. We have also excluded Battea from our audit of internal control over financial reporting. Battea is a wholly-owned subsidiary whose total assets and total revenues excluded from management’s assessment and our audit of internal control over financial reporting represent 1% and less than 1%, respectively, of the related consolidated financial statement amounts as of and for the year ended December 31,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ind w:right="600"/>
        <w:spacing w:after="0" w:line="282" w:lineRule="auto"/>
        <w:rPr>
          <w:sz w:val="20"/>
          <w:szCs w:val="20"/>
          <w:color w:val="auto"/>
        </w:rPr>
      </w:pPr>
      <w:r>
        <w:rPr>
          <w:rFonts w:ascii="Times New Roman" w:cs="Times New Roman" w:eastAsia="Times New Roman" w:hAnsi="Times New Roman"/>
          <w:sz w:val="18"/>
          <w:szCs w:val="18"/>
          <w:color w:val="auto"/>
        </w:rPr>
        <w:t>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Test – Health Business Reporting Unit</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described in Notes 2 and 9 to the consolidated financial statements, the Company’s consolidated goodwill balance was $9,218.1 million as of December 31, 2024, a portion of which relates to the health business reporting unit. Management tests goodwill annually for impairment as of December 31 and in interim periods if certain events occur or circumstances change that would more likely than not reduce the fair value of a reporting unit below its carrying amount. Management measures the fair value of the Company’s reporting units utilizing an income approach. Significant judgment is required to determine appropriate revenue growth rates and to estimate the fair value of the Company’s reporting units.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test of the health business reporting unit is a critical audit matter are (i) the significant judgment by management when developing the fair value estimate of the reporting unit; (ii) a high degree of auditor judgment, subjectivity and effort in performing procedures and evaluating management’s significant assumption related to the revenue growth rates; and (iii) the audit effort involved the use of professionals with specialized skill and knowledge.</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test, including controls over the valuation of the health business reporting unit. These procedures also included, among others, (i) testing management’s process for developing the fair value estimate of the health business reporting unit; (ii) evaluating the appropriateness of the income approach; (iii) testing the completeness and accuracy of underlying data used in the income approach; and (iv) evaluating the reasonableness of the significant assumption used by management related to the revenue growth rates. Evaluating management’s assumption related to the revenue growth rates involved evaluating whether the assumption used by management was reasonable considering (i) the current and past performance of the reporting unit; (ii) the consistency with external market and industry data; and (iii) whether this assumption was consistent with evidence obtained in other areas of the audit. Professionals with specialized skill and knowledge were used to assist in evaluating the appropriateness of the income approach.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Customer Relationships Intangible Asset Acquired – Battea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Note 8 to the consolidated financial statements, on September 27, 2024, the Company purchased the outstanding shares of Battea for</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$645.6 million, net of cash acquired, which resulted in a $246.6 million customer relationships intangible asset being recorded. The preliminary fair value of the customer relationships was determined using the excess earnings method, an income approach. The significant assumption used in the determination of fair value for customer relationships was projected future revenues.</w:t>
      </w:r>
    </w:p>
    <w:p>
      <w:pPr>
        <w:spacing w:after="0" w:line="10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the customer relationships intangible asset acquired in the Battea acquisition is a critical audit matter are (i) the significant judgment by management when developing the fair value estimate of the customer relationships intangible asset acquired; (ii) a high degree of auditor judgment, subjectivity, and effort in performing procedures and evaluating management’s significant assumption related to the projected future revenues for the customer relationships intangible asset; and (iii) the audit effort involved the use of professionals with specialized skill and knowledge.</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6" w:name="page57"/>
    <w:bookmarkEnd w:id="56"/>
    <w:p>
      <w:pPr>
        <w:spacing w:after="0" w:line="254" w:lineRule="auto"/>
        <w:rPr>
          <w:sz w:val="20"/>
          <w:szCs w:val="20"/>
          <w:color w:val="auto"/>
        </w:rPr>
      </w:pPr>
      <w:r>
        <w:rPr>
          <w:rFonts w:ascii="Times New Roman" w:cs="Times New Roman" w:eastAsia="Times New Roman" w:hAnsi="Times New Roman"/>
          <w:sz w:val="18"/>
          <w:szCs w:val="18"/>
          <w:color w:val="auto"/>
        </w:rPr>
        <w:t xml:space="preserve">Addressing the matter involved performing procedures and evaluating audit evidence in connection with forming our overall opinion on the </w:t>
      </w:r>
      <w:r>
        <w:rPr>
          <w:rFonts w:ascii="Times New Roman" w:cs="Times New Roman" w:eastAsia="Times New Roman" w:hAnsi="Times New Roman"/>
          <w:sz w:val="18"/>
          <w:szCs w:val="18"/>
          <w:color w:val="222222"/>
        </w:rPr>
        <w:t>consolidated</w:t>
      </w:r>
      <w:r>
        <w:rPr>
          <w:rFonts w:ascii="Times New Roman" w:cs="Times New Roman" w:eastAsia="Times New Roman" w:hAnsi="Times New Roman"/>
          <w:sz w:val="18"/>
          <w:szCs w:val="18"/>
          <w:color w:val="auto"/>
        </w:rPr>
        <w:t xml:space="preserve"> financial statements. These procedures included testing the effectiveness of controls relating to the acquisition accounting, including controls over management’s valuation of the customer relationships intangible asset and the development of the significant assumption related to the projected future revenues. These procedures </w:t>
      </w:r>
      <w:r>
        <w:rPr>
          <w:rFonts w:ascii="Times New Roman" w:cs="Times New Roman" w:eastAsia="Times New Roman" w:hAnsi="Times New Roman"/>
          <w:sz w:val="18"/>
          <w:szCs w:val="18"/>
          <w:color w:val="222222"/>
        </w:rPr>
        <w:t>also</w:t>
      </w:r>
      <w:r>
        <w:rPr>
          <w:rFonts w:ascii="Times New Roman" w:cs="Times New Roman" w:eastAsia="Times New Roman" w:hAnsi="Times New Roman"/>
          <w:sz w:val="18"/>
          <w:szCs w:val="18"/>
          <w:color w:val="auto"/>
        </w:rPr>
        <w:t xml:space="preserve"> included, among others, </w:t>
      </w:r>
      <w:r>
        <w:rPr>
          <w:rFonts w:ascii="Times New Roman" w:cs="Times New Roman" w:eastAsia="Times New Roman" w:hAnsi="Times New Roman"/>
          <w:sz w:val="18"/>
          <w:szCs w:val="18"/>
          <w:color w:val="222222"/>
        </w:rPr>
        <w:t>(i) reading the purchase agreement; (ii) testing management’s process for developing the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value estimate of the customer relationships intangible asset, (iii) evaluating the appropriateness of the excess earnings method; (iv) testing the completeness and accuracy of data used in the valuation method; and (v) evaluating the reasonableness of the significant assumption used by management related </w:t>
      </w:r>
      <w:r>
        <w:rPr>
          <w:rFonts w:ascii="Times New Roman" w:cs="Times New Roman" w:eastAsia="Times New Roman" w:hAnsi="Times New Roman"/>
          <w:sz w:val="18"/>
          <w:szCs w:val="18"/>
          <w:color w:val="000000"/>
        </w:rPr>
        <w:t>to the projected future revenues.</w:t>
      </w:r>
      <w:r>
        <w:rPr>
          <w:rFonts w:ascii="Times New Roman" w:cs="Times New Roman" w:eastAsia="Times New Roman" w:hAnsi="Times New Roman"/>
          <w:sz w:val="18"/>
          <w:szCs w:val="18"/>
          <w:color w:val="222222"/>
        </w:rPr>
        <w:t xml:space="preserve"> Evaluating the reasonableness of the projected future revenues assumption considered (i) the past performance of the acquired business and (ii) the consistency with external market and industry data. Professionals with specialized skill and knowledge were used to assist in evaluating the appropriateness of the excess earnings method and the reasonableness of the projected future revenues assumption.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/s/ PricewaterhouseCoopers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February 27,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We have served as the Company’s auditor since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2"/>
                <w:szCs w:val="12"/>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7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567.1</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Funds receivable and funds held on behalf of clients</w:t>
            </w:r>
          </w:p>
        </w:tc>
        <w:tc>
          <w:tcPr>
            <w:tcW w:w="2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3,162.2</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$31.6 and $25.1, respectively Note 3)</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902.0</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2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179.8</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 and cash equivalents</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4,862.4</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4,051.5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 (Note 4)</w:t>
            </w:r>
          </w:p>
        </w:tc>
        <w:tc>
          <w:tcPr>
            <w:tcW w:w="2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299.6</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(Note 5)</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190.6</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Investments (Note 6)</w:t>
            </w:r>
          </w:p>
        </w:tc>
        <w:tc>
          <w:tcPr>
            <w:tcW w:w="2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177.4</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Unconsolidated affiliates (Note 7)</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328.4</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2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 (Note 9)</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9,218.1</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8,969.5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Intangible and other assets, net of accumulated amortization of $4,646.6 and $4,063.4, respectively (Note 9)</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3,858.0</w:t>
            </w: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3,915.2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19,044.7</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18,102.5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772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(Note 10)</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Client funds obligations</w:t>
            </w:r>
          </w:p>
        </w:tc>
        <w:tc>
          <w:tcPr>
            <w:tcW w:w="2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3,162.2</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employee compensation and benefits</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311.5</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payable</w:t>
            </w:r>
          </w:p>
        </w:tc>
        <w:tc>
          <w:tcPr>
            <w:tcW w:w="2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accrued expenses</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249.7</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revenues</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486.1</w:t>
            </w: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4,354.3</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3,771.9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Long-term debt, net of current portion (Note 10)</w:t>
            </w:r>
          </w:p>
        </w:tc>
        <w:tc>
          <w:tcPr>
            <w:tcW w:w="2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6,989.6</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6,668.5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(Note 5)</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175.1</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725.5</w:t>
            </w:r>
          </w:p>
        </w:tc>
        <w:tc>
          <w:tcPr>
            <w:tcW w:w="3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816.6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12,435.6</w:t>
            </w: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11,704.8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18)</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 (Note 11):</w:t>
            </w: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stock, $0.01 par value per share, 5.0 million shares authorized; no shares issued</w:t>
            </w:r>
          </w:p>
        </w:tc>
        <w:tc>
          <w:tcPr>
            <w:tcW w:w="24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772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A non-voting common stock, $0.01 par value per share, 5.0 million shares authorized;</w:t>
            </w:r>
          </w:p>
        </w:tc>
        <w:tc>
          <w:tcPr>
            <w:tcW w:w="240" w:type="dxa"/>
            <w:vAlign w:val="bottom"/>
          </w:tcPr>
          <w:p>
            <w:pPr>
              <w:spacing w:after="0"/>
              <w:rPr>
                <w:sz w:val="10"/>
                <w:szCs w:val="10"/>
                <w:color w:val="auto"/>
              </w:rPr>
            </w:pPr>
          </w:p>
        </w:tc>
        <w:tc>
          <w:tcPr>
            <w:tcW w:w="16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 shares issued</w:t>
            </w:r>
          </w:p>
        </w:tc>
        <w:tc>
          <w:tcPr>
            <w:tcW w:w="2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$0.01 par value per share, 400.0 million shares authorized; 284.4 million shares and 275.9 million shares</w:t>
            </w:r>
          </w:p>
        </w:tc>
        <w:tc>
          <w:tcPr>
            <w:tcW w:w="24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issued, respectively, and 244.5 million shares and 246.6 million shares outstanding, respectively</w:t>
            </w:r>
          </w:p>
        </w:tc>
        <w:tc>
          <w:tcPr>
            <w:tcW w:w="24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5,901.6</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(541.2 )</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(426.3 )</w:t>
            </w: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3,641.9</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Cost of common stock in treasury, 39.9 and 29.3 million shares, respectively</w:t>
            </w:r>
          </w:p>
        </w:tc>
        <w:tc>
          <w:tcPr>
            <w:tcW w:w="24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(2,470.2 )</w:t>
            </w: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(1,734.2 )</w:t>
            </w:r>
          </w:p>
        </w:tc>
        <w:tc>
          <w:tcPr>
            <w:tcW w:w="0" w:type="dxa"/>
            <w:vAlign w:val="bottom"/>
          </w:tcPr>
          <w:p>
            <w:pPr>
              <w:spacing w:after="0"/>
              <w:rPr>
                <w:sz w:val="1"/>
                <w:szCs w:val="1"/>
                <w:color w:val="auto"/>
              </w:rPr>
            </w:pPr>
          </w:p>
        </w:tc>
      </w:tr>
      <w:tr>
        <w:trPr>
          <w:trHeight w:val="142"/>
        </w:trPr>
        <w:tc>
          <w:tcPr>
            <w:tcW w:w="7720" w:type="dxa"/>
            <w:vAlign w:val="bottom"/>
            <w:tcBorders>
              <w:top w:val="single" w:sz="8" w:color="CFF0FC"/>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SS&amp;C stockholders’ equity</w:t>
            </w: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6,534.9</w:t>
            </w:r>
          </w:p>
        </w:tc>
        <w:tc>
          <w:tcPr>
            <w:tcW w:w="32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6,339.6</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Noncontrolling interest (Note 12)</w:t>
            </w: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3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6,609.1</w:t>
            </w: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6,397.7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liabilities and equity</w:t>
            </w:r>
          </w:p>
        </w:tc>
        <w:tc>
          <w:tcPr>
            <w:tcW w:w="240" w:type="dxa"/>
            <w:vAlign w:val="bottom"/>
            <w:tcBorders>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19,044.7</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18,102.5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-3025140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-3007995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-1576705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-427990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-230505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Software-enabled services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4,840.3</w:t>
            </w:r>
          </w:p>
        </w:tc>
        <w:tc>
          <w:tcPr>
            <w:tcW w:w="80" w:type="dxa"/>
            <w:vAlign w:val="bottom"/>
          </w:tcPr>
          <w:p>
            <w:pPr>
              <w:spacing w:after="0"/>
              <w:rPr>
                <w:sz w:val="18"/>
                <w:szCs w:val="18"/>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4,273.9</w:t>
            </w:r>
          </w:p>
        </w:tc>
        <w:tc>
          <w:tcPr>
            <w:tcW w:w="100" w:type="dxa"/>
            <w:vAlign w:val="bottom"/>
          </w:tcPr>
          <w:p>
            <w:pPr>
              <w:spacing w:after="0"/>
              <w:rPr>
                <w:sz w:val="18"/>
                <w:szCs w:val="18"/>
                <w:color w:val="auto"/>
              </w:rPr>
            </w:pPr>
          </w:p>
        </w:tc>
      </w:tr>
      <w:tr>
        <w:trPr>
          <w:trHeight w:val="229"/>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9"/>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5,502.8</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5,283.0</w:t>
            </w:r>
          </w:p>
        </w:tc>
        <w:tc>
          <w:tcPr>
            <w:tcW w:w="100" w:type="dxa"/>
            <w:vAlign w:val="bottom"/>
          </w:tcPr>
          <w:p>
            <w:pPr>
              <w:spacing w:after="0"/>
              <w:rPr>
                <w:sz w:val="18"/>
                <w:szCs w:val="18"/>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Software-enabled services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cost of revenues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2,767.7</w:t>
            </w:r>
          </w:p>
        </w:tc>
        <w:tc>
          <w:tcPr>
            <w:tcW w:w="100" w:type="dxa"/>
            <w:vAlign w:val="bottom"/>
          </w:tcPr>
          <w:p>
            <w:pPr>
              <w:spacing w:after="0"/>
              <w:rPr>
                <w:sz w:val="18"/>
                <w:szCs w:val="18"/>
                <w:color w:val="auto"/>
              </w:rPr>
            </w:pPr>
          </w:p>
        </w:tc>
      </w:tr>
      <w:tr>
        <w:trPr>
          <w:trHeight w:val="21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2,863.6</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(463.0 )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(476.3 )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(312.2 )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in earnings of unconsolidated affiliates, net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 (Note 17)</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8"/>
                <w:szCs w:val="18"/>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SS&amp;C common stockholders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SS&amp;C common stockholders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8"/>
                <w:szCs w:val="18"/>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SS&amp;C common stockholders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0"/>
                <w:szCs w:val="20"/>
                <w:color w:val="auto"/>
              </w:rPr>
            </w:pPr>
          </w:p>
        </w:tc>
      </w:tr>
      <w:tr>
        <w:trPr>
          <w:trHeight w:val="40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number of common shares outstanding</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Pr>
          <w:p>
            <w:pPr>
              <w:spacing w:after="0"/>
              <w:rPr>
                <w:sz w:val="24"/>
                <w:szCs w:val="24"/>
                <w:color w:val="auto"/>
              </w:rPr>
            </w:pPr>
          </w:p>
        </w:tc>
      </w:tr>
      <w:tr>
        <w:trPr>
          <w:trHeight w:val="198"/>
        </w:trPr>
        <w:tc>
          <w:tcPr>
            <w:tcW w:w="66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Diluted weighted-average number of common and common equivalent shares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shd w:val="clear" w:color="auto" w:fill="CFF0FC"/>
          </w:tcPr>
          <w:p>
            <w:pPr>
              <w:spacing w:after="0"/>
              <w:rPr>
                <w:sz w:val="20"/>
                <w:szCs w:val="20"/>
                <w:color w:val="auto"/>
              </w:rPr>
            </w:pPr>
          </w:p>
        </w:tc>
      </w:t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unrealized gain on interest rate swaps</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Defined benefit pension adjustment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Foreign currency exchange translation adjustment</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(115.1 )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(311.6 )</w:t>
            </w: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(114.9 )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(308.1 )</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SS&amp;C common stockholders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-5502910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-5502910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-5502910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-4937125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-4937125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-4937125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-4645660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-4645660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-4088130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-4088130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-2399665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-2382520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-2399665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-2382520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-599440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-599440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SS&amp;C TECHNOLOGIES HOLDINGS, INC. AND SUBSIDIARIES</w:t>
      </w:r>
    </w:p>
    <w:p>
      <w:pPr>
        <w:jc w:val="center"/>
        <w:spacing w:after="0" w:line="237"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spacing w:after="0" w:line="221" w:lineRule="auto"/>
        <w:rPr>
          <w:sz w:val="20"/>
          <w:szCs w:val="20"/>
          <w:color w:val="auto"/>
        </w:rPr>
      </w:pPr>
      <w:r>
        <w:rPr>
          <w:rFonts w:ascii="Times New Roman" w:cs="Times New Roman" w:eastAsia="Times New Roman" w:hAnsi="Times New Roman"/>
          <w:sz w:val="11"/>
          <w:szCs w:val="11"/>
          <w:b w:val="1"/>
          <w:bCs w:val="1"/>
          <w:color w:val="auto"/>
        </w:rPr>
        <w:t>(in millions)</w:t>
      </w:r>
    </w:p>
    <w:tbl>
      <w:tblPr>
        <w:tblLayout w:type="fixed"/>
        <w:tblInd w:w="0" w:type="dxa"/>
        <w:tblCellMar>
          <w:top w:w="0" w:type="dxa"/>
          <w:left w:w="0" w:type="dxa"/>
          <w:bottom w:w="0" w:type="dxa"/>
          <w:right w:w="0" w:type="dxa"/>
        </w:tblCellMar>
      </w:tblPr>
      <w:tr>
        <w:trPr>
          <w:trHeight w:val="155"/>
        </w:trPr>
        <w:tc>
          <w:tcPr>
            <w:tcW w:w="67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761.7</w:t>
            </w:r>
          </w:p>
        </w:tc>
        <w:tc>
          <w:tcPr>
            <w:tcW w:w="540" w:type="dxa"/>
            <w:vAlign w:val="bottom"/>
            <w:tcBorders>
              <w:left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680.1</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Equity in earnings of unconsolidated affiliates, net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(100.0 )</w:t>
            </w:r>
          </w:p>
        </w:tc>
        <w:tc>
          <w:tcPr>
            <w:tcW w:w="3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(25.8 )</w:t>
            </w: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Distributions received from unconsolidated affiliates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Net gains on investments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(1.7 )</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(2.2 )</w:t>
            </w: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(26.1 )</w:t>
            </w:r>
          </w:p>
        </w:tc>
        <w:tc>
          <w:tcPr>
            <w:tcW w:w="0" w:type="dxa"/>
            <w:vAlign w:val="bottom"/>
          </w:tcPr>
          <w:p>
            <w:pPr>
              <w:spacing w:after="0"/>
              <w:rPr>
                <w:sz w:val="1"/>
                <w:szCs w:val="1"/>
                <w:color w:val="auto"/>
              </w:rPr>
            </w:pPr>
          </w:p>
        </w:tc>
      </w:tr>
      <w:tr>
        <w:trPr>
          <w:trHeight w:val="148"/>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Amortization and write-offs of loan origination costs and original issue discounts</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Loss on extinguishment of debt, net</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Loss on sale or disposition of property and equipment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(115.4 )</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(82.9 )</w:t>
            </w: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(77.0 )</w:t>
            </w:r>
          </w:p>
        </w:tc>
        <w:tc>
          <w:tcPr>
            <w:tcW w:w="0" w:type="dxa"/>
            <w:vAlign w:val="bottom"/>
          </w:tcPr>
          <w:p>
            <w:pPr>
              <w:spacing w:after="0"/>
              <w:rPr>
                <w:sz w:val="1"/>
                <w:szCs w:val="1"/>
                <w:color w:val="auto"/>
              </w:rPr>
            </w:pPr>
          </w:p>
        </w:tc>
      </w:tr>
      <w:tr>
        <w:trPr>
          <w:trHeight w:val="148"/>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excluding effects from acquisitions: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(23.1 )</w:t>
            </w:r>
          </w:p>
        </w:tc>
        <w:tc>
          <w:tcPr>
            <w:tcW w:w="3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(38.1 )</w:t>
            </w:r>
          </w:p>
        </w:tc>
        <w:tc>
          <w:tcPr>
            <w:tcW w:w="0" w:type="dxa"/>
            <w:vAlign w:val="bottom"/>
          </w:tcPr>
          <w:p>
            <w:pPr>
              <w:spacing w:after="0"/>
              <w:rPr>
                <w:sz w:val="1"/>
                <w:szCs w:val="1"/>
                <w:color w:val="auto"/>
              </w:rPr>
            </w:pPr>
          </w:p>
        </w:tc>
      </w:tr>
      <w:tr>
        <w:trPr>
          <w:trHeight w:val="148"/>
        </w:trPr>
        <w:tc>
          <w:tcPr>
            <w:tcW w:w="674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(20.7 )</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(2.3 )</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(52.1 )</w:t>
            </w:r>
          </w:p>
        </w:tc>
        <w:tc>
          <w:tcPr>
            <w:tcW w:w="0" w:type="dxa"/>
            <w:vAlign w:val="bottom"/>
          </w:tcPr>
          <w:p>
            <w:pPr>
              <w:spacing w:after="0"/>
              <w:rPr>
                <w:sz w:val="1"/>
                <w:szCs w:val="1"/>
                <w:color w:val="auto"/>
              </w:rPr>
            </w:pPr>
          </w:p>
        </w:tc>
      </w:tr>
      <w:tr>
        <w:trPr>
          <w:trHeight w:val="148"/>
        </w:trPr>
        <w:tc>
          <w:tcPr>
            <w:tcW w:w="674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(10.7 )</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(106.0 )</w:t>
            </w:r>
          </w:p>
        </w:tc>
        <w:tc>
          <w:tcPr>
            <w:tcW w:w="3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(135.5 )</w:t>
            </w: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Income taxes prepaid and payable</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(38.2 )</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(41.7 )</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FF0FC"/>
            </w:tcBorders>
            <w:shd w:val="clear" w:color="auto" w:fill="CFF0FC"/>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1,388.6</w:t>
            </w:r>
          </w:p>
        </w:tc>
        <w:tc>
          <w:tcPr>
            <w:tcW w:w="240" w:type="dxa"/>
            <w:vAlign w:val="bottom"/>
            <w:tcBorders>
              <w:left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1,215.1</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1,134.3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Cash paid for asset acquisitions and business acquisitions, net of cash acquired</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(647.1 )</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(34.1 )</w:t>
            </w: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(1,636.2 )</w:t>
            </w:r>
          </w:p>
        </w:tc>
        <w:tc>
          <w:tcPr>
            <w:tcW w:w="0" w:type="dxa"/>
            <w:vAlign w:val="bottom"/>
          </w:tcPr>
          <w:p>
            <w:pPr>
              <w:spacing w:after="0"/>
              <w:rPr>
                <w:sz w:val="1"/>
                <w:szCs w:val="1"/>
                <w:color w:val="auto"/>
              </w:rPr>
            </w:pPr>
          </w:p>
        </w:tc>
      </w:tr>
      <w:tr>
        <w:trPr>
          <w:trHeight w:val="17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Additions to property and equipment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(61.4 )</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(56.6 )</w:t>
            </w:r>
          </w:p>
        </w:tc>
        <w:tc>
          <w:tcPr>
            <w:tcW w:w="30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(63.4 )</w:t>
            </w:r>
          </w:p>
        </w:tc>
        <w:tc>
          <w:tcPr>
            <w:tcW w:w="0" w:type="dxa"/>
            <w:vAlign w:val="bottom"/>
          </w:tcPr>
          <w:p>
            <w:pPr>
              <w:spacing w:after="0"/>
              <w:rPr>
                <w:sz w:val="1"/>
                <w:szCs w:val="1"/>
                <w:color w:val="auto"/>
              </w:rPr>
            </w:pPr>
          </w:p>
        </w:tc>
      </w:tr>
      <w:tr>
        <w:trPr>
          <w:trHeight w:val="148"/>
        </w:trPr>
        <w:tc>
          <w:tcPr>
            <w:tcW w:w="674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Additions to capitalized software</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(194.3 )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(194.9 )</w:t>
            </w:r>
          </w:p>
        </w:tc>
        <w:tc>
          <w:tcPr>
            <w:tcW w:w="3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(144.9 )</w:t>
            </w:r>
          </w:p>
        </w:tc>
        <w:tc>
          <w:tcPr>
            <w:tcW w:w="0" w:type="dxa"/>
            <w:vAlign w:val="bottom"/>
          </w:tcPr>
          <w:p>
            <w:pPr>
              <w:spacing w:after="0"/>
              <w:rPr>
                <w:sz w:val="1"/>
                <w:szCs w:val="1"/>
                <w:color w:val="auto"/>
              </w:rPr>
            </w:pPr>
          </w:p>
        </w:tc>
      </w:tr>
      <w:tr>
        <w:trPr>
          <w:trHeight w:val="148"/>
        </w:trPr>
        <w:tc>
          <w:tcPr>
            <w:tcW w:w="674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Investments in securities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(0.1 )</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(0.6 )</w:t>
            </w: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48"/>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Proceeds from sales / maturities of investments</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Distributions received from (contributions to) unconsolidated affiliates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(0.3 )</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Collection of other non-current receivables</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shd w:val="clear" w:color="auto" w:fill="CFF0FC"/>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(855.7 )</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(268.4 )</w:t>
            </w: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(1,757.6 )</w:t>
            </w:r>
          </w:p>
        </w:tc>
        <w:tc>
          <w:tcPr>
            <w:tcW w:w="0" w:type="dxa"/>
            <w:vAlign w:val="bottom"/>
          </w:tcPr>
          <w:p>
            <w:pPr>
              <w:spacing w:after="0"/>
              <w:rPr>
                <w:sz w:val="1"/>
                <w:szCs w:val="1"/>
                <w:color w:val="auto"/>
              </w:rPr>
            </w:pPr>
          </w:p>
        </w:tc>
      </w:tr>
      <w:tr>
        <w:trPr>
          <w:trHeight w:val="142"/>
        </w:trPr>
        <w:tc>
          <w:tcPr>
            <w:tcW w:w="674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received from debt borrowings, net of original issue discount</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5,545.0</w:t>
            </w:r>
          </w:p>
        </w:tc>
        <w:tc>
          <w:tcPr>
            <w:tcW w:w="24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Repayments of debt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(5,255.1 )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(749.7 )</w:t>
            </w:r>
          </w:p>
        </w:tc>
        <w:tc>
          <w:tcPr>
            <w:tcW w:w="3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(599.8 )</w:t>
            </w:r>
          </w:p>
        </w:tc>
        <w:tc>
          <w:tcPr>
            <w:tcW w:w="0" w:type="dxa"/>
            <w:vAlign w:val="bottom"/>
          </w:tcPr>
          <w:p>
            <w:pPr>
              <w:spacing w:after="0"/>
              <w:rPr>
                <w:sz w:val="1"/>
                <w:szCs w:val="1"/>
                <w:color w:val="auto"/>
              </w:rPr>
            </w:pPr>
          </w:p>
        </w:tc>
      </w:tr>
      <w:tr>
        <w:trPr>
          <w:trHeight w:val="148"/>
        </w:trPr>
        <w:tc>
          <w:tcPr>
            <w:tcW w:w="674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Payment of deferred financing fees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(39.4 )</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r>
        <w:trPr>
          <w:trHeight w:val="149"/>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Net increase (decrease) in client funds obligations</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1,669.7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(1,709.0 )</w:t>
            </w:r>
          </w:p>
        </w:tc>
        <w:tc>
          <w:tcPr>
            <w:tcW w:w="0" w:type="dxa"/>
            <w:vAlign w:val="bottom"/>
          </w:tcPr>
          <w:p>
            <w:pPr>
              <w:spacing w:after="0"/>
              <w:rPr>
                <w:sz w:val="1"/>
                <w:szCs w:val="1"/>
                <w:color w:val="auto"/>
              </w:rPr>
            </w:pPr>
          </w:p>
        </w:tc>
      </w:tr>
      <w:tr>
        <w:trPr>
          <w:trHeight w:val="148"/>
        </w:trPr>
        <w:tc>
          <w:tcPr>
            <w:tcW w:w="674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355.1</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Withholding taxes paid related to equity award net share settlement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(5.1 )</w:t>
            </w:r>
          </w:p>
        </w:tc>
        <w:tc>
          <w:tcPr>
            <w:tcW w:w="3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Purchases of common stock for treasury</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(737.5 )</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(471.6 )</w:t>
            </w: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(476.1 )</w:t>
            </w:r>
          </w:p>
        </w:tc>
        <w:tc>
          <w:tcPr>
            <w:tcW w:w="0" w:type="dxa"/>
            <w:vAlign w:val="bottom"/>
          </w:tcPr>
          <w:p>
            <w:pPr>
              <w:spacing w:after="0"/>
              <w:rPr>
                <w:sz w:val="1"/>
                <w:szCs w:val="1"/>
                <w:color w:val="auto"/>
              </w:rPr>
            </w:pPr>
          </w:p>
        </w:tc>
      </w:tr>
      <w:tr>
        <w:trPr>
          <w:trHeight w:val="148"/>
        </w:trPr>
        <w:tc>
          <w:tcPr>
            <w:tcW w:w="67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Dividends paid on common stock</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(244.9 )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(220.9 )</w:t>
            </w:r>
          </w:p>
        </w:tc>
        <w:tc>
          <w:tcPr>
            <w:tcW w:w="3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(203.1 )</w:t>
            </w:r>
          </w:p>
        </w:tc>
        <w:tc>
          <w:tcPr>
            <w:tcW w:w="0" w:type="dxa"/>
            <w:vAlign w:val="bottom"/>
          </w:tcPr>
          <w:p>
            <w:pPr>
              <w:spacing w:after="0"/>
              <w:rPr>
                <w:sz w:val="1"/>
                <w:szCs w:val="1"/>
                <w:color w:val="auto"/>
              </w:rPr>
            </w:pPr>
          </w:p>
        </w:tc>
      </w:tr>
      <w:tr>
        <w:trPr>
          <w:trHeight w:val="149"/>
        </w:trPr>
        <w:tc>
          <w:tcPr>
            <w:tcW w:w="6740" w:type="dxa"/>
            <w:vAlign w:val="bottom"/>
            <w:tcBorders>
              <w:bottom w:val="single" w:sz="8" w:color="CFF0FC"/>
            </w:tcBorders>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Proceeds from noncontrolling interests</w:t>
            </w:r>
          </w:p>
        </w:tc>
        <w:tc>
          <w:tcPr>
            <w:tcW w:w="3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240" w:type="dxa"/>
            <w:vAlign w:val="bottom"/>
            <w:tcBorders>
              <w:left w:val="single" w:sz="8" w:color="CFF0FC"/>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(152.3 )</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712.8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(1,184.5 )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4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(8.7 )</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(26.0 )</w:t>
            </w:r>
          </w:p>
        </w:tc>
        <w:tc>
          <w:tcPr>
            <w:tcW w:w="0" w:type="dxa"/>
            <w:vAlign w:val="bottom"/>
          </w:tcPr>
          <w:p>
            <w:pPr>
              <w:spacing w:after="0"/>
              <w:rPr>
                <w:sz w:val="1"/>
                <w:szCs w:val="1"/>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371.9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1,661.0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(1,833.8 )</w:t>
            </w:r>
          </w:p>
        </w:tc>
        <w:tc>
          <w:tcPr>
            <w:tcW w:w="0" w:type="dxa"/>
            <w:vAlign w:val="bottom"/>
          </w:tcPr>
          <w:p>
            <w:pPr>
              <w:spacing w:after="0"/>
              <w:rPr>
                <w:sz w:val="1"/>
                <w:szCs w:val="1"/>
                <w:color w:val="auto"/>
              </w:rPr>
            </w:pPr>
          </w:p>
        </w:tc>
      </w:tr>
      <w:tr>
        <w:trPr>
          <w:trHeight w:val="148"/>
        </w:trPr>
        <w:tc>
          <w:tcPr>
            <w:tcW w:w="67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2,998.6</w:t>
            </w:r>
          </w:p>
        </w:tc>
        <w:tc>
          <w:tcPr>
            <w:tcW w:w="240" w:type="dxa"/>
            <w:vAlign w:val="bottom"/>
            <w:tcBorders>
              <w:left w:val="single" w:sz="8" w:color="CFF0FC"/>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1,337.6</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3,171.4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and cash equivalents, end of period</w:t>
            </w:r>
          </w:p>
        </w:tc>
        <w:tc>
          <w:tcPr>
            <w:tcW w:w="300" w:type="dxa"/>
            <w:vAlign w:val="bottom"/>
            <w:tcBorders>
              <w:bottom w:val="single" w:sz="8" w:color="auto"/>
            </w:tcBorders>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3,370.5</w:t>
            </w:r>
          </w:p>
        </w:tc>
        <w:tc>
          <w:tcPr>
            <w:tcW w:w="240" w:type="dxa"/>
            <w:vAlign w:val="bottom"/>
          </w:tcPr>
          <w:p>
            <w:pPr>
              <w:spacing w:after="0"/>
              <w:rPr>
                <w:sz w:val="12"/>
                <w:szCs w:val="12"/>
                <w:color w:val="auto"/>
              </w:rPr>
            </w:pPr>
          </w:p>
        </w:tc>
        <w:tc>
          <w:tcPr>
            <w:tcW w:w="300" w:type="dxa"/>
            <w:vAlign w:val="bottom"/>
            <w:tcBorders>
              <w:bottom w:val="single" w:sz="8" w:color="auto"/>
            </w:tcBorders>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2,998.6</w:t>
            </w:r>
          </w:p>
        </w:tc>
        <w:tc>
          <w:tcPr>
            <w:tcW w:w="240" w:type="dxa"/>
            <w:vAlign w:val="bottom"/>
          </w:tcPr>
          <w:p>
            <w:pPr>
              <w:spacing w:after="0"/>
              <w:rPr>
                <w:sz w:val="12"/>
                <w:szCs w:val="12"/>
                <w:color w:val="auto"/>
              </w:rPr>
            </w:pPr>
          </w:p>
        </w:tc>
        <w:tc>
          <w:tcPr>
            <w:tcW w:w="300" w:type="dxa"/>
            <w:vAlign w:val="bottom"/>
            <w:tcBorders>
              <w:bottom w:val="single" w:sz="8" w:color="auto"/>
            </w:tcBorders>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and cash equivalents: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540" w:type="dxa"/>
            <w:vAlign w:val="bottom"/>
            <w:tcBorders>
              <w:left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Restricted cash and cash equivalents included in funds receivable and funds held on behalf of clients</w:t>
            </w: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2,799.7</w:t>
            </w:r>
          </w:p>
        </w:tc>
        <w:tc>
          <w:tcPr>
            <w:tcW w:w="240" w:type="dxa"/>
            <w:vAlign w:val="bottom"/>
            <w:tcBorders>
              <w:left w:val="single" w:sz="8" w:color="CFF0FC"/>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2,564.0</w:t>
            </w: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894.2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 for:</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3,370.5</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2,998.6</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30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452.4</w:t>
            </w:r>
          </w:p>
        </w:tc>
        <w:tc>
          <w:tcPr>
            <w:tcW w:w="540" w:type="dxa"/>
            <w:vAlign w:val="bottom"/>
            <w:tcBorders>
              <w:left w:val="single" w:sz="8" w:color="CFF0FC"/>
            </w:tcBorders>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461.8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-3599180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-3599180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-3599180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-2604770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-2604770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-2604770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-1636395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-1636395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-1430655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-1430655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-1233170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-1233170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-1233170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-436245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-436245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0" w:name="page61"/>
    <w:bookmarkEnd w:id="60"/>
    <w:p>
      <w:pPr>
        <w:jc w:val="center"/>
        <w:ind w:left="340" w:right="2320"/>
        <w:spacing w:after="0" w:line="262" w:lineRule="auto"/>
        <w:rPr>
          <w:sz w:val="20"/>
          <w:szCs w:val="20"/>
          <w:color w:val="auto"/>
        </w:rPr>
      </w:pPr>
      <w:r>
        <w:rPr>
          <w:rFonts w:ascii="Times New Roman" w:cs="Times New Roman" w:eastAsia="Times New Roman" w:hAnsi="Times New Roman"/>
          <w:sz w:val="18"/>
          <w:szCs w:val="18"/>
          <w:b w:val="1"/>
          <w:bCs w:val="1"/>
          <w:color w:val="auto"/>
        </w:rPr>
        <w:t>SS&amp;C TECHNOLOGIES HOLDINGS, INC. AND SUBSIDIARIES CONSOLIDATED STATEMENTS OF CHANGES IN STOCKHOLDERS’ EQUITY FOR THE YEARS ENDED DECEMBER 31, 2024, 2023 AND 2022 (in millions, except per share data)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SS&amp;C Stockholders</w:t>
            </w: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1600" w:type="dxa"/>
            <w:vAlign w:val="bottom"/>
            <w:tcBorders>
              <w:bottom w:val="single" w:sz="8" w:color="auto"/>
            </w:tcBorders>
            <w:gridSpan w:val="4"/>
          </w:tcPr>
          <w:p>
            <w:pPr>
              <w:jc w:val="right"/>
              <w:ind w:right="317"/>
              <w:spacing w:after="0" w:line="129"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restart"/>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7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Noncontrollin</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4"/>
        </w:trPr>
        <w:tc>
          <w:tcPr>
            <w:tcW w:w="2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Issued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1"/>
                <w:szCs w:val="11"/>
                <w:color w:val="auto"/>
              </w:rPr>
            </w:pPr>
          </w:p>
        </w:tc>
        <w:tc>
          <w:tcPr>
            <w:tcW w:w="106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1"/>
                <w:szCs w:val="11"/>
                <w:color w:val="auto"/>
              </w:rPr>
            </w:pPr>
          </w:p>
        </w:tc>
        <w:tc>
          <w:tcPr>
            <w:tcW w:w="1140" w:type="dxa"/>
            <w:vAlign w:val="bottom"/>
            <w:gridSpan w:val="2"/>
          </w:tcPr>
          <w:p>
            <w:pPr>
              <w:jc w:val="center"/>
              <w:ind w:right="2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780" w:type="dxa"/>
            <w:vAlign w:val="bottom"/>
            <w:gridSpan w:val="2"/>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w w:val="89"/>
              </w:rPr>
              <w:t>Treasury</w:t>
            </w:r>
          </w:p>
        </w:tc>
        <w:tc>
          <w:tcPr>
            <w:tcW w:w="140" w:type="dxa"/>
            <w:vAlign w:val="bottom"/>
          </w:tcPr>
          <w:p>
            <w:pPr>
              <w:spacing w:after="0"/>
              <w:rPr>
                <w:sz w:val="11"/>
                <w:szCs w:val="11"/>
                <w:color w:val="auto"/>
              </w:rPr>
            </w:pPr>
          </w:p>
        </w:tc>
        <w:tc>
          <w:tcPr>
            <w:tcW w:w="9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g</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3"/>
                <w:szCs w:val="13"/>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114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80" w:type="dxa"/>
            <w:vAlign w:val="bottom"/>
          </w:tcPr>
          <w:p>
            <w:pPr>
              <w:spacing w:after="0"/>
              <w:rPr>
                <w:sz w:val="13"/>
                <w:szCs w:val="13"/>
                <w:color w:val="auto"/>
              </w:rPr>
            </w:pPr>
          </w:p>
        </w:tc>
        <w:tc>
          <w:tcPr>
            <w:tcW w:w="78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3"/>
                <w:szCs w:val="13"/>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7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2021</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269.1</w:t>
            </w:r>
          </w:p>
        </w:tc>
        <w:tc>
          <w:tcPr>
            <w:tcW w:w="200" w:type="dxa"/>
            <w:vAlign w:val="bottom"/>
          </w:tcPr>
          <w:p>
            <w:pPr>
              <w:spacing w:after="0"/>
              <w:rPr>
                <w:sz w:val="11"/>
                <w:szCs w:val="11"/>
                <w:color w:val="auto"/>
              </w:rPr>
            </w:pPr>
          </w:p>
        </w:tc>
        <w:tc>
          <w:tcPr>
            <w:tcW w:w="1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220" w:type="dxa"/>
            <w:vAlign w:val="bottom"/>
          </w:tcPr>
          <w:p>
            <w:pPr>
              <w:spacing w:after="0"/>
              <w:rPr>
                <w:sz w:val="11"/>
                <w:szCs w:val="11"/>
                <w:color w:val="auto"/>
              </w:rPr>
            </w:pPr>
          </w:p>
        </w:tc>
        <w:tc>
          <w:tcPr>
            <w:tcW w:w="16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4,895.7</w:t>
            </w:r>
          </w:p>
        </w:tc>
        <w:tc>
          <w:tcPr>
            <w:tcW w:w="220" w:type="dxa"/>
            <w:vAlign w:val="bottom"/>
          </w:tcPr>
          <w:p>
            <w:pPr>
              <w:spacing w:after="0"/>
              <w:rPr>
                <w:sz w:val="11"/>
                <w:szCs w:val="11"/>
                <w:color w:val="auto"/>
              </w:rPr>
            </w:pPr>
          </w:p>
        </w:tc>
        <w:tc>
          <w:tcPr>
            <w:tcW w:w="1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2,293.0</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(242.0</w:t>
            </w:r>
          </w:p>
        </w:tc>
        <w:tc>
          <w:tcPr>
            <w:tcW w:w="22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(784.0</w:t>
            </w:r>
          </w:p>
        </w:tc>
        <w:tc>
          <w:tcPr>
            <w:tcW w:w="22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57.8</w:t>
            </w:r>
          </w:p>
        </w:tc>
        <w:tc>
          <w:tcPr>
            <w:tcW w:w="22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6,223.2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650.2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649.0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Foreign exchange translation adjustment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(Note 11)</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(311.6 )</w:t>
            </w:r>
          </w:p>
        </w:tc>
        <w:tc>
          <w:tcPr>
            <w:tcW w:w="80" w:type="dxa"/>
            <w:vAlign w:val="bottom"/>
          </w:tcPr>
          <w:p>
            <w:pPr>
              <w:spacing w:after="0"/>
              <w:rPr>
                <w:sz w:val="13"/>
                <w:szCs w:val="13"/>
                <w:color w:val="auto"/>
              </w:rPr>
            </w:pPr>
          </w:p>
        </w:tc>
        <w:tc>
          <w:tcPr>
            <w:tcW w:w="7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(311.6 )</w:t>
            </w: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change in interest rate swaps (Note 11)</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Defined benefit pension adjustment (Note 11)</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(1.3 )</w:t>
            </w:r>
          </w:p>
        </w:tc>
        <w:tc>
          <w:tcPr>
            <w:tcW w:w="8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(1.3 )</w:t>
            </w:r>
          </w:p>
        </w:tc>
        <w:tc>
          <w:tcPr>
            <w:tcW w:w="0" w:type="dxa"/>
            <w:vAlign w:val="bottom"/>
          </w:tcPr>
          <w:p>
            <w:pPr>
              <w:spacing w:after="0"/>
              <w:rPr>
                <w:sz w:val="1"/>
                <w:szCs w:val="1"/>
                <w:color w:val="auto"/>
              </w:rPr>
            </w:pPr>
          </w:p>
        </w:tc>
      </w:tr>
      <w:tr>
        <w:trPr>
          <w:trHeight w:val="117"/>
        </w:trPr>
        <w:tc>
          <w:tcPr>
            <w:tcW w:w="276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(Note 14)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Exercise of options, net of withholding</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taxes (Note 14)</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6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declared - $0.80 per share</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(Note 11)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(203.1 )</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(203.1 )</w:t>
            </w: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Purchase of common stock (Note 11)</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(476.1 )</w:t>
            </w:r>
          </w:p>
        </w:tc>
        <w:tc>
          <w:tcPr>
            <w:tcW w:w="1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(476.1 )</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2022</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271.9</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5,111.6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2,740.1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(550.1 )</w:t>
            </w:r>
          </w:p>
        </w:tc>
        <w:tc>
          <w:tcPr>
            <w:tcW w:w="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(1,260.1 )</w:t>
            </w: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56.6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6,100.8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607.1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608.6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6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Foreign exchange translation adjustment</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(Note 11)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Defined benefit pension adjustment (Note 11)</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(0.7 )</w:t>
            </w:r>
          </w:p>
        </w:tc>
        <w:tc>
          <w:tcPr>
            <w:tcW w:w="8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17"/>
        </w:trPr>
        <w:tc>
          <w:tcPr>
            <w:tcW w:w="276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(Note 14)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Exercise of options (Note 14)</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6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Withholding taxes related to equity award net</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share settlement (Note 14)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(17.5 )</w:t>
            </w: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(17.5 )</w:t>
            </w:r>
          </w:p>
        </w:tc>
        <w:tc>
          <w:tcPr>
            <w:tcW w:w="0" w:type="dxa"/>
            <w:vAlign w:val="bottom"/>
          </w:tcPr>
          <w:p>
            <w:pPr>
              <w:spacing w:after="0"/>
              <w:rPr>
                <w:sz w:val="1"/>
                <w:szCs w:val="1"/>
                <w:color w:val="auto"/>
              </w:rPr>
            </w:pPr>
          </w:p>
        </w:tc>
      </w:tr>
      <w:tr>
        <w:trPr>
          <w:trHeight w:val="117"/>
        </w:trPr>
        <w:tc>
          <w:tcPr>
            <w:tcW w:w="27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declared - $0.88 per share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(Note 11)</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(220.9 )</w:t>
            </w:r>
          </w:p>
        </w:tc>
        <w:tc>
          <w:tcPr>
            <w:tcW w:w="80" w:type="dxa"/>
            <w:vAlign w:val="bottom"/>
          </w:tcPr>
          <w:p>
            <w:pPr>
              <w:spacing w:after="0"/>
              <w:rPr>
                <w:sz w:val="13"/>
                <w:szCs w:val="13"/>
                <w:color w:val="auto"/>
              </w:rPr>
            </w:pPr>
          </w:p>
        </w:tc>
        <w:tc>
          <w:tcPr>
            <w:tcW w:w="11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(220.2 )</w:t>
            </w: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Purchase of common stock (Note 11)</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(474.1 )</w:t>
            </w: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(474.1 )</w:t>
            </w:r>
          </w:p>
        </w:tc>
        <w:tc>
          <w:tcPr>
            <w:tcW w:w="0" w:type="dxa"/>
            <w:vAlign w:val="bottom"/>
          </w:tcPr>
          <w:p>
            <w:pPr>
              <w:spacing w:after="0"/>
              <w:rPr>
                <w:sz w:val="1"/>
                <w:szCs w:val="1"/>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2023</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275.9</w:t>
            </w:r>
          </w:p>
        </w:tc>
        <w:tc>
          <w:tcPr>
            <w:tcW w:w="20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w:t>
            </w:r>
          </w:p>
        </w:tc>
        <w:tc>
          <w:tcPr>
            <w:tcW w:w="22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5,371.0</w:t>
            </w:r>
          </w:p>
        </w:tc>
        <w:tc>
          <w:tcPr>
            <w:tcW w:w="22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3,126.3</w:t>
            </w:r>
          </w:p>
        </w:tc>
        <w:tc>
          <w:tcPr>
            <w:tcW w:w="22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(426.3 )</w:t>
            </w: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(1,734.2 )</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58.1</w:t>
            </w:r>
          </w:p>
        </w:tc>
        <w:tc>
          <w:tcPr>
            <w:tcW w:w="2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6,397.7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760.5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761.7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noncontrolling interest (Note 12)</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6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Foreign exchange translation adjustment</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(Note 11)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(115.1 )</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(115.1 )</w:t>
            </w: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Defined benefit pension adjustment (Note 11)</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6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(Note 14)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Exercise of options (Note 14)</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356.6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14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356.6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6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rPr>
              <w:t>Withholding taxes related to equity award net</w:t>
            </w: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share settlement (Note 14)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(30.8 )</w:t>
            </w: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(30.8 )</w:t>
            </w:r>
          </w:p>
        </w:tc>
        <w:tc>
          <w:tcPr>
            <w:tcW w:w="0" w:type="dxa"/>
            <w:vAlign w:val="bottom"/>
          </w:tcPr>
          <w:p>
            <w:pPr>
              <w:spacing w:after="0"/>
              <w:rPr>
                <w:sz w:val="1"/>
                <w:szCs w:val="1"/>
                <w:color w:val="auto"/>
              </w:rPr>
            </w:pPr>
          </w:p>
        </w:tc>
      </w:tr>
      <w:tr>
        <w:trPr>
          <w:trHeight w:val="117"/>
        </w:trPr>
        <w:tc>
          <w:tcPr>
            <w:tcW w:w="27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declared - $0.98 per share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(Note 11)</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(244.9 )</w:t>
            </w:r>
          </w:p>
        </w:tc>
        <w:tc>
          <w:tcPr>
            <w:tcW w:w="80" w:type="dxa"/>
            <w:vAlign w:val="bottom"/>
          </w:tcPr>
          <w:p>
            <w:pPr>
              <w:spacing w:after="0"/>
              <w:rPr>
                <w:sz w:val="13"/>
                <w:szCs w:val="13"/>
                <w:color w:val="auto"/>
              </w:rPr>
            </w:pPr>
          </w:p>
        </w:tc>
        <w:tc>
          <w:tcPr>
            <w:tcW w:w="11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(243.4 )</w:t>
            </w:r>
          </w:p>
        </w:tc>
        <w:tc>
          <w:tcPr>
            <w:tcW w:w="0" w:type="dxa"/>
            <w:vAlign w:val="bottom"/>
          </w:tcPr>
          <w:p>
            <w:pPr>
              <w:spacing w:after="0"/>
              <w:rPr>
                <w:sz w:val="1"/>
                <w:szCs w:val="1"/>
                <w:color w:val="auto"/>
              </w:rPr>
            </w:pPr>
          </w:p>
        </w:tc>
      </w:tr>
      <w:tr>
        <w:trPr>
          <w:trHeight w:val="135"/>
        </w:trPr>
        <w:tc>
          <w:tcPr>
            <w:tcW w:w="27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Purchase of common stock (Note 11)</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(736.0 )</w:t>
            </w: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(736.0 )</w:t>
            </w:r>
          </w:p>
        </w:tc>
        <w:tc>
          <w:tcPr>
            <w:tcW w:w="0" w:type="dxa"/>
            <w:vAlign w:val="bottom"/>
          </w:tcPr>
          <w:p>
            <w:pPr>
              <w:spacing w:after="0"/>
              <w:rPr>
                <w:sz w:val="1"/>
                <w:szCs w:val="1"/>
                <w:color w:val="auto"/>
              </w:rPr>
            </w:pPr>
          </w:p>
        </w:tc>
      </w:tr>
      <w:tr>
        <w:trPr>
          <w:trHeight w:val="128"/>
        </w:trPr>
        <w:tc>
          <w:tcPr>
            <w:tcW w:w="2760" w:type="dxa"/>
            <w:vAlign w:val="bottom"/>
            <w:tcBorders>
              <w:top w:val="single" w:sz="8" w:color="CFF0FC"/>
              <w:bottom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284.4</w:t>
            </w:r>
          </w:p>
        </w:tc>
        <w:tc>
          <w:tcPr>
            <w:tcW w:w="20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2.8</w:t>
            </w:r>
          </w:p>
        </w:tc>
        <w:tc>
          <w:tcPr>
            <w:tcW w:w="220" w:type="dxa"/>
            <w:vAlign w:val="bottom"/>
            <w:tcBorders>
              <w:top w:val="single" w:sz="8" w:color="CFF0FC"/>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5,901.6</w:t>
            </w: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3,641.9</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(541.2</w:t>
            </w:r>
          </w:p>
        </w:tc>
        <w:tc>
          <w:tcPr>
            <w:tcW w:w="220" w:type="dxa"/>
            <w:vAlign w:val="bottom"/>
            <w:tcBorders>
              <w:top w:val="single" w:sz="8" w:color="CFF0FC"/>
              <w:bottom w:val="single" w:sz="8" w:color="CFF0FC"/>
            </w:tcBorders>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(2,470.2</w:t>
            </w:r>
          </w:p>
        </w:tc>
        <w:tc>
          <w:tcPr>
            <w:tcW w:w="220" w:type="dxa"/>
            <w:vAlign w:val="bottom"/>
            <w:tcBorders>
              <w:top w:val="single" w:sz="8" w:color="CFF0FC"/>
              <w:bottom w:val="single" w:sz="8" w:color="CFF0FC"/>
            </w:tcBorders>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74.2</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6,609.1</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-1328420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-1328420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-1328420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-1328420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-1328420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-1328420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-1328420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-1328420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-119380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-119380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-119380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-119380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-119380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-119380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-119380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ind w:right="5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SS&amp;C Technologies Holdings, Inc., or “Holdings,” is our top-level holding company. SS&amp;C Technologies, Inc., or “SS&amp;C,” is our primary operating company and a wholly-owned subsidiary of SS&amp;C Technologies Holdings, Inc. ”We,” “us,” “our,” and the “Company” means SS&amp;C Technologies Holdings, Inc. and its consolidated subsidiaries, including SS&amp;C.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provide software products and software-enabled services to the financial services and healthcare industries, primarily in North America. We also have operations in Europe, Asia, Australia, South America and Africa. Our portfolio of products and software-enabled services allows our financial services clients to automate and integrate front-office functions such as trading and modeling, middle-office functions such as portfolio management and reporting and back-office functions such as accounting, performance measurement, reconciliation, reporting, processing and clearing. Our products and software-enabled services in the healthcare industry support claims adjudication, benefit management, care management and business intelligence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generally accepted accounting principles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Estimates are used for, but not limited to, collectability of accounts receivable, valuation of non-marketable securities, costs to complete certain contracts, valuation of acquired assets and liabilities, valuation of stock options, assessment of probability of vesting of performance-based equity awards, income tax accruals and the value of deferred tax assets and liabilities. Estimates are also used to determine the remaining economic lives and carrying value of fixed assets, goodwill and intangible assets.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60" w:firstLine="584"/>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us and our subsidiaries. All significant accounts, transactions and profits between the consolidated companies have been eliminated in consolidation. We consolidate any entity in which we have a controlling financial interest. Under the voting interest model, generally the investor that has voting control (usually more than 50% of an entity’s voting interests) consolidates the entity. Under the variable interest entity (“VIE”) model, the party that has the power to direct the entity’s most significant economic activities and the ability to participate in the entity’s economics consolidates the entity. An entity is considered a VIE if it possesses any one or more of the following characteristics:</w:t>
      </w:r>
    </w:p>
    <w:p>
      <w:pPr>
        <w:spacing w:after="0" w:line="3" w:lineRule="exact"/>
        <w:rPr>
          <w:sz w:val="20"/>
          <w:szCs w:val="20"/>
          <w:color w:val="auto"/>
        </w:rPr>
      </w:pPr>
    </w:p>
    <w:p>
      <w:pPr>
        <w:ind w:right="20" w:firstLine="8"/>
        <w:spacing w:after="0" w:line="260" w:lineRule="auto"/>
        <w:tabs>
          <w:tab w:leader="none" w:pos="1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thinly capitalized; 2) residual equity holders do not control the entity; 3) equity holders are shielded from economic losses; 4) equity holders do not participate fully in an entity’s residual economics; and 5) the entity was established with non-substantive voting interests.</w:t>
      </w:r>
    </w:p>
    <w:p>
      <w:pPr>
        <w:spacing w:after="0" w:line="181" w:lineRule="exact"/>
        <w:rPr>
          <w:sz w:val="20"/>
          <w:szCs w:val="20"/>
          <w:color w:val="auto"/>
        </w:rPr>
      </w:pPr>
    </w:p>
    <w:p>
      <w:pPr>
        <w:ind w:right="100" w:firstLine="584"/>
        <w:spacing w:after="0" w:line="266" w:lineRule="auto"/>
        <w:rPr>
          <w:sz w:val="20"/>
          <w:szCs w:val="20"/>
          <w:color w:val="auto"/>
        </w:rPr>
      </w:pPr>
      <w:r>
        <w:rPr>
          <w:rFonts w:ascii="Times New Roman" w:cs="Times New Roman" w:eastAsia="Times New Roman" w:hAnsi="Times New Roman"/>
          <w:sz w:val="18"/>
          <w:szCs w:val="18"/>
          <w:color w:val="auto"/>
        </w:rPr>
        <w:t>We have consolidated one VIE since we are the primary beneficiary as discussed in Note 12 below. Our investments in private equity funds meet the definition of a VIE; however, the private equity fund investments are not consolidated as we do not have the power to direct the entities’ most significant economic activities.</w:t>
      </w:r>
    </w:p>
    <w:p>
      <w:pPr>
        <w:spacing w:after="0" w:line="176"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We are the lessee in a series of operating leases covering a large portion of our Kansas City, Missouri-based leased office facilities. The lessors are generally joint ventures (in which we have 50% ownership) that have been established specifically to purchase, finance and engage in leasing activities with the joint venture partners and unrelated third parties. Our analysis of our real estate joint ventures for all periods presented indicate that none qualified as a VIE and, accordingly, they have not been consolidated.</w:t>
      </w:r>
    </w:p>
    <w:p>
      <w:pPr>
        <w:spacing w:after="0" w:line="180" w:lineRule="exact"/>
        <w:rPr>
          <w:sz w:val="20"/>
          <w:szCs w:val="20"/>
          <w:color w:val="auto"/>
        </w:rPr>
      </w:pPr>
    </w:p>
    <w:p>
      <w:pPr>
        <w:jc w:val="both"/>
        <w:ind w:right="260" w:firstLine="578"/>
        <w:spacing w:after="0" w:line="266" w:lineRule="auto"/>
        <w:rPr>
          <w:sz w:val="20"/>
          <w:szCs w:val="20"/>
          <w:color w:val="auto"/>
        </w:rPr>
      </w:pPr>
      <w:r>
        <w:rPr>
          <w:rFonts w:ascii="Times New Roman" w:cs="Times New Roman" w:eastAsia="Times New Roman" w:hAnsi="Times New Roman"/>
          <w:sz w:val="18"/>
          <w:szCs w:val="18"/>
          <w:color w:val="auto"/>
        </w:rPr>
        <w:t>Unconsolidated investments in entities over which we do not have control but have the ability to exercise influence over operating and financial policies, if any, are accounted for under the equity method of accounting. Earnings and losses from such investments are recorded on a pre-tax basis,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520" w:firstLine="562"/>
        <w:spacing w:after="0" w:line="282" w:lineRule="auto"/>
        <w:rPr>
          <w:sz w:val="20"/>
          <w:szCs w:val="20"/>
          <w:color w:val="auto"/>
        </w:rPr>
      </w:pPr>
      <w:r>
        <w:rPr>
          <w:rFonts w:ascii="Times New Roman" w:cs="Times New Roman" w:eastAsia="Times New Roman" w:hAnsi="Times New Roman"/>
          <w:sz w:val="18"/>
          <w:szCs w:val="18"/>
          <w:color w:val="auto"/>
        </w:rPr>
        <w:t xml:space="preserve">We account for the recognition of our revenue in accordance with the relevant accounting literature, primarily Accounting Standards Update (“ASU”) 2014-09, </w:t>
      </w:r>
      <w:r>
        <w:rPr>
          <w:rFonts w:ascii="Times New Roman" w:cs="Times New Roman" w:eastAsia="Times New Roman" w:hAnsi="Times New Roman"/>
          <w:sz w:val="18"/>
          <w:szCs w:val="18"/>
          <w:i w:val="1"/>
          <w:iCs w:val="1"/>
          <w:color w:val="auto"/>
        </w:rPr>
        <w:t>Revenue from Contracts with Customers (ASC 606).</w:t>
      </w:r>
      <w:r>
        <w:rPr>
          <w:rFonts w:ascii="Times New Roman" w:cs="Times New Roman" w:eastAsia="Times New Roman" w:hAnsi="Times New Roman"/>
          <w:sz w:val="18"/>
          <w:szCs w:val="18"/>
          <w:color w:val="auto"/>
        </w:rPr>
        <w:t xml:space="preserve"> Our sources of revenue are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Software-enabled Services Revenue</w:t>
      </w:r>
    </w:p>
    <w:p>
      <w:pPr>
        <w:spacing w:after="0" w:line="119" w:lineRule="exact"/>
        <w:rPr>
          <w:sz w:val="20"/>
          <w:szCs w:val="20"/>
          <w:color w:val="auto"/>
        </w:rPr>
      </w:pPr>
    </w:p>
    <w:p>
      <w:pPr>
        <w:ind w:right="560" w:firstLine="569"/>
        <w:spacing w:after="0" w:line="282" w:lineRule="auto"/>
        <w:rPr>
          <w:sz w:val="20"/>
          <w:szCs w:val="20"/>
          <w:color w:val="auto"/>
        </w:rPr>
      </w:pPr>
      <w:r>
        <w:rPr>
          <w:rFonts w:ascii="Times New Roman" w:cs="Times New Roman" w:eastAsia="Times New Roman" w:hAnsi="Times New Roman"/>
          <w:sz w:val="18"/>
          <w:szCs w:val="18"/>
          <w:color w:val="auto"/>
        </w:rPr>
        <w:t>We primarily offer software-enabled outsourcing services in which we utilize our own software to offer comprehensive fund administration services for alternative investment managers, including fund manager services, transfer agency services, funds-of-funds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62" w:name="page63"/>
    <w:bookmarkEnd w:id="62"/>
    <w:p>
      <w:pPr>
        <w:ind w:right="60"/>
        <w:spacing w:after="0" w:line="255" w:lineRule="auto"/>
        <w:rPr>
          <w:sz w:val="20"/>
          <w:szCs w:val="20"/>
          <w:color w:val="auto"/>
        </w:rPr>
      </w:pPr>
      <w:r>
        <w:rPr>
          <w:rFonts w:ascii="Times New Roman" w:cs="Times New Roman" w:eastAsia="Times New Roman" w:hAnsi="Times New Roman"/>
          <w:sz w:val="18"/>
          <w:szCs w:val="18"/>
          <w:color w:val="auto"/>
        </w:rPr>
        <w:t>services, tax processing and accounting. We also use our own software applications to provide healthcare organizations a variety of medical and pharmacy benefit solutions to satisfy their information processing, quality of care, cost management concerns and payment integrity programs. Our healthcare solutions include claims adjudication, benefit management, care management, business intelligence and other ancillary services. We also offer subscription-based on-demand software applications that are managed and hosted at our facilities. The software-enabled services arrangements provide an alternative for clients who do not wish to install, run and maintain complicated financial software. Under these arrangements, the client does not have the right to take possession of the software, rather, we agree to provide access to our applications, remote use of our equipment to process transactions, access to client’s data stored on our equipment and connectivity between our environment and the client’s computing systems.</w:t>
      </w:r>
    </w:p>
    <w:p>
      <w:pPr>
        <w:spacing w:after="0" w:line="189" w:lineRule="exact"/>
        <w:rPr>
          <w:sz w:val="20"/>
          <w:szCs w:val="20"/>
          <w:color w:val="auto"/>
        </w:rPr>
      </w:pPr>
    </w:p>
    <w:p>
      <w:pPr>
        <w:ind w:right="60" w:firstLine="569"/>
        <w:spacing w:after="0" w:line="282" w:lineRule="auto"/>
        <w:rPr>
          <w:sz w:val="20"/>
          <w:szCs w:val="20"/>
          <w:color w:val="auto"/>
        </w:rPr>
      </w:pPr>
      <w:r>
        <w:rPr>
          <w:rFonts w:ascii="Times New Roman" w:cs="Times New Roman" w:eastAsia="Times New Roman" w:hAnsi="Times New Roman"/>
          <w:sz w:val="18"/>
          <w:szCs w:val="18"/>
          <w:color w:val="auto"/>
        </w:rPr>
        <w:t>Software-enabled services are generally provided under contracts with initial terms of one to five years that require monthly or quarterly payments, and are subject to automatic annual renewal at the end of the initial term unless terminated by either party.</w:t>
      </w:r>
    </w:p>
    <w:p>
      <w:pPr>
        <w:spacing w:after="0" w:line="162" w:lineRule="exact"/>
        <w:rPr>
          <w:sz w:val="20"/>
          <w:szCs w:val="20"/>
          <w:color w:val="auto"/>
        </w:rPr>
      </w:pPr>
    </w:p>
    <w:p>
      <w:pPr>
        <w:ind w:right="60" w:firstLine="569"/>
        <w:spacing w:after="0" w:line="254" w:lineRule="auto"/>
        <w:rPr>
          <w:sz w:val="20"/>
          <w:szCs w:val="20"/>
          <w:color w:val="auto"/>
        </w:rPr>
      </w:pPr>
      <w:r>
        <w:rPr>
          <w:rFonts w:ascii="Times New Roman" w:cs="Times New Roman" w:eastAsia="Times New Roman" w:hAnsi="Times New Roman"/>
          <w:sz w:val="18"/>
          <w:szCs w:val="18"/>
          <w:color w:val="auto"/>
        </w:rPr>
        <w:t>In software-enabled services arrangements, the arrangement is a single performance obligation or a stand-ready performance obligation, which in either case is comprised of a series of distinct services that are substantially the same and have the same pattern of transfer to the customer (i.e., distinct days or months of service). We apply a measure of progress (typically time-based) to any fixed consideration and allocate variable consideration to the distinct periods of service based on usage or summarization of account information. These variable payments relate specifically to our efforts to perform the services in the period in which the fee applies. This variability is solely attributed to and resolved as a result of the transfer of these services; these fees are independent of the transfer of past or future goods or services. These fees meet the allocation objective of Accounting Standards Codification (“ASC”) 606 because they represent the amount of consideration we are entitled to for these services. Revenue is generally recognized over the period the services are provided, which results in revenue recognition that corresponds with the value to the client of the services transferred to date relative to the remaining services promised.</w:t>
      </w:r>
    </w:p>
    <w:p>
      <w:pPr>
        <w:spacing w:after="0" w:line="188"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For our software-enabled services contracts which are cancelable with 90 days’ notice or meet the allocation objective for a series of performance obligations under ASC 606, we have not disclosed the transaction price for the remaining performance obligations as of the end of each reporting period or when we expect to recognize this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Maintenance and Related Revenue Agreements</w:t>
      </w:r>
    </w:p>
    <w:p>
      <w:pPr>
        <w:spacing w:after="0" w:line="119"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color w:val="auto"/>
        </w:rPr>
        <w:t>We generate revenues in the form of software license fees and related maintenance and services fees. License fees include perpetual license fees and term license fees that differ mainly in the duration over which the customer benefits from the software. Maintenance and services primarily consist of fees for maintenance services (including support and unspecified upgrades and enhancements when and if they are available) and, in some cases, professional services which focus on both deployment and training our customers to fully leverage the use of our products.</w:t>
      </w:r>
    </w:p>
    <w:p>
      <w:pPr>
        <w:spacing w:after="0" w:line="180"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Under ASC 606, we identify a contract with a customer, we identify the performance obligations in the contract, we determine the transaction price, we allocate the transaction price to each performance obligation in the contract and recognize revenues when (or as) we satisfy a performance obligation.</w:t>
      </w:r>
    </w:p>
    <w:p>
      <w:pPr>
        <w:spacing w:after="0" w:line="162"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Software license performance obligations are functional intellectual property that are distinct as the user can benefit from the software on its own as defined under ASC 606. Software license revenues are recognized at the point of time when the software license has been delivered. Term license fees are typically due in annual installments at the beginning of each annual period, and we record a contract asset for amounts recognized as revenue in excess of amounts billed.</w:t>
      </w:r>
    </w:p>
    <w:p>
      <w:pPr>
        <w:spacing w:after="0" w:line="180"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We recognize maintenance revenues ratably over the term of the underlying contract term because we transfer control evenly by providing a stand-ready service. The term of the maintenance contract on a perpetual license is usually one year and the duration of a term license contract is usually between one to five years. Renewals of maintenance contracts create new performance obligations that are satisfied over the term with the revenues recognized ratably over the term.</w:t>
      </w:r>
    </w:p>
    <w:p>
      <w:pPr>
        <w:spacing w:after="0" w:line="180" w:lineRule="exact"/>
        <w:rPr>
          <w:sz w:val="20"/>
          <w:szCs w:val="20"/>
          <w:color w:val="auto"/>
        </w:rPr>
      </w:pPr>
    </w:p>
    <w:p>
      <w:pPr>
        <w:ind w:right="180" w:firstLine="569"/>
        <w:spacing w:after="0" w:line="282" w:lineRule="auto"/>
        <w:rPr>
          <w:sz w:val="20"/>
          <w:szCs w:val="20"/>
          <w:color w:val="auto"/>
        </w:rPr>
      </w:pPr>
      <w:r>
        <w:rPr>
          <w:rFonts w:ascii="Times New Roman" w:cs="Times New Roman" w:eastAsia="Times New Roman" w:hAnsi="Times New Roman"/>
          <w:sz w:val="18"/>
          <w:szCs w:val="18"/>
          <w:color w:val="auto"/>
        </w:rPr>
        <w:t>Revenues from professional services consist mostly of services provided on a time and materials basis. The performance obligations are satisfied, and revenues are recognized, over time as the services are provided.</w:t>
      </w:r>
    </w:p>
    <w:p>
      <w:pPr>
        <w:spacing w:after="0" w:line="162" w:lineRule="exact"/>
        <w:rPr>
          <w:sz w:val="20"/>
          <w:szCs w:val="20"/>
          <w:color w:val="auto"/>
        </w:rPr>
      </w:pPr>
    </w:p>
    <w:p>
      <w:pPr>
        <w:ind w:right="160" w:firstLine="569"/>
        <w:spacing w:after="0" w:line="258" w:lineRule="auto"/>
        <w:rPr>
          <w:sz w:val="20"/>
          <w:szCs w:val="20"/>
          <w:color w:val="auto"/>
        </w:rPr>
      </w:pPr>
      <w:r>
        <w:rPr>
          <w:rFonts w:ascii="Times New Roman" w:cs="Times New Roman" w:eastAsia="Times New Roman" w:hAnsi="Times New Roman"/>
          <w:sz w:val="18"/>
          <w:szCs w:val="18"/>
          <w:color w:val="auto"/>
        </w:rPr>
        <w:t>In contracts with multiple performance obligations, we account for individual performance obligations separately if they are distinct. We allocate the transaction price to each performance obligation based on our relative standalone selling price out of total consideration of the contract. Standalone selling price is determined utilizing observable prices to the extent available. If the standalone selling price for a performance obligation is not directly observable, we estimate it maximizing the use of observable inputs. For maintenance and support, we determine the standalone selling price based on the price at which we separately sell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20"/>
        <w:spacing w:after="0" w:line="261" w:lineRule="auto"/>
        <w:rPr>
          <w:sz w:val="20"/>
          <w:szCs w:val="20"/>
          <w:color w:val="auto"/>
        </w:rPr>
      </w:pPr>
      <w:r>
        <w:rPr>
          <w:rFonts w:ascii="Times New Roman" w:cs="Times New Roman" w:eastAsia="Times New Roman" w:hAnsi="Times New Roman"/>
          <w:sz w:val="18"/>
          <w:szCs w:val="18"/>
          <w:color w:val="auto"/>
        </w:rPr>
        <w:t>renewal contract and the economic relationship between licenses and maintenance. We primarily determine the standalone selling price for sales of license arrangements using the residual approach. In situations when the software license and the right to unspecified product upgrades are not distinct in the context of the contract, they are combined into a single performance obligation and revenue is recognized on a straight-line basis over the contract duration. For professional services, we determine the standalone selling prices based on the price at which we separately sell those services.</w:t>
      </w:r>
    </w:p>
    <w:p>
      <w:pPr>
        <w:spacing w:after="0" w:line="180" w:lineRule="exact"/>
        <w:rPr>
          <w:sz w:val="20"/>
          <w:szCs w:val="20"/>
          <w:color w:val="auto"/>
        </w:rPr>
      </w:pPr>
    </w:p>
    <w:p>
      <w:pPr>
        <w:ind w:right="60" w:firstLine="569"/>
        <w:spacing w:after="0" w:line="255" w:lineRule="auto"/>
        <w:rPr>
          <w:sz w:val="20"/>
          <w:szCs w:val="20"/>
          <w:color w:val="auto"/>
        </w:rPr>
      </w:pPr>
      <w:r>
        <w:rPr>
          <w:rFonts w:ascii="Times New Roman" w:cs="Times New Roman" w:eastAsia="Times New Roman" w:hAnsi="Times New Roman"/>
          <w:sz w:val="18"/>
          <w:szCs w:val="18"/>
          <w:color w:val="auto"/>
        </w:rPr>
        <w:t>We occasionally enter into license agreements requiring significant customization of our software that are not material to our results of operations. We account for the license and professional service fees under these agreements as a single performance obligation, recognized over time using an input method during the development of the license. This method requires estimates to be made for costs to complete the agreement utilizing an estimate of development man-hours remaining. Revenue is recognized each period based on the hours incurred to date compared to the total hours expected to complete the project. Due to uncertainties inherent in the estimation process, it is at least reasonably possible that completion costs will be revised. Such revisions are recognized in the period in which the revisions are determined. Provisions for estimated losses on uncompleted contracts are determined on a contract-by-contract basis and are made in the period in which such losses are first estimated or determined.</w:t>
      </w:r>
    </w:p>
    <w:p>
      <w:pPr>
        <w:spacing w:after="0" w:line="189" w:lineRule="exact"/>
        <w:rPr>
          <w:sz w:val="20"/>
          <w:szCs w:val="20"/>
          <w:color w:val="auto"/>
        </w:rPr>
      </w:pPr>
    </w:p>
    <w:p>
      <w:pPr>
        <w:ind w:right="240" w:firstLine="562"/>
        <w:spacing w:after="0" w:line="282" w:lineRule="auto"/>
        <w:rPr>
          <w:sz w:val="20"/>
          <w:szCs w:val="20"/>
          <w:color w:val="auto"/>
        </w:rPr>
      </w:pPr>
      <w:r>
        <w:rPr>
          <w:rFonts w:ascii="Times New Roman" w:cs="Times New Roman" w:eastAsia="Times New Roman" w:hAnsi="Times New Roman"/>
          <w:sz w:val="18"/>
          <w:szCs w:val="18"/>
          <w:color w:val="auto"/>
        </w:rPr>
        <w:t>We do not account for significant financing components if the period between when we transfer the promised product or service to the client and when the client pays for that product or service will be one year or less. We record revenue net of any taxes assessed by governmental authorities.</w:t>
      </w:r>
    </w:p>
    <w:p>
      <w:pPr>
        <w:spacing w:after="0" w:line="162" w:lineRule="exact"/>
        <w:rPr>
          <w:sz w:val="20"/>
          <w:szCs w:val="20"/>
          <w:color w:val="auto"/>
        </w:rPr>
      </w:pPr>
    </w:p>
    <w:p>
      <w:pPr>
        <w:ind w:firstLine="562"/>
        <w:spacing w:after="0" w:line="282" w:lineRule="auto"/>
        <w:rPr>
          <w:sz w:val="20"/>
          <w:szCs w:val="20"/>
          <w:color w:val="auto"/>
        </w:rPr>
      </w:pPr>
      <w:r>
        <w:rPr>
          <w:rFonts w:ascii="Times New Roman" w:cs="Times New Roman" w:eastAsia="Times New Roman" w:hAnsi="Times New Roman"/>
          <w:sz w:val="18"/>
          <w:szCs w:val="18"/>
          <w:color w:val="auto"/>
        </w:rPr>
        <w:t>Accounts Receivable, net is primarily comprised of billed and unbilled receivables for which we have an unconditional right to consideration, net of an allowance for credit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Revenues</w:t>
      </w:r>
    </w:p>
    <w:p>
      <w:pPr>
        <w:spacing w:after="0" w:line="229"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Costs of revenues include all costs, including depreciation and amortization, incurred to produce revenues. Incremental costs of obtaining a contract (e.g., sales commissions) are capitalized and amortized on a basis consistent with the pattern of transfer of goods or services to the customer to which the asset relates over the expected customer relationship period if we expect to recover those costs. The expected customer relationship period is determined based on average historical customer relationship periods, including expected renewals. Expected renewal periods are only included in the expected customer relationship period if commission amounts paid upon renewal are not commensurate with amounts paid on the initial contract. Incremental costs of obtaining a contract include only those costs we incur to obtain a contract that we would not have incurred if the contract had not been obtained. We have determined that certain commissions programs meet the requirements to be capitalized. Certain sales commissions associated with multi-year contracts are subject to an employee service requirement. As an action other than each party approving the contract is required to trigger payment of these sales commissions, they are not considered incremental costs to obtain a contract and are expensed as incurred. These costs are included in selling and marketing. We expense sales commissions as incurred when the amortization period would have been one year or less.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associated with computer software are charged to expense as incurred. Capitalization of internally developed computer software costs in the case of software to be sold begins upon the establishment of technological feasibility based on a working model. Capitalization of internally developed computer software costs in the case of internal use software begins when management authorizes and commits funding to a project and the preliminary design stage has been completed.</w:t>
      </w:r>
    </w:p>
    <w:p>
      <w:pPr>
        <w:spacing w:after="0" w:line="180"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policy is to amortize these costs upon a product’s general release to the client. Amortization of capitalized software costs is calculated by the greater of (a) the ratio that current gross revenues for a product bear to the total of current and anticipated future gross revenues for that product or (b) the straight-line method over the remaining estimated economic life of the product, including the period being reported on, typically two to five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Using the fair value recognition provisions of relevant accounting literature, stock-based compensation cost is measured at the grant date based on the estimated fair value of the award and is recognized as expense over the appropriate service period. Determining the fair value of stock-based awards requires considerable judgment, including estimating the expected term of stock options and the expected volatility of our stock price. In addition, for stock-based awards where vesting is dependent upon achieving certain operating performance goals, we estimate the likelihood of achieving the performance goals. Differences between actual results and these estimates could have a material effect on our financial results. Forfeitures are accounted for as they occur. A deferred income tax asset is recorded over the vesting period as stock compensation expense is recorded for non-qualified option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awards. The realizability of the deferred tax asset is ultimately based on the actual value of the stock-based award upon exercise. If the actual value is lower than the fair value determined on the date of grant, then there would be an income tax expense for the portion of the deferred tax asset that is not realizable.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account for income taxes in accordance with the relevant accounting literature. An asset and liability approach is used to recognize deferred tax assets and liabilities for the future tax consequences of items that are recognized in our financial statements and tax returns in different years. A valuation allowance is established against net deferred tax assets if, based on the weight of available evidence, it is more likely than not that some or all of the net deferred tax assets will not be realized.</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account for uncertain tax positions using a two-step approach.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tax positions and tax benefits, which may require periodic adjustments and which may not accurately forecast actual outcomes.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consider all highly liquid marketable securities with original maturities of three months or less at the date of acquisition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Funds Receivable and Funds Held on Behalf of Clients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hold client funds on behalf of transfer agency clients and pharmacy processing clients in connection with providing our data processing services. End-of-day available client bank balances for full service mutual fund transfer agency clients are invested overnight in credit quality government money market funds, bank deposits and repurchase agreements. Invested balances are returned to the full service mutual fund transfer agency clients’ accounts the following business day. Funds received from clients for the payment of pharmacy claims incurred by its members are invested in credit quality government money market funds, bank deposits and repurchase agreements until the paid claims are settled. Client funding receivables represent amounts due to us for pharmacy claims paid in advance of receiving client funding and for pharmacy claims processed for which client funding requests have not been made.</w:t>
      </w:r>
    </w:p>
    <w:p>
      <w:pPr>
        <w:spacing w:after="0" w:line="18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Funds held on behalf of clients in the form of cash, cash equivalents and certificates of deposit with a maturity of less than twelve months are included in funds receivable and funds held on behalf of clients in the Consolidated Balance Sheet. Funds held on behalf of clients in the form of certificates of deposit with a maturity of greater than twelve months are classified as investments on the Consolidated Balance Sheets. All funds held on behalf of clients represent assets that are restricted for use.</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included funds held on behalf of clients that meet the definition of restricted cash and restricted cash equivalents in the beginning and end of period balances in the Consolidated Statements of Cash Flows. Cash inflows and outflows related to investment of funds held on behalf of clients are reported on a gross basis as “Investments in securities” and “Proceeds from sales / maturities of investments” in the investing section of the Consolidated Statements of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Funds Obligations</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Client funds obligations represent funds owed to full service mutual fund transfer agency clients for cash balances invested overnight, and our contractual obligations to satisfy client pharmacy claim obligations that are recorded on the balance sheet when incurred, generally after we have processed a claim on behalf of its pharmacy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Restricted cash primarily includes amounts held by a bank as security for letters of credit issued due to lease requirements for office space. The letters of credit are expected to be renewed within the next twelve months, and as such, the restricted cash is classified as a current asset on the Consolidated Balance Sheets.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and Unconsolidated Affiliates</w:t>
      </w:r>
    </w:p>
    <w:p>
      <w:pPr>
        <w:spacing w:after="0" w:line="121" w:lineRule="exact"/>
        <w:rPr>
          <w:sz w:val="20"/>
          <w:szCs w:val="20"/>
          <w:color w:val="auto"/>
        </w:rPr>
      </w:pPr>
    </w:p>
    <w:p>
      <w:pPr>
        <w:ind w:right="180" w:firstLine="562"/>
        <w:spacing w:after="0" w:line="282" w:lineRule="auto"/>
        <w:rPr>
          <w:sz w:val="20"/>
          <w:szCs w:val="20"/>
          <w:color w:val="auto"/>
        </w:rPr>
      </w:pPr>
      <w:r>
        <w:rPr>
          <w:rFonts w:ascii="Times New Roman" w:cs="Times New Roman" w:eastAsia="Times New Roman" w:hAnsi="Times New Roman"/>
          <w:sz w:val="18"/>
          <w:szCs w:val="18"/>
          <w:color w:val="auto"/>
        </w:rPr>
        <w:t>We hold various investments, including investments in marketable securities, non-marketable securities and partnership interests in private equity funds, joint ventures and other similar entities.</w:t>
      </w:r>
    </w:p>
    <w:p>
      <w:pPr>
        <w:spacing w:after="0" w:line="162"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The equity method of accounting is used for investments in entities, partnerships and similar interests (including investments in private equity funds where we are a limited partner and hold a greater than 5% partnership interest in the fund) in which we have significant influence but do not control. Under the equity method, we recognize income or losses from our pro-rata share of these unconsolidated affiliates’ net income or loss, which changes the carrying value of the investment of the unconsolidated affiliate. When recording income or losses related to our investment in Orbit Private Investments L.P., we consistently apply a three-month lag period based on when financial information is received. We will adjust for any known significant changes from the lag period to our reporting date.</w:t>
      </w:r>
    </w:p>
    <w:p>
      <w:pPr>
        <w:spacing w:after="0" w:line="187"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color w:val="auto"/>
        </w:rPr>
        <w:t>We measure equity investments in marketable securities, seed capital investments and other investments, other than those accounted for under the equity method of accounting or those that result in consolidation of the investee, at fair value, with changes in the fair value recognized in earnings. We use net asset value as a practical expedient for the fair value of partnership interests in private equity funds that are not accounted for under the equity method of accounting.</w:t>
      </w:r>
    </w:p>
    <w:p>
      <w:pPr>
        <w:spacing w:after="0" w:line="180"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 xml:space="preserve">Investments in non-marketable equity securities that do not have readily determinable fair values and do not qualify for the practical expedient to measure the investment using a net asset value per share are recorded using the measurement alternative in ASU 2016-01, </w:t>
      </w:r>
      <w:r>
        <w:rPr>
          <w:rFonts w:ascii="Times New Roman" w:cs="Times New Roman" w:eastAsia="Times New Roman" w:hAnsi="Times New Roman"/>
          <w:sz w:val="18"/>
          <w:szCs w:val="18"/>
          <w:i w:val="1"/>
          <w:iCs w:val="1"/>
          <w:color w:val="auto"/>
        </w:rPr>
        <w:t>Recognition and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Assets and Financial Liabilities</w:t>
      </w:r>
      <w:r>
        <w:rPr>
          <w:rFonts w:ascii="Times New Roman" w:cs="Times New Roman" w:eastAsia="Times New Roman" w:hAnsi="Times New Roman"/>
          <w:sz w:val="18"/>
          <w:szCs w:val="18"/>
          <w:color w:val="auto"/>
        </w:rPr>
        <w:t>. These investments are recorded at cost, less impairment, adjusted for observable price changes in orderly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for an identical or similar investment of the same issuer. At each reporting period, we assess if these investments continue to qualify for this measurement alternative. Impairment is recorded when there is evidence that the expected fair value of the investment has declined to below the recorded cost.</w:t>
      </w:r>
    </w:p>
    <w:p>
      <w:pPr>
        <w:spacing w:after="0" w:line="187" w:lineRule="exact"/>
        <w:rPr>
          <w:sz w:val="20"/>
          <w:szCs w:val="20"/>
          <w:color w:val="auto"/>
        </w:rPr>
      </w:pPr>
    </w:p>
    <w:p>
      <w:pPr>
        <w:ind w:right="100" w:firstLine="562"/>
        <w:spacing w:after="0" w:line="258" w:lineRule="auto"/>
        <w:rPr>
          <w:sz w:val="20"/>
          <w:szCs w:val="20"/>
          <w:color w:val="auto"/>
        </w:rPr>
      </w:pPr>
      <w:r>
        <w:rPr>
          <w:rFonts w:ascii="Times New Roman" w:cs="Times New Roman" w:eastAsia="Times New Roman" w:hAnsi="Times New Roman"/>
          <w:sz w:val="18"/>
          <w:szCs w:val="18"/>
          <w:color w:val="auto"/>
        </w:rPr>
        <w:t>We have certain investments in unconsolidated affiliates accounted for under the equity method of accounting in which our carrying value exceeds our proportionate share of net assets of the unconsolidated affiliate. The total investment in unconsolidated affiliates, including basis differences, is included in unconsolidated affiliates on the Consolidated Balance Sheet. We record our proportionate share of the results of the unconsolidated affiliates and amortization expense related to basis differences in equity in earnings of unconsolidated affiliates, net on the Consolidated Statements of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Depreciation of property, plant and equipment is calculated using the straight-line method over the estimated useful lives of the assets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00" w:type="dxa"/>
            <w:vAlign w:val="bottom"/>
          </w:tcPr>
          <w:p>
            <w:pPr>
              <w:spacing w:after="0"/>
              <w:rPr>
                <w:sz w:val="15"/>
                <w:szCs w:val="15"/>
                <w:color w:val="auto"/>
              </w:rPr>
            </w:pP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4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 years</w:t>
            </w:r>
          </w:p>
        </w:tc>
      </w:tr>
      <w:tr>
        <w:trPr>
          <w:trHeight w:val="216"/>
        </w:trPr>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4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Shorter of 40 years or remaining life of the building</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16"/>
        </w:trPr>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7-10 years</w:t>
            </w:r>
          </w:p>
        </w:tc>
      </w:t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r>
    </w:tbl>
    <w:p>
      <w:pPr>
        <w:spacing w:after="0" w:line="179"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Maintenance and repairs are expensed as incurred. The costs of sold or retired assets are removed from the related asset and accumulated depreciation accounts and any gain or loss is included in the Consolidated Statements of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account for our leases in accordance with ASC 842. We determine if our contractual agreements contain a lease at inception. A lease is identified when a contract allows us the right to control an identified asset for a period of time in exchange for consideration. Our lease agreements consist primarily of operating leases for office space.</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operating leases are included on the Consolidated Balance Sheets as operating lease right-of-use assets and operating lease liabilities, under ASC 842. An operating lease right-of-use asset represents our right to use an underlying asset over the term of a lease while an operating lease liability represents our obligation to make lease payments arising from the lease. Operating lease liabilities are recognized at the commencement date at the present value of the base minimum rent payments. As most of our leases do not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6" w:name="page67"/>
    <w:bookmarkEnd w:id="66"/>
    <w:p>
      <w:pPr>
        <w:ind w:right="280"/>
        <w:spacing w:after="0" w:line="282" w:lineRule="auto"/>
        <w:rPr>
          <w:sz w:val="20"/>
          <w:szCs w:val="20"/>
          <w:color w:val="auto"/>
        </w:rPr>
      </w:pPr>
      <w:r>
        <w:rPr>
          <w:rFonts w:ascii="Times New Roman" w:cs="Times New Roman" w:eastAsia="Times New Roman" w:hAnsi="Times New Roman"/>
          <w:sz w:val="18"/>
          <w:szCs w:val="18"/>
          <w:color w:val="auto"/>
        </w:rPr>
        <w:t>provide an implicit rate, we use our estimated secured incremental borrowing rate within each of the significant geographic regions in which we operate based on the information available at lease commencement date in determining the present value of lease payments.</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lease agreements typically do not contain variable lease payments, residual value guarantees or restrictive covenants. Many of our leases include the option to renew, however we do not believe it is reasonably certain that we will exercise the options as each individual lease is evaluated and further negotiated prior to the end of the current lease terms.</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Generally, our lease agreements include required separate payments for non-lease components (e.g. payments for common area maintenance, real estate taxes and/or utilities) which are expensed as incurred. We do have certain lease agreements that contain bundled minimum payments for lease components (e.g., payments for rent) and non-lease components. In these situations, we have applied the practical expedient available under ASC 842 to not separate the lease and non-lease components for purposes of the right-of-use asset and lease payment obligation calculations.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test goodwill annually for impairment as of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(and in interim periods if certain events occur or circumstances change that would more likely than not reduce the fair value of a reporting unit below its carrying amount). We have completed the required impairment tests for goodwill and have determined that no impairment existed as of December 31, 2024 or 2023. As of December 31, 2024 and 2023, we have two reporting units, one is our health business and the other includes the rest of our operations. Our impairment analysis indicated that the fair value significantly exceeded the carrying value of each of our reporting units as of December 31, 2024 and 2023. We measure the fair value of our reporting units utilizing the income approach. Significant judgment is required to determine appropriate revenue growth rates and to estimate the fair value of our reporting units. There were no other indefinite-lived intangible assets as of December 31, 2024 or 2023.</w:t>
      </w:r>
    </w:p>
    <w:p>
      <w:pPr>
        <w:spacing w:after="0" w:line="19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Customer relationships, completed technology and trade names are amortized over lives ranging from six to 20 years. Completed technology and customer relationships are amortized each year based on the ratio that the projected cash flows for the intangible assets bear to the total of current and expected future cash flows for the intangible asset. Trade names are amortized on a straight-line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our long-lived assets when there is evidence that events or changes in circumstances have made recovery of the carrying value of the asset or asset group unlikely. An impairment loss would be recognized when the sum of the expected future undiscounted net cash flows is less than the carrying amount of the asset or asset group. We have identified no such impairment losses in the years ended December 31, 2024 and 2023.</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Long-lived assets that are held for sale are evaluated for possible impairment by comparing the carrying value of the asset with its fair value less the cost to sell. If the net book value exceeds the fair value less cost to sell, the asset is considered impaired and adjusted to the lower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cash equivalents, marketable securities and trade receivables. We have cash investment policies that limit investments to investment grade securities. Concentrations of credit risk, with respect to trade receivables, are limited due to the fact that our client base is highly diversified. As of December 31, 2024 and 2023, we had no significant concentrations of credit.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Operations and Foreign Currency</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functional currency of each foreign subsidiary is generally the local currency. Accordingly, assets and liabilities of foreign subsidiaries are translated to U.S. dollars at period-end exchange rates, and capital stock accounts are translated at historical rates. Revenues and expenses are translated using the average rates during the period. The resulting translation adjustments are excluded from net earnings and accumulated as a separate component of stockholders’ equity. Foreign currency transaction gains and losses are included within other income, net in the Consolidated Statements of Comprehensive Income in the periods in which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comprehensive income consists of net income, foreign currency translation adjustments and a defined benefit pension plan, which are presented in the Consolidated Statements of Comprehensive Income, net of tax and reclassifications to earnings. The accumulated balance of other comprehensive income is reported separately from retained earnings and additional paid-in capital in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1080"/>
        <w:spacing w:after="0" w:line="282" w:lineRule="auto"/>
        <w:rPr>
          <w:sz w:val="20"/>
          <w:szCs w:val="20"/>
          <w:color w:val="auto"/>
        </w:rPr>
      </w:pPr>
      <w:r>
        <w:rPr>
          <w:rFonts w:ascii="Times New Roman" w:cs="Times New Roman" w:eastAsia="Times New Roman" w:hAnsi="Times New Roman"/>
          <w:sz w:val="18"/>
          <w:szCs w:val="18"/>
          <w:color w:val="auto"/>
        </w:rPr>
        <w:t>stockholders’ equity section of the Consolidated Balance Sheets. Total comprehensive income consists of net income and other accumulated comprehensive income disclosed in the equity section of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Treasury stock purchases are accounted for under the cost method and are included as a deduction from equity in the stockholders’ equity section of the Consolidated Balance Sheets. Under the cost method, the price paid for the stock, including any taxes associated with the purchase of the stock, is charged to the treasury stock account. We use the average cost method to reduce the value of the treasury stock account if treasury stock is re-issued.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Loss contingencies from legal proceedings and claims may occur from government investigations, shareholder lawsuits, contractual claims, tax and other matters. Accruals are recognized when it is probable that a liability will be incurred and the amount of loss can be reasonably estimated. Gain contingencies are not recognized until realized. Legal fees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standard is applicable to all public entities, including public entities with a single reportable segment, and requires enhanced reportable segment disclosures. The disclosures include significant segment expenses regularly provided to the chief operating decision maker (“CODM”) and included within each reported measure of segment profit or loss. The standard also requires disclosure of the title and position of the CODM as well as how the CODM uses the reported measures of a segment’s profit or loss to assess segment performance and decide how to allocate resources. We have adopted ASU 2023-07 during the year ended December 31, 2024. See Note 19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xml:space="preserve"> in the accompanying notes to the consolidated financial statements for further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Effective</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The standard requires more enhanced disclosures specifically related to effective tax rate reconciliation and income taxes paid. The new requirements will be effective for fiscal years beginning after December 15, 2024, on a prospective basis. Early adoption and retrospective application are permitted. We are currently evaluating the potential impact the standard will have on our income tax disclosures.</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The standard requires enhanced disclosures specific expense categories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financial statements on an interim and annual basis. ASU 2024-03 is effective for fiscal years beginning after December 15, 2026, and for interim periods beginning after December 15, 2027, on a prospective basis with early adoption permitted. We are currently evaluating the potential impact the standard will have on our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3—Accounts Receivable,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are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96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676.8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256.8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(31.6 )</w:t>
            </w:r>
          </w:p>
        </w:tc>
        <w:tc>
          <w:tcPr>
            <w:tcW w:w="3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(25.1 )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260" w:type="dxa"/>
            <w:vAlign w:val="bottom"/>
            <w:tcBorders>
              <w:top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902.0</w:t>
            </w:r>
          </w:p>
        </w:tc>
        <w:tc>
          <w:tcPr>
            <w:tcW w:w="2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10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6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68</w:t>
            </w: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17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-1353820</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-1353820</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left="520"/>
        <w:spacing w:after="0"/>
        <w:rPr>
          <w:sz w:val="20"/>
          <w:szCs w:val="20"/>
          <w:color w:val="auto"/>
        </w:rPr>
      </w:pPr>
      <w:r>
        <w:rPr>
          <w:rFonts w:ascii="Times New Roman" w:cs="Times New Roman" w:eastAsia="Times New Roman" w:hAnsi="Times New Roman"/>
          <w:sz w:val="17"/>
          <w:szCs w:val="17"/>
          <w:color w:val="auto"/>
        </w:rPr>
        <w:t>The following table represents the activity for the allowance for credit losses (in millions):</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Balance at beginning of period</w:t>
      </w:r>
    </w:p>
    <w:p>
      <w:pPr>
        <w:spacing w:after="0" w:line="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Charge to costs and expenses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Foreign currency impact</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91"/>
        </w:trPr>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(9.2 )</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4"/>
        </w:trPr>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r>
      <w:tr>
        <w:trPr>
          <w:trHeight w:val="209"/>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8"/>
                <w:szCs w:val="18"/>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-719455</wp:posOffset>
            </wp:positionV>
            <wp:extent cx="5700395"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-445135</wp:posOffset>
            </wp:positionV>
            <wp:extent cx="5700395"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-162560</wp:posOffset>
            </wp:positionV>
            <wp:extent cx="5700395"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00" w:space="720"/>
            <w:col w:w="4920"/>
          </w:cols>
          <w:pgMar w:left="320" w:top="1201" w:right="339" w:bottom="1440" w:gutter="0" w:footer="0" w:header="0"/>
          <w:type w:val="continuous"/>
        </w:sect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Management establishes the allowance for credit losses accounts based on historical bad debt experience. In addition, management analyzes client accounts, client concentrations, client creditworthiness, current economic trends and changes in client payment terms when evaluating the adequacy of the allowance for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4—Property, Plant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and the related accumulated depreciation are as follows (in millions):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18"/>
                <w:szCs w:val="18"/>
                <w:color w:val="auto"/>
              </w:rPr>
            </w:pPr>
          </w:p>
        </w:tc>
      </w:tr>
      <w:tr>
        <w:trPr>
          <w:trHeight w:val="216"/>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(480.9 )</w:t>
            </w: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(513.6 )</w:t>
            </w:r>
          </w:p>
        </w:tc>
      </w:tr>
      <w:tr>
        <w:trPr>
          <w:trHeight w:val="210"/>
        </w:trPr>
        <w:tc>
          <w:tcPr>
            <w:tcW w:w="5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6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Borders>
              <w:top w:val="single" w:sz="8" w:color="CFF0FC"/>
            </w:tcBorders>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-453390</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-453390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59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$73.5 million, $73.8 million and $76.2 million, respectively. As of December 31, 2024 and 2023, assets held for sale were $5.9 million and $9.0 million, respectively, and are presented in prepaid assets and other current assets in our consolidated balance sheet. Unpaid property, plant and equipment additions of $3.6 million and $2.9 million are included in accounts payable and other accrued expenses as of December 31, 2024 and 2023, respectively, in our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5—Leases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total operating lease costs were $58.0 million, $66.6 million and $72.3 million during the years ended December 31, 2024, 2023 and 2022, respectively. Cash paid for amounts included in operating lease liabilities was $60.7 million, $69.3 million and $74.3 million during the years ended December 31, 2024, 2023 and 2022, respectively, and is included in operating cash flows. Total right-of-use assets obtained in exchange for operating lease liabilities was $26.9 million and $22.6 million for the years ended December 31, 2024 and 2023, respectively. Our weighted-average remaining lease term and weighted-average discount rates as of December 31, 2024 were 6.3 years and 5.3%, respectively. Our weighted-average remaining lease term and weighted-average discount rates as of December 31, 2023 were 6.5 years and 5.1%, respectively.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 liabilities as of December 31, 2024 are as follows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33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6"/>
        </w:trPr>
        <w:tc>
          <w:tcPr>
            <w:tcW w:w="58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900" w:type="dxa"/>
            <w:vAlign w:val="bottom"/>
            <w:gridSpan w:val="3"/>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3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3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3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4900" w:type="dxa"/>
            <w:vAlign w:val="bottom"/>
            <w:gridSpan w:val="3"/>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(51.0 )</w:t>
            </w:r>
          </w:p>
        </w:tc>
        <w:tc>
          <w:tcPr>
            <w:tcW w:w="560" w:type="dxa"/>
            <w:vAlign w:val="bottom"/>
          </w:tcPr>
          <w:p>
            <w:pPr>
              <w:spacing w:after="0"/>
              <w:rPr>
                <w:sz w:val="19"/>
                <w:szCs w:val="19"/>
                <w:color w:val="auto"/>
              </w:rPr>
            </w:pPr>
          </w:p>
        </w:tc>
      </w:tr>
      <w:tr>
        <w:trPr>
          <w:trHeight w:val="250"/>
        </w:trPr>
        <w:tc>
          <w:tcPr>
            <w:tcW w:w="580" w:type="dxa"/>
            <w:vAlign w:val="bottom"/>
          </w:tcPr>
          <w:p>
            <w:pPr>
              <w:spacing w:after="0"/>
              <w:rPr>
                <w:sz w:val="21"/>
                <w:szCs w:val="21"/>
                <w:color w:val="auto"/>
              </w:rPr>
            </w:pPr>
          </w:p>
        </w:tc>
        <w:tc>
          <w:tcPr>
            <w:tcW w:w="3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760" w:type="dxa"/>
            <w:vAlign w:val="bottom"/>
            <w:tcBorders>
              <w:bottom w:val="single" w:sz="8" w:color="CFF0FC"/>
            </w:tcBorders>
            <w:gridSpan w:val="2"/>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8"/>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3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95"/>
        </w:trPr>
        <w:tc>
          <w:tcPr>
            <w:tcW w:w="5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-1207770</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-1190625</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69" w:name="page70"/>
    <w:bookmarkEnd w:id="69"/>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certain lease agreements with our unconsolidated real estate joint ventures. We recognized operating lease expense of $1.3 million in each of the years ended December 31, 2024, 2023 and 2022, related to these lease agreements.</w:t>
      </w:r>
    </w:p>
    <w:p>
      <w:pPr>
        <w:spacing w:after="0" w:line="16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certain sublease agreements in place with third parties to lease portions of our office space. In addition, we serve as a lessor in other lease agreements for real estate and storage facilities. Total gross sublease and other rental income recognized for the years ended December 31, 2024, 2023 and 2022 was approximately $7.3 million, $6.3 million and $6.0 million,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 payments to be received as of December 31, 2024 are as follows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Lease Payments to be Received</w:t>
            </w:r>
          </w:p>
        </w:tc>
        <w:tc>
          <w:tcPr>
            <w:tcW w:w="9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80" w:type="dxa"/>
            <w:vAlign w:val="bottom"/>
          </w:tcPr>
          <w:p>
            <w:pPr>
              <w:spacing w:after="0"/>
              <w:rPr>
                <w:sz w:val="20"/>
                <w:szCs w:val="20"/>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r>
      <w:tr>
        <w:trPr>
          <w:trHeight w:val="249"/>
        </w:trPr>
        <w:tc>
          <w:tcPr>
            <w:tcW w:w="580" w:type="dxa"/>
            <w:vAlign w:val="bottom"/>
          </w:tcPr>
          <w:p>
            <w:pPr>
              <w:spacing w:after="0"/>
              <w:rPr>
                <w:sz w:val="21"/>
                <w:szCs w:val="21"/>
                <w:color w:val="auto"/>
              </w:rPr>
            </w:pPr>
          </w:p>
        </w:tc>
        <w:tc>
          <w:tcPr>
            <w:tcW w:w="6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9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6—Investments</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Investments are as follows (in millions):</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5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60" w:type="dxa"/>
            <w:vAlign w:val="bottom"/>
            <w:tcBorders>
              <w:bottom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8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94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124.1</w:t>
            </w:r>
          </w:p>
        </w:tc>
        <w:tc>
          <w:tcPr>
            <w:tcW w:w="8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Partnership interests in private equity funds</w:t>
            </w: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6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94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177.4</w:t>
            </w:r>
          </w:p>
        </w:tc>
        <w:tc>
          <w:tcPr>
            <w:tcW w:w="3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-1704975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-1688465</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Realized and unrealized gains and losses for our equity securities are as follows (in millions):</w:t>
      </w:r>
    </w:p>
    <w:p>
      <w:pPr>
        <w:spacing w:after="0" w:line="30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980" w:type="dxa"/>
            <w:vAlign w:val="bottom"/>
          </w:tcPr>
          <w:p>
            <w:pPr>
              <w:spacing w:after="0"/>
              <w:rPr>
                <w:sz w:val="19"/>
                <w:szCs w:val="19"/>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gains on equity securities held as of the end of the period</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FF0FC"/>
          </w:tcPr>
          <w:p>
            <w:pPr>
              <w:spacing w:after="0"/>
              <w:rPr>
                <w:sz w:val="20"/>
                <w:szCs w:val="20"/>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(losses) for equity securities sold during the period</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r>
      <w:tr>
        <w:trPr>
          <w:trHeight w:val="249"/>
        </w:trPr>
        <w:tc>
          <w:tcPr>
            <w:tcW w:w="5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gains recognized in other income, net</w:t>
            </w:r>
          </w:p>
        </w:tc>
        <w:tc>
          <w:tcPr>
            <w:tcW w:w="82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-25400</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-25400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-8255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200" w:firstLine="569"/>
        <w:spacing w:after="0" w:line="261" w:lineRule="auto"/>
        <w:rPr>
          <w:sz w:val="20"/>
          <w:szCs w:val="20"/>
          <w:color w:val="auto"/>
        </w:rPr>
      </w:pPr>
      <w:r>
        <w:rPr>
          <w:rFonts w:ascii="Times New Roman" w:cs="Times New Roman" w:eastAsia="Times New Roman" w:hAnsi="Times New Roman"/>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80"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As of December 31, 2024 and 2023, we held certain investment assets and certain liabilities that are required to be measured at fair value on a recurring basis. These investments include money market funds, marketable equity securities and seed capital investments, each of which determines fair value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 below. Fair value for deferred compensation liabilities that are credited with deemed gains or losses of the underlying hypothetical investments, primarily equity securities, have been classified as Level 1 in the tables below.</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70" w:name="page71"/>
    <w:bookmarkEnd w:id="70"/>
    <w:p>
      <w:pPr>
        <w:ind w:left="580"/>
        <w:spacing w:after="0"/>
        <w:rPr>
          <w:sz w:val="20"/>
          <w:szCs w:val="20"/>
          <w:color w:val="auto"/>
        </w:rPr>
      </w:pPr>
      <w:r>
        <w:rPr>
          <w:rFonts w:ascii="Times New Roman" w:cs="Times New Roman" w:eastAsia="Times New Roman" w:hAnsi="Times New Roman"/>
          <w:sz w:val="18"/>
          <w:szCs w:val="18"/>
          <w:color w:val="auto"/>
        </w:rPr>
        <w:t>The following tables present assets and liabilities measured at fair value on a recurring basis (in millions):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00" w:type="dxa"/>
            <w:vAlign w:val="bottom"/>
            <w:gridSpan w:val="10"/>
          </w:tcPr>
          <w:p>
            <w:pPr>
              <w:ind w:left="74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left="67"/>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 w:type="dxa"/>
            <w:vAlign w:val="bottom"/>
          </w:tcPr>
          <w:p>
            <w:pPr>
              <w:spacing w:after="0"/>
              <w:rPr>
                <w:sz w:val="12"/>
                <w:szCs w:val="12"/>
                <w:color w:val="auto"/>
              </w:rPr>
            </w:pPr>
          </w:p>
        </w:tc>
        <w:tc>
          <w:tcPr>
            <w:tcW w:w="1320" w:type="dxa"/>
            <w:vAlign w:val="bottom"/>
          </w:tcPr>
          <w:p>
            <w:pPr>
              <w:jc w:val="center"/>
              <w:ind w:left="67"/>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10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42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3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167"/>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 (2)</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 (2)</w:t>
            </w: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 (3)</w:t>
            </w:r>
          </w:p>
        </w:tc>
        <w:tc>
          <w:tcPr>
            <w:tcW w:w="4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(11.5 )</w:t>
            </w: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2,670.7</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2,670.7</w:t>
            </w:r>
          </w:p>
        </w:tc>
        <w:tc>
          <w:tcPr>
            <w:tcW w:w="3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gridSpan w:val="2"/>
            <w:shd w:val="clear" w:color="auto" w:fill="CFF0FC"/>
          </w:tcPr>
          <w:p>
            <w:pPr>
              <w:jc w:val="right"/>
              <w:ind w:right="1167"/>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42"/>
        </w:trPr>
        <w:tc>
          <w:tcPr>
            <w:tcW w:w="3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gridSpan w:val="10"/>
          </w:tcPr>
          <w:p>
            <w:pPr>
              <w:ind w:left="74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left="87"/>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 w:type="dxa"/>
            <w:vAlign w:val="bottom"/>
          </w:tcPr>
          <w:p>
            <w:pPr>
              <w:spacing w:after="0"/>
              <w:rPr>
                <w:sz w:val="12"/>
                <w:szCs w:val="12"/>
                <w:color w:val="auto"/>
              </w:rPr>
            </w:pPr>
          </w:p>
        </w:tc>
        <w:tc>
          <w:tcPr>
            <w:tcW w:w="1320" w:type="dxa"/>
            <w:vAlign w:val="bottom"/>
          </w:tcPr>
          <w:p>
            <w:pPr>
              <w:jc w:val="center"/>
              <w:ind w:left="67"/>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42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3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14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 (2)</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 (2)</w:t>
            </w: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 (3)</w:t>
            </w:r>
          </w:p>
        </w:tc>
        <w:tc>
          <w:tcPr>
            <w:tcW w:w="4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(11.7 )</w:t>
            </w: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3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3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ind w:right="1147"/>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-1525270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-1508125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-1525270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-1508125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-1525270</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-1508125</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-1525270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-1508125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-25400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-8255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596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9" w:lineRule="exact"/>
        <w:rPr>
          <w:sz w:val="20"/>
          <w:szCs w:val="20"/>
          <w:color w:val="auto"/>
        </w:rPr>
      </w:pPr>
    </w:p>
    <w:p>
      <w:pPr>
        <w:ind w:left="380" w:right="20" w:hanging="372"/>
        <w:spacing w:after="0" w:line="250"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included $184.2 million of cash and cash equivalents, $2.5 million of restricted cash and cash equivalents and $2,450.8 million of funds receivable and funds held on behalf of clients on the Consolidated Balance Sheet. As of December 31, 2023, included $131.7 million of cash and cash equivalents, $1.8 million of restricted cash and cash equivalents and $2,079.1 million of funds receivable and funds held on behalf of clients on the Consolidated Balance Sheet.</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investments on the Consolidated Balance Sheet.</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liabilities on the Consolidated Balance Sheet.</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During the years ended December 31, 2024 and 2023, we redeemed $3.6 million and $5.7 million, respectively, of our seed capital investments.</w:t>
      </w:r>
    </w:p>
    <w:p>
      <w:pPr>
        <w:spacing w:after="0" w:line="225" w:lineRule="exact"/>
        <w:rPr>
          <w:sz w:val="20"/>
          <w:szCs w:val="20"/>
          <w:color w:val="auto"/>
        </w:rPr>
      </w:pPr>
    </w:p>
    <w:p>
      <w:pPr>
        <w:ind w:right="80" w:firstLine="569"/>
        <w:spacing w:after="0" w:line="256" w:lineRule="auto"/>
        <w:rPr>
          <w:sz w:val="20"/>
          <w:szCs w:val="20"/>
          <w:color w:val="auto"/>
        </w:rPr>
      </w:pPr>
      <w:r>
        <w:rPr>
          <w:rFonts w:ascii="Times New Roman" w:cs="Times New Roman" w:eastAsia="Times New Roman" w:hAnsi="Times New Roman"/>
          <w:sz w:val="18"/>
          <w:szCs w:val="18"/>
          <w:color w:val="auto"/>
        </w:rPr>
        <w:t>In February 2020, we entered into a Series A Convertible Share Purchase Agreement with SILAC, Inc. (“SILAC”), pursuant to which we acquired 40 million shares of Series A convertible preferred stock of SILAC for a purchase price of $40 million. The investment is classified as a non-marketable equity security without a readily determinable fair value. Mr. William C. Stone, our Chairman of the Board of Directors and Chief Executive Officer, has an economic interest in SILAC and is a member of its board of directors. Accordingly, SILAC is considered a related party. In each of the years ended December 31, 2024, 2023 and 2022, we received a preferred stock dividend from SILAC of $8.0 million which is recorded in other income, net on our Consolidated Statements of Comprehensive Income.</w:t>
      </w:r>
    </w:p>
    <w:p>
      <w:pPr>
        <w:spacing w:after="0" w:line="187" w:lineRule="exact"/>
        <w:rPr>
          <w:sz w:val="20"/>
          <w:szCs w:val="20"/>
          <w:color w:val="auto"/>
        </w:rPr>
      </w:pPr>
    </w:p>
    <w:p>
      <w:pPr>
        <w:ind w:firstLine="569"/>
        <w:spacing w:after="0" w:line="259" w:lineRule="auto"/>
        <w:rPr>
          <w:sz w:val="20"/>
          <w:szCs w:val="20"/>
          <w:color w:val="auto"/>
        </w:rPr>
      </w:pPr>
      <w:r>
        <w:rPr>
          <w:rFonts w:ascii="Times New Roman" w:cs="Times New Roman" w:eastAsia="Times New Roman" w:hAnsi="Times New Roman"/>
          <w:sz w:val="18"/>
          <w:szCs w:val="18"/>
          <w:color w:val="auto"/>
        </w:rPr>
        <w:t>We have partnership interests in various private equity funds that are not included in the table above. Our investments in private equity funds were $8.6 million and $11.5 million at December 31, 2024 and 2023, respectively, of which $7.3 million and $9.2 million, respectively, were measured using net asset value as a practical expedient for fair value and $1.3 million and $2.3 million, respectively, were accounted for under the equity method of accounting. The investments in private equity funds represent underlying investments in domestic and international markets across various industry sectors.</w:t>
      </w:r>
    </w:p>
    <w:p>
      <w:pPr>
        <w:spacing w:after="0" w:line="200" w:lineRule="exact"/>
        <w:rPr>
          <w:sz w:val="20"/>
          <w:szCs w:val="20"/>
          <w:color w:val="auto"/>
        </w:rPr>
      </w:pPr>
    </w:p>
    <w:p>
      <w:pPr>
        <w:spacing w:after="0" w:line="203" w:lineRule="exact"/>
        <w:rPr>
          <w:sz w:val="20"/>
          <w:szCs w:val="20"/>
          <w:color w:val="auto"/>
        </w:rPr>
      </w:pPr>
    </w:p>
    <w:p>
      <w:pPr>
        <w:jc w:val="both"/>
        <w:ind w:right="320" w:firstLine="569"/>
        <w:spacing w:after="0" w:line="266" w:lineRule="auto"/>
        <w:rPr>
          <w:sz w:val="20"/>
          <w:szCs w:val="20"/>
          <w:color w:val="auto"/>
        </w:rPr>
      </w:pPr>
      <w:r>
        <w:rPr>
          <w:rFonts w:ascii="Times New Roman" w:cs="Times New Roman" w:eastAsia="Times New Roman" w:hAnsi="Times New Roman"/>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our investments in the entities.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ind w:right="220" w:firstLine="569"/>
        <w:spacing w:after="0" w:line="282" w:lineRule="auto"/>
        <w:rPr>
          <w:sz w:val="20"/>
          <w:szCs w:val="20"/>
          <w:color w:val="auto"/>
        </w:rPr>
      </w:pPr>
      <w:r>
        <w:rPr>
          <w:rFonts w:ascii="Times New Roman" w:cs="Times New Roman" w:eastAsia="Times New Roman" w:hAnsi="Times New Roman"/>
          <w:sz w:val="18"/>
          <w:szCs w:val="18"/>
          <w:color w:val="auto"/>
        </w:rPr>
        <w:t>We add new investment products such as mutual funds and exchange traded funds, through our subsidiary, ALPS Advisors, from time to time by providing the initial cash investments as seed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7—Unconsolidated Affiliates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Investments in unconsolidated affiliates are as follows (in millions):</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Excess carrying</w:t>
            </w: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Excess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 over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 over</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proportionate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proportionate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share of net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 of net</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Orbit Private Investments L.P.</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Financial Data Services L.P.</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Broadway Square Partners, LLP</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Pershing Road Development Company, LLC</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unconsolidated affiliates</w:t>
            </w: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-170815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right="40" w:firstLine="569"/>
        <w:spacing w:after="0" w:line="261" w:lineRule="auto"/>
        <w:rPr>
          <w:sz w:val="20"/>
          <w:szCs w:val="20"/>
          <w:color w:val="auto"/>
        </w:rPr>
      </w:pPr>
      <w:r>
        <w:rPr>
          <w:rFonts w:ascii="Times New Roman" w:cs="Times New Roman" w:eastAsia="Times New Roman" w:hAnsi="Times New Roman"/>
          <w:sz w:val="18"/>
          <w:szCs w:val="18"/>
          <w:color w:val="auto"/>
        </w:rPr>
        <w:t>Investments in unconsolidated affiliates are accounted for under the equity method of accounting. The total investment in unconsolidated affiliates, including basis differences, is included in unconsolidated affiliates on the Consolidated Balance Sheets. We record our proportionate share of the results of the unconsolidated affiliates and amortization expense related to basis differences in equity in earnings of unconsolidated affiliates, net on the Consolidated Statements of Comprehensive Income.</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Equity in earnings of unconsolidated affiliates is as follows (in millions):</w:t>
      </w:r>
    </w:p>
    <w:p>
      <w:pPr>
        <w:spacing w:after="0" w:line="8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440" w:type="dxa"/>
            <w:vAlign w:val="bottom"/>
          </w:tcPr>
          <w:p>
            <w:pPr>
              <w:spacing w:after="0"/>
              <w:rPr>
                <w:sz w:val="19"/>
                <w:szCs w:val="19"/>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Orbit Private Investments L.P.</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0"/>
                <w:szCs w:val="20"/>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r>
      <w:tr>
        <w:trPr>
          <w:trHeight w:val="24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Financial Data Services L.P.</w:t>
            </w:r>
          </w:p>
        </w:tc>
        <w:tc>
          <w:tcPr>
            <w:tcW w:w="9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21"/>
                <w:szCs w:val="21"/>
                <w:color w:val="auto"/>
              </w:rPr>
            </w:pP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Pershing Road Development Company, LLC</w:t>
            </w: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r>
      <w:tr>
        <w:trPr>
          <w:trHeight w:val="24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Broadway Square Partners, LLP</w:t>
            </w:r>
          </w:p>
        </w:tc>
        <w:tc>
          <w:tcPr>
            <w:tcW w:w="9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140" w:type="dxa"/>
            <w:vAlign w:val="bottom"/>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unconsolidated affiliates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50"/>
        </w:trPr>
        <w:tc>
          <w:tcPr>
            <w:tcW w:w="5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-24765</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596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03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40" w:firstLine="569"/>
        <w:spacing w:after="0" w:line="255" w:lineRule="auto"/>
        <w:rPr>
          <w:sz w:val="20"/>
          <w:szCs w:val="20"/>
          <w:color w:val="auto"/>
        </w:rPr>
      </w:pPr>
      <w:r>
        <w:rPr>
          <w:rFonts w:ascii="Times New Roman" w:cs="Times New Roman" w:eastAsia="Times New Roman" w:hAnsi="Times New Roman"/>
          <w:sz w:val="18"/>
          <w:szCs w:val="18"/>
          <w:color w:val="auto"/>
        </w:rPr>
        <w:t>We have a 9.8% ownership interest in Orbit Private Investments L.P. (“Orbit Private Investments”), which is a provider of shareholder and pension technology. International Financial Data Services L.P. (“IFDS L.P.”) is a 50% owned joint venture with State Street Corporation with operations in Canada, Ireland and Luxembourg. Pershing Road Development Company, LLC (“PRDC LLC”) is a 50% owned special-purpose entity formed to develop and lease office space to the U.S. government. Broadway Square Partners, LLP (“Broadway Square Partners”) is a 50% owned real estate joint venture formed to purchase, finance and engage in leasing activities with us and unrelated third parties. The difference between the amount at which each of IFDS L.P., PRDC LLC and Broadway Square Partners is carried and the amount of underlying equity in net assets, will be amortized as a component of equity in earnings of unconsolidated affiliates over approximately 15 years, 28 years and 40 years, respectively.</w:t>
      </w:r>
    </w:p>
    <w:p>
      <w:pPr>
        <w:spacing w:after="0" w:line="189" w:lineRule="exact"/>
        <w:rPr>
          <w:sz w:val="20"/>
          <w:szCs w:val="20"/>
          <w:color w:val="auto"/>
        </w:rPr>
      </w:pPr>
    </w:p>
    <w:p>
      <w:pPr>
        <w:ind w:right="52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summarize related party transactions and balances outstanding with our related parties, which is primarily comprised of transactions with our unconsolidated affiliates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revenues from related parties</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Amounts paid to related parties (1)</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 received from related parties, net</w:t>
            </w: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648"/>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95"/>
        </w:trPr>
        <w:tc>
          <w:tcPr>
            <w:tcW w:w="58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tbl>
      <w:tblPr>
        <w:tblLayout w:type="fixed"/>
        <w:tblInd w:w="58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13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advances/loans to related parties</w:t>
            </w:r>
          </w:p>
        </w:tc>
        <w:tc>
          <w:tcPr>
            <w:tcW w:w="1380" w:type="dxa"/>
            <w:vAlign w:val="bottom"/>
            <w:shd w:val="clear" w:color="auto" w:fill="CFF0FC"/>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from related parties</w:t>
            </w:r>
          </w:p>
        </w:tc>
        <w:tc>
          <w:tcPr>
            <w:tcW w:w="1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r>
      <w:tr>
        <w:trPr>
          <w:trHeight w:val="24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amounts receivable from related parties</w:t>
            </w:r>
          </w:p>
        </w:tc>
        <w:tc>
          <w:tcPr>
            <w:tcW w:w="1380" w:type="dxa"/>
            <w:vAlign w:val="bottom"/>
            <w:shd w:val="clear" w:color="auto" w:fill="CFF0FC"/>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21"/>
                <w:szCs w:val="21"/>
                <w:color w:val="auto"/>
              </w:rPr>
            </w:pPr>
          </w:p>
        </w:tc>
      </w:tr>
      <w:tr>
        <w:trPr>
          <w:trHeight w:val="224"/>
        </w:trPr>
        <w:tc>
          <w:tcPr>
            <w:tcW w:w="5780" w:type="dxa"/>
            <w:vAlign w:val="bottom"/>
            <w:tcBorders>
              <w:top w:val="single" w:sz="8" w:color="CFF0F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payable to related parties</w:t>
            </w:r>
          </w:p>
        </w:tc>
        <w:tc>
          <w:tcPr>
            <w:tcW w:w="1380" w:type="dxa"/>
            <w:vAlign w:val="bottom"/>
            <w:shd w:val="clear" w:color="auto" w:fill="CFF0FC"/>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-334010</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-316230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Excludes amounts paid to our unconsolidated joint ventures related to loans, advancements and other capital investments.</w:t>
      </w:r>
    </w:p>
    <w:p>
      <w:pPr>
        <w:spacing w:after="0" w:line="225" w:lineRule="exact"/>
        <w:rPr>
          <w:sz w:val="20"/>
          <w:szCs w:val="20"/>
          <w:color w:val="auto"/>
        </w:rPr>
      </w:pPr>
    </w:p>
    <w:p>
      <w:pPr>
        <w:jc w:val="both"/>
        <w:ind w:right="420" w:firstLine="569"/>
        <w:spacing w:after="0" w:line="266" w:lineRule="auto"/>
        <w:rPr>
          <w:sz w:val="20"/>
          <w:szCs w:val="20"/>
          <w:color w:val="auto"/>
        </w:rPr>
      </w:pPr>
      <w:r>
        <w:rPr>
          <w:rFonts w:ascii="Times New Roman" w:cs="Times New Roman" w:eastAsia="Times New Roman" w:hAnsi="Times New Roman"/>
          <w:sz w:val="18"/>
          <w:szCs w:val="18"/>
          <w:color w:val="auto"/>
        </w:rPr>
        <w:t>Operating revenues from related parties were primarily generated from services provided for the use of our proprietary software and software development services. Payments to our related parties include transfer agency subcontracting services performed by IFDS L.P. and payments to other unconsolidated real estate joint ventures for rent and other facility costs.</w:t>
      </w:r>
    </w:p>
    <w:p>
      <w:pPr>
        <w:spacing w:after="0" w:line="176"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we received a distribution of $26.9 million from our unconsolidated affiliate, Orbit Private Investments L.P. which reduced our investment in the affiliate. We recorded the distribution as a $2.4 million operating cash inflow and a $24.5 million investing cash inflow in our consolidated statements of cash flows due to the nature of the distribution. For the years ended December 31, 2024 and 2023, distributions received includes $10.5 million and $22.5 million, respectively, return on investment related to our investments in IFDS L.P. and the Kansas City Downtown Hotel Group, L.L.C. During the year ended December 31, 2022, we received a distribution of $64.5 million from our unconsolidated affiliate, Pershing Road Development Company, LLC (“PRDC”), which reduced our investment in the affiliate.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Battea-Class Action Services, LLC</w:t>
      </w:r>
    </w:p>
    <w:p>
      <w:pPr>
        <w:spacing w:after="0" w:line="11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On September 27, 2024, we purchased all of the outstanding stock of Battea-Class Action Services, LLC (“Battea”) for approximately $671 million in cash, plus the costs of effecting the transaction. We financed the acquisition in part by entering into an Incremental Joinder to our existing amended and restated credit agreement, dated as of April 16, 2018 (as amended, restated, amended and restated, supplemented or otherwise modified from time to time, the “Credit Agreement”). Battea is a market-leading provider of securities class action claims and settlement recovery services.</w:t>
      </w:r>
    </w:p>
    <w:p>
      <w:pPr>
        <w:spacing w:after="0" w:line="72"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The net assets and results of operations of Battea have been included in our Consolidated Financial Statements from September 27, 2024. The fair value of the acquired receivables represents the contractual value net of the allowance for potentially uncollectible accounts. The preliminary fair value of the intangible assets, consisting of customer relationships, completed technologies and trade names, was determined using the income approach.</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Specifically, the excess earnings method was utilized for customer relationships and the relief-from-royalty method was utilized for completed technology. The significant assumption used in the determination of fair value for customer relationships and completed technologies was projected future revenues. The intangible assets will be amortized each year based on the ratio that the projected cash flows for the intangible assets bear to the total of current and expected future cash flows for the intangible assets. The customer relationships, completed technologies and trade names are expected to be amortized over approximately thirteen, ten and thirteen years, respectively, in each case the estimated life of the assets. The remainder of the purchase price was allocated to goodwill, a portion of which is tax deductible.</w:t>
      </w:r>
    </w:p>
    <w:p>
      <w:pPr>
        <w:spacing w:after="0" w:line="8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Consolidated Statements of Comprehensive Income for the year ended December 31, 2024 includes $21.1 million in revenues from Battea’s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Iress Managed Funds Administration Business</w:t>
      </w:r>
    </w:p>
    <w:p>
      <w:pPr>
        <w:spacing w:after="0" w:line="11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On October 1, 2023, we purchased the managed funds administration business from Iress Limited (“Iress Managed Funds Administration Business”) for approximately $32.5 million in cash. The Iress Managed Funds Administration Business provides software and services for trading and market data, financial advice, investment management, mortgages, superannuation, life and pensions and data intelligence.</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net assets and results of operations of the Iress Managed Funds Administration Business have been included in our Consolidated Financial Statements from October 1, 2023. The fair value of the intangible assets, consisting of customer relationships and completed technologies, was determined using the income approach. Specifically, the excess earnings method was utilized for</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73" w:name="page74"/>
    <w:bookmarkEnd w:id="73"/>
    <w:p>
      <w:pPr>
        <w:ind w:right="180"/>
        <w:spacing w:after="0" w:line="266" w:lineRule="auto"/>
        <w:rPr>
          <w:sz w:val="20"/>
          <w:szCs w:val="20"/>
          <w:color w:val="auto"/>
        </w:rPr>
      </w:pPr>
      <w:r>
        <w:rPr>
          <w:rFonts w:ascii="Times New Roman" w:cs="Times New Roman" w:eastAsia="Times New Roman" w:hAnsi="Times New Roman"/>
          <w:sz w:val="18"/>
          <w:szCs w:val="18"/>
          <w:color w:val="auto"/>
        </w:rPr>
        <w:t>customer relationships and the relief-from-royalty method was utilized for completed technology. Customer relationships and completed technologies are expected to be amortized over approximately twenty and nine years, respectively, in each case the estimated life of the assets. The remainder of the purchase price was allocated to goodwill and is not tax deductible.</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Consolidated Statements of Comprehensive Income for the year ended December 31, 2023 includes $3.6 million in revenues from the Iress Managed Funds Administration Business’s operations.</w:t>
      </w:r>
    </w:p>
    <w:p>
      <w:pPr>
        <w:spacing w:after="0" w:line="16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summarizes the allocation of the purchase price for the 2024 acquisition of Battea and the 2023 acquisition of the Iress Managed Funds Administration Business (in millions):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Iress Managed Funds</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Battea</w:t>
            </w:r>
          </w:p>
        </w:tc>
        <w:tc>
          <w:tcPr>
            <w:tcW w:w="160" w:type="dxa"/>
            <w:vAlign w:val="bottom"/>
          </w:tcPr>
          <w:p>
            <w:pPr>
              <w:spacing w:after="0"/>
              <w:rPr>
                <w:sz w:val="12"/>
                <w:szCs w:val="12"/>
                <w:color w:val="auto"/>
              </w:rPr>
            </w:pPr>
          </w:p>
        </w:tc>
        <w:tc>
          <w:tcPr>
            <w:tcW w:w="13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Administration</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Funds receivable and funds held on behalf of clients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technologies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 and other liabilities</w:t>
            </w:r>
          </w:p>
        </w:tc>
        <w:tc>
          <w:tcPr>
            <w:tcW w:w="2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(68.8 )</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(33.9 )</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Client funds obligations</w:t>
            </w:r>
          </w:p>
        </w:tc>
        <w:tc>
          <w:tcPr>
            <w:tcW w:w="2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(284.8 )</w:t>
            </w: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710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Consideration paid, net of cash acquired</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-25400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goodwill associated with each of the transactions above is a result of expected synergies from combining the operations of businesses acquired with us and intangible assets that do not qualify for separate recognition, such as an assembled workforce.</w:t>
      </w:r>
    </w:p>
    <w:p>
      <w:pPr>
        <w:spacing w:after="0" w:line="162"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consolidated results of operations are provided for illustrative purposes only and assume that the acquisition of the Battea occurred on January 1, 2023 and the acquisition of Iress Managed Funds Administration Business occurred on January 1, 2022,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acquisitions had actually occurred on those dates, nor of the results that may be obtained in the future.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9"/>
        </w:trPr>
        <w:tc>
          <w:tcPr>
            <w:tcW w:w="11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5,922.4</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5,597.7</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846"/>
        </w:trPr>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95"/>
        </w:trPr>
        <w:tc>
          <w:tcPr>
            <w:tcW w:w="11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Note 9—Goodwill and Intangible Assets</w:t>
      </w:r>
    </w:p>
    <w:p>
      <w:pPr>
        <w:sectPr>
          <w:pgSz w:w="11900" w:h="16838" w:orient="portrait"/>
          <w:cols w:equalWidth="0" w:num="1">
            <w:col w:w="11200"/>
          </w:cols>
          <w:pgMar w:left="320" w:top="1197" w:right="379" w:bottom="1440" w:gutter="0" w:footer="0" w:header="0"/>
        </w:sectPr>
      </w:pP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changes in goodwill (in millions):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1223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Acquisitions completed in the current year</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Adjustments to prior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1223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Effect of foreign currency translation</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1223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Acquisitions completed in the current year</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Adjustments to prior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1223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Effect of foreign currency translation</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summary of the components of intangible assets is as follows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43" w:hanging="1143"/>
        <w:spacing w:after="0"/>
        <w:tabs>
          <w:tab w:leader="none" w:pos="11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8,863.0</w:t>
      </w:r>
    </w:p>
    <w:p>
      <w:pPr>
        <w:spacing w:after="0" w:line="36" w:lineRule="exact"/>
        <w:rPr>
          <w:rFonts w:ascii="Times New Roman" w:cs="Times New Roman" w:eastAsia="Times New Roman" w:hAnsi="Times New Roman"/>
          <w:sz w:val="18"/>
          <w:szCs w:val="18"/>
          <w:color w:val="auto"/>
        </w:rPr>
      </w:pPr>
    </w:p>
    <w:p>
      <w:pPr>
        <w:ind w:left="13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w:t>
      </w:r>
    </w:p>
    <w:p>
      <w:pPr>
        <w:spacing w:after="0" w:line="36" w:lineRule="exact"/>
        <w:rPr>
          <w:rFonts w:ascii="Times New Roman" w:cs="Times New Roman" w:eastAsia="Times New Roman" w:hAnsi="Times New Roman"/>
          <w:sz w:val="18"/>
          <w:szCs w:val="18"/>
          <w:color w:val="auto"/>
        </w:rPr>
      </w:pPr>
    </w:p>
    <w:p>
      <w:pPr>
        <w:ind w:left="14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(0.8 )</w:t>
      </w:r>
    </w:p>
    <w:p>
      <w:pPr>
        <w:spacing w:after="0" w:line="38" w:lineRule="exact"/>
        <w:rPr>
          <w:rFonts w:ascii="Times New Roman" w:cs="Times New Roman" w:eastAsia="Times New Roman" w:hAnsi="Times New Roman"/>
          <w:sz w:val="18"/>
          <w:szCs w:val="18"/>
          <w:color w:val="auto"/>
        </w:rPr>
      </w:pPr>
    </w:p>
    <w:p>
      <w:pPr>
        <w:ind w:left="13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86.9</w:t>
      </w:r>
    </w:p>
    <w:p>
      <w:pPr>
        <w:spacing w:after="0" w:line="45" w:lineRule="exact"/>
        <w:rPr>
          <w:sz w:val="20"/>
          <w:szCs w:val="20"/>
          <w:color w:val="auto"/>
        </w:rPr>
      </w:pPr>
    </w:p>
    <w:p>
      <w:pPr>
        <w:ind w:left="1143" w:hanging="1143"/>
        <w:spacing w:after="0"/>
        <w:tabs>
          <w:tab w:leader="none" w:pos="11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8,969.5</w:t>
      </w:r>
    </w:p>
    <w:p>
      <w:pPr>
        <w:spacing w:after="0" w:line="36" w:lineRule="exact"/>
        <w:rPr>
          <w:rFonts w:ascii="Times New Roman" w:cs="Times New Roman" w:eastAsia="Times New Roman" w:hAnsi="Times New Roman"/>
          <w:sz w:val="18"/>
          <w:szCs w:val="18"/>
          <w:color w:val="auto"/>
        </w:rPr>
      </w:pPr>
    </w:p>
    <w:p>
      <w:pPr>
        <w:ind w:left="12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325.7</w:t>
      </w:r>
    </w:p>
    <w:p>
      <w:pPr>
        <w:spacing w:after="0" w:line="36" w:lineRule="exact"/>
        <w:rPr>
          <w:rFonts w:ascii="Times New Roman" w:cs="Times New Roman" w:eastAsia="Times New Roman" w:hAnsi="Times New Roman"/>
          <w:sz w:val="18"/>
          <w:szCs w:val="18"/>
          <w:color w:val="auto"/>
        </w:rPr>
      </w:pPr>
    </w:p>
    <w:p>
      <w:pPr>
        <w:ind w:left="14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w:t>
      </w:r>
    </w:p>
    <w:p>
      <w:pPr>
        <w:spacing w:after="0" w:line="27"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(77.9 )</w:t>
      </w:r>
    </w:p>
    <w:p>
      <w:pPr>
        <w:spacing w:after="0" w:line="23" w:lineRule="exact"/>
        <w:rPr>
          <w:sz w:val="20"/>
          <w:szCs w:val="20"/>
          <w:color w:val="auto"/>
        </w:rPr>
      </w:pPr>
    </w:p>
    <w:p>
      <w:pPr>
        <w:ind w:left="1143" w:hanging="1143"/>
        <w:spacing w:after="0"/>
        <w:tabs>
          <w:tab w:leader="none" w:pos="11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0883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31750</wp:posOffset>
            </wp:positionV>
            <wp:extent cx="10883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2">
            <w:col w:w="8157" w:space="720"/>
            <w:col w:w="2323"/>
          </w:cols>
          <w:pgMar w:left="320" w:top="1197" w:right="379" w:bottom="1440" w:gutter="0" w:footer="0" w:header="0"/>
          <w:type w:val="continuous"/>
        </w:sectPr>
      </w:pPr>
    </w:p>
    <w:p>
      <w:pPr>
        <w:spacing w:after="0" w:line="30" w:lineRule="exact"/>
        <w:rPr>
          <w:sz w:val="20"/>
          <w:szCs w:val="20"/>
          <w:color w:val="auto"/>
        </w:rPr>
      </w:pPr>
    </w:p>
    <w:tbl>
      <w:tblPr>
        <w:tblLayout w:type="fixed"/>
        <w:tblInd w:w="42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7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34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(2,796.1 )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2,484.1</w:t>
            </w:r>
          </w:p>
        </w:tc>
        <w:tc>
          <w:tcPr>
            <w:tcW w:w="6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(2,449.8 )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(1,210.1 )</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(1,108.9 )</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(174.6 )</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(154.0 )</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(4,180.8 )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3,131.2</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(3,712.7 )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-170815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-170815</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-170815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Total estimated amortization expense, related to intangible assets, for each of the next five years and thereafter, as of December 31, 2024, is expected to approximate (in millions):</w:t>
      </w:r>
    </w:p>
    <w:p>
      <w:pPr>
        <w:spacing w:after="0" w:line="154"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0"/>
        </w:trPr>
        <w:tc>
          <w:tcPr>
            <w:tcW w:w="1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80" w:type="dxa"/>
            <w:vAlign w:val="bottom"/>
            <w:shd w:val="clear" w:color="auto" w:fill="CFF0FC"/>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80" w:type="dxa"/>
            <w:vAlign w:val="bottom"/>
          </w:tcPr>
          <w:p>
            <w:pPr>
              <w:spacing w:after="0"/>
              <w:rPr>
                <w:sz w:val="18"/>
                <w:szCs w:val="18"/>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80" w:type="dxa"/>
            <w:vAlign w:val="bottom"/>
            <w:shd w:val="clear" w:color="auto" w:fill="CFF0FC"/>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80" w:type="dxa"/>
            <w:vAlign w:val="bottom"/>
          </w:tcPr>
          <w:p>
            <w:pPr>
              <w:spacing w:after="0"/>
              <w:rPr>
                <w:sz w:val="18"/>
                <w:szCs w:val="18"/>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80" w:type="dxa"/>
            <w:vAlign w:val="bottom"/>
            <w:shd w:val="clear" w:color="auto" w:fill="CFF0FC"/>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80" w:type="dxa"/>
            <w:vAlign w:val="bottom"/>
          </w:tcPr>
          <w:p>
            <w:pPr>
              <w:spacing w:after="0"/>
              <w:rPr>
                <w:sz w:val="18"/>
                <w:szCs w:val="18"/>
                <w:color w:val="auto"/>
              </w:rPr>
            </w:pPr>
          </w:p>
        </w:tc>
      </w:tr>
      <w:tr>
        <w:trPr>
          <w:trHeight w:val="250"/>
        </w:trPr>
        <w:tc>
          <w:tcPr>
            <w:tcW w:w="5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customer relationships, completed technology and other amortizable intangible assets was $482.2 million, $505.3 million and $516.4 million for the years ended December 31, 2024, 2023 and 2022, respectively.</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capitalized software costs of $390.4 million and $325.8 million are included in the December 31, 2024 and 2023 Consolidated Balance Sheets, respectively, under “Intangible and other assets”. Accumulated amortization related to capitalized software costs totaled $422.8 million and $307.6 million as of December 31, 2024 and 2023, respectively.</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capitalized software development costs was $124.4 million, $91.3 million and $78.9 million for each of the years ended December 31, 2024, 2023, and 2022,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and 2023, debt consisted of the following (in millions):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91"/>
        </w:trPr>
        <w:tc>
          <w:tcPr>
            <w:tcW w:w="47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Senior secured credit facilities, weighted-average interest rate</w:t>
            </w: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6.26% and 7.35%, respectively</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4,295.0</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4,755.1</w:t>
            </w:r>
          </w:p>
        </w:tc>
        <w:tc>
          <w:tcPr>
            <w:tcW w:w="100" w:type="dxa"/>
            <w:vAlign w:val="bottom"/>
            <w:shd w:val="clear" w:color="auto" w:fill="CFF0FC"/>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5.5% senior notes due 2027</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6.5% senior notes due 2032</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original issue discount and debt issuance costs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(35.4 )</w:t>
            </w:r>
          </w:p>
        </w:tc>
        <w:tc>
          <w:tcPr>
            <w:tcW w:w="3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(35.1 )</w:t>
            </w:r>
          </w:p>
        </w:tc>
      </w:tr>
      <w:tr>
        <w:trPr>
          <w:trHeight w:val="209"/>
        </w:trPr>
        <w:tc>
          <w:tcPr>
            <w:tcW w:w="47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7,009.6</w:t>
            </w: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6,720.0</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8"/>
                <w:szCs w:val="18"/>
                <w:color w:val="auto"/>
              </w:rPr>
            </w:pPr>
          </w:p>
        </w:tc>
      </w:tr>
      <w:tr>
        <w:trPr>
          <w:trHeight w:val="250"/>
        </w:trPr>
        <w:tc>
          <w:tcPr>
            <w:tcW w:w="4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6,989.6</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summary of the key terms of our Senior Secured Credit Facilities and Senior Notes:</w:t>
      </w:r>
    </w:p>
    <w:p>
      <w:pPr>
        <w:spacing w:after="0" w:line="20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300" w:type="dxa"/>
            <w:vAlign w:val="bottom"/>
          </w:tcPr>
          <w:p>
            <w:pPr>
              <w:spacing w:after="0"/>
              <w:rPr>
                <w:sz w:val="13"/>
                <w:szCs w:val="13"/>
                <w:color w:val="auto"/>
              </w:rPr>
            </w:pP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Quarterly</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at December 31, 2024</w:t>
            </w:r>
          </w:p>
        </w:tc>
        <w:tc>
          <w:tcPr>
            <w:tcW w:w="3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Required</w:t>
            </w:r>
          </w:p>
        </w:tc>
        <w:tc>
          <w:tcPr>
            <w:tcW w:w="0" w:type="dxa"/>
            <w:vAlign w:val="bottom"/>
          </w:tcPr>
          <w:p>
            <w:pPr>
              <w:spacing w:after="0"/>
              <w:rPr>
                <w:sz w:val="1"/>
                <w:szCs w:val="1"/>
                <w:color w:val="auto"/>
              </w:rPr>
            </w:pPr>
          </w:p>
        </w:tc>
      </w:tr>
      <w:tr>
        <w:trPr>
          <w:trHeight w:val="191"/>
        </w:trPr>
        <w:tc>
          <w:tcPr>
            <w:tcW w:w="3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B-8 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9, 2031</w:t>
            </w:r>
          </w:p>
        </w:tc>
        <w:tc>
          <w:tcPr>
            <w:tcW w:w="2080" w:type="dxa"/>
            <w:vAlign w:val="bottom"/>
            <w:gridSpan w:val="2"/>
          </w:tcPr>
          <w:p>
            <w:pPr>
              <w:jc w:val="right"/>
              <w:ind w:right="757"/>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A-9 Loans</w:t>
            </w:r>
          </w:p>
        </w:tc>
        <w:tc>
          <w:tcPr>
            <w:tcW w:w="22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30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27, 2029 (2)</w:t>
            </w:r>
          </w:p>
        </w:tc>
        <w:tc>
          <w:tcPr>
            <w:tcW w:w="2080" w:type="dxa"/>
            <w:vAlign w:val="bottom"/>
            <w:gridSpan w:val="2"/>
            <w:shd w:val="clear" w:color="auto" w:fill="CFF0FC"/>
          </w:tcPr>
          <w:p>
            <w:pPr>
              <w:jc w:val="right"/>
              <w:ind w:right="457"/>
              <w:spacing w:after="0"/>
              <w:rPr>
                <w:sz w:val="20"/>
                <w:szCs w:val="20"/>
                <w:color w:val="auto"/>
              </w:rPr>
            </w:pPr>
            <w:r>
              <w:rPr>
                <w:rFonts w:ascii="Times New Roman" w:cs="Times New Roman" w:eastAsia="Times New Roman" w:hAnsi="Times New Roman"/>
                <w:sz w:val="18"/>
                <w:szCs w:val="18"/>
                <w:color w:val="auto"/>
              </w:rPr>
              <w:t>0.625% (3)</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2027</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5.5% Senior Notes</w:t>
            </w:r>
          </w:p>
        </w:tc>
        <w:tc>
          <w:tcPr>
            <w:tcW w:w="22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30, 2027</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6.5% Senior Notes</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1, 2032</w:t>
            </w:r>
          </w:p>
        </w:tc>
        <w:tc>
          <w:tcPr>
            <w:tcW w:w="2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20" w:right="10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the September 2024 Incremental Joinder, scheduled quarterly payments of 0.25% are required. We have made prepayments on our Term B-8 Loans and do not have any principal quarterly payments due until March 2030.</w:t>
      </w:r>
    </w:p>
    <w:p>
      <w:pPr>
        <w:spacing w:after="0" w:line="53" w:lineRule="exact"/>
        <w:rPr>
          <w:rFonts w:ascii="Times New Roman" w:cs="Times New Roman" w:eastAsia="Times New Roman" w:hAnsi="Times New Roman"/>
          <w:sz w:val="18"/>
          <w:szCs w:val="18"/>
          <w:color w:val="auto"/>
        </w:rPr>
      </w:pPr>
    </w:p>
    <w:p>
      <w:pPr>
        <w:ind w:left="1020" w:right="40" w:hanging="503"/>
        <w:spacing w:after="0" w:line="225"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A-9 Loans will mature on the earlier to occur of (1) September 27, 2029 or (2) 91 days prior to the maturity of (x) the 5.5% Senior Notes if more than $150.0 million aggregate principal amount remains outstanding on the 91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day prior to such maturity or (y) the Revolving Credit Facility if more than $150.0 million aggregate principal amount of commitments remain outstanding on the 91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day prior to such maturity, whichever of (x) or (y) comes first.</w:t>
      </w:r>
    </w:p>
    <w:p>
      <w:pPr>
        <w:spacing w:after="0" w:line="9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quarterly payment required for the first eight fiscal quarters commencing with the fiscal quarter ending December 31, 2024. The scheduled quarterly payment will increase to 1.250% for each quarter thereafter until the maturity date of the Term A-9 Loans.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 and Senior Notes</w:t>
      </w:r>
    </w:p>
    <w:p>
      <w:pPr>
        <w:spacing w:after="0" w:line="11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On April 16, 2018, in connection with our acquisition of DST, we entered into an amended and restated credit agreement with SS&amp;C Technologies, Inc. (“SS&amp;C”), SS&amp;C European Holdings SARL, an indirect wholly-owned subsidiary of SS&amp;C (“SS&amp;C SARL”) and SS&amp;C Technologies Holdings Europe SARL, an indirect wholly-owned subsidiary of SS&amp;C (“SS&amp;C Tech SARL”) as the borrowers (“Credit Agreement”), which included Term B-3 and Term B-4 Loans. Also in 2018, we entered into amendments to the Credit Agreement in connection with our acquisitions of Eze and Intralinks, the Term B-5 Loan. On March 22, 2022, in connection with our acquisition of Blue Prism, we entered into an Incremental Joinder to the Credit Agreement with certain of our subsidiaries. Pursuant to the Incremental Joinder, a new $650.0 million senior secured incremental term loan B facility (“Term B-6 Loan”) and a new $880.0 million senior secured incremental term loan B facility (“Term B-7 Loan” and together with the Term B-6 Loan, the “Incremental Term Loans”) was made available to us, the proceeds of which were used to finance substantially all of the consideration for the acquisition of Blue Prism.</w:t>
      </w:r>
    </w:p>
    <w:p>
      <w:pPr>
        <w:spacing w:after="0" w:line="84" w:lineRule="exact"/>
        <w:rPr>
          <w:sz w:val="20"/>
          <w:szCs w:val="20"/>
          <w:color w:val="auto"/>
        </w:rPr>
      </w:pPr>
    </w:p>
    <w:p>
      <w:pPr>
        <w:jc w:val="both"/>
        <w:ind w:right="380" w:firstLine="584"/>
        <w:spacing w:after="0" w:line="282" w:lineRule="auto"/>
        <w:rPr>
          <w:sz w:val="20"/>
          <w:szCs w:val="20"/>
          <w:color w:val="auto"/>
        </w:rPr>
      </w:pPr>
      <w:r>
        <w:rPr>
          <w:rFonts w:ascii="Times New Roman" w:cs="Times New Roman" w:eastAsia="Times New Roman" w:hAnsi="Times New Roman"/>
          <w:sz w:val="18"/>
          <w:szCs w:val="18"/>
          <w:color w:val="auto"/>
        </w:rPr>
        <w:t>On March 28, 2019, we issued $2.0 billion aggregate principal amount of 5.5% Senior Notes due 2027 (“5.5% Senior Notes”), the proceeds of which were used to repay a portion of the outstanding Term B-3 Loan under our Credit Agreement.</w:t>
      </w:r>
    </w:p>
    <w:p>
      <w:pPr>
        <w:spacing w:after="0" w:line="162" w:lineRule="exact"/>
        <w:rPr>
          <w:sz w:val="20"/>
          <w:szCs w:val="20"/>
          <w:color w:val="auto"/>
        </w:rPr>
      </w:pPr>
    </w:p>
    <w:p>
      <w:pPr>
        <w:jc w:val="both"/>
        <w:ind w:right="360" w:firstLine="578"/>
        <w:spacing w:after="0" w:line="266" w:lineRule="auto"/>
        <w:rPr>
          <w:sz w:val="20"/>
          <w:szCs w:val="20"/>
          <w:color w:val="auto"/>
        </w:rPr>
      </w:pPr>
      <w:r>
        <w:rPr>
          <w:rFonts w:ascii="Times New Roman" w:cs="Times New Roman" w:eastAsia="Times New Roman" w:hAnsi="Times New Roman"/>
          <w:sz w:val="18"/>
          <w:szCs w:val="18"/>
          <w:color w:val="auto"/>
        </w:rPr>
        <w:t>The Credit Agreement had a revolving credit facility with a five-year term available for borrowings by SS&amp;C with $250.0 million in available commitments (“Revolving Credit Facility”). The Revolving Credit Facility also contained a $25 million letter of credit sub-facility. On December 28, 2022, we entered into an amendment (the “Revolving Facility Amendment”) to the Credit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6" w:name="page77"/>
    <w:bookmarkEnd w:id="76"/>
    <w:p>
      <w:pPr>
        <w:ind w:right="40"/>
        <w:spacing w:after="0" w:line="258" w:lineRule="auto"/>
        <w:rPr>
          <w:sz w:val="20"/>
          <w:szCs w:val="20"/>
          <w:color w:val="auto"/>
        </w:rPr>
      </w:pPr>
      <w:r>
        <w:rPr>
          <w:rFonts w:ascii="Times New Roman" w:cs="Times New Roman" w:eastAsia="Times New Roman" w:hAnsi="Times New Roman"/>
          <w:sz w:val="18"/>
          <w:szCs w:val="18"/>
          <w:color w:val="auto"/>
        </w:rPr>
        <w:t>Agreement with certain of our subsidiaries. Pursuant to the Revolving Facility Amendment, the Revolving Credit Facility was amended to: (i) extend the maturity date to December 28, 2027, (ii) amend the interest rate provisions to replace LIBOR with Term SOFR as the interest rate benchmark, (iii) increase the aggregate commitments from $250.0 million to $600.0 million, (iv) increase the letter of credit sub-facility from $25.0 million to $75.0 million and (v) make certain other revisions fully set forth in the Revolving Facility Amendment. As of December 31, 2024, there was $3.7 million utilized of the letter of credit sub-facility and $596.3 million available of the Revolving Facility Amendment.</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May 9, 2024, we entered into the Incremental Joinder &amp; First Amendment to Credit Agreement (the “Amendment”) which amended our Credit Agreement. Pursuant to the Amendment, we borrowed $3,935.0 million in aggregate principal amount of incremental term B-8 loans (the “Term B-8 Loans”). The Term B-8 Loans bear interest at, at our option, the Base Rate (as defined in the Amendment), plus 1.00% per annum, or the Term SOFR Rate (as defined in the Amendment), plus 2.00% per annum.</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Also on May 9, 2024, we issued $750.0 million aggregate principal amount of 6.5% Senior Notes due 2032 (the “6.5% Senior Notes”). The 6.5% Senior Notes are senior unsecured obligations and rank equal in right of payment with all of our existing and future senior indebtedness. The 6.5% Senior Notes are fully and unconditionally guaranteed, jointly and severally, by SS&amp;C Holdings and all of its existing domestic restricted subsidiaries (other than SS&amp;C Technologies) that guarantee our existing senior secured credit facilities and future domestic restricted subsidiaries that guarantee our existing senior secured credit facilities and certain other indebtedness. Interest on the 6.5% Senior Notes is payable semi-annually in arrears on June 1 and December 1 of each year, beginning on December 1, 2024.</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net proceeds of the Term B-8 Loans and from the sale of the 6.5% Senior Notes were used to repay all amounts owed under the term B-3 loans, the term B-4 loans, the term B-5 loans, the term B-6 loans and the term B-7 loans (together, the “Existing Term Loans”) under the Credit Agreement, as well as to pay related fees and expenses.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September 27, 2024, in connection with our acquisition of Battea, we entered into an Incremental Joinder to our Credit Agreement (the “September 2024 Incremental Joinder”). Pursuant to the September 2024 Incremental Joinder, we borrowed $800.0 million in aggregate principal amount of incremental term A-9 loans (“Term A-9 Loans”), the net proceeds of which were used to finance in part the acquisition of Battea, the payment of fees and expenses related thereto and for working capital and general corporate purposes. The Term A-9 Loans bear interest at, at our option, the Base Rate (as defined in the Incremental Joinder), plus 0.50% per annum, or the Term SOFR Rate (as defined in the Incremental Joinder), plus 1.50% per annum, in each case with two leverage-based adjustments that increase the interest rate margin by 0.25% per annum if our consolidated net secured leverage ratio is greater than 3.50x and 4.25x, respectively, and one leverage-based adjustment that reduces the interest rate margin by 0.125% per annum if our consolidated net secured leverage ratio is less than or equal to 2.50x.</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Terms</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obligations under the Term B-8 Loans and Term A-9 Loans are guaranteed by our existing and future wholly-owned domestic restricted subsidiaries (subject to customary exceptions and limitations). The obligations of the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w:t>
      </w:r>
    </w:p>
    <w:p>
      <w:pPr>
        <w:spacing w:after="0" w:line="156"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maximum consolidated net secured leverage ratio. The amended senior secured credit facility also contains a financial maintenance covenant for the benefit of the Term A-9 Loans that will require us to maintain a separate maximum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December 31, 2024, we were in compliance with all financial and non-financial covenants.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5.5% Senior Notes are guaranteed, jointly and severally, by SS&amp;C Holdings and all of its existing and future domestic restricted subsidiaries that guarantee our existing senior secured credit facilities or certain other indebtedness. The 5.5% Senior Notes are unsecured senior obligations that are equal in right of payment to all of our existing and future senior unsecured indebtedness. Interest on the 5.5% Senior Notes is payable on March 30 and September 30 of each year.</w:t>
      </w:r>
    </w:p>
    <w:p>
      <w:pPr>
        <w:spacing w:after="0" w:line="153" w:lineRule="exact"/>
        <w:rPr>
          <w:sz w:val="20"/>
          <w:szCs w:val="20"/>
          <w:color w:val="auto"/>
        </w:rPr>
      </w:pPr>
    </w:p>
    <w:p>
      <w:pPr>
        <w:ind w:right="400" w:firstLine="584"/>
        <w:spacing w:after="0" w:line="282" w:lineRule="auto"/>
        <w:rPr>
          <w:sz w:val="20"/>
          <w:szCs w:val="20"/>
          <w:color w:val="auto"/>
        </w:rPr>
      </w:pPr>
      <w:r>
        <w:rPr>
          <w:rFonts w:ascii="Times New Roman" w:cs="Times New Roman" w:eastAsia="Times New Roman" w:hAnsi="Times New Roman"/>
          <w:sz w:val="18"/>
          <w:szCs w:val="18"/>
          <w:color w:val="auto"/>
        </w:rPr>
        <w:t>At any time and from time to time, we may, at our option, redeem some or all of the 5.5% Senior Notes, in whole or in part, at the redemption prices set forth in the following table, expressed as a percentage of the principal amount, plus accrued and unpaid interest to the redemption date:</w:t>
      </w:r>
    </w:p>
    <w:p>
      <w:pPr>
        <w:spacing w:after="0" w:line="2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0"/>
        </w:trPr>
        <w:tc>
          <w:tcPr>
            <w:tcW w:w="10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5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On or after March 30, 2024</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101.375 %</w:t>
            </w:r>
          </w:p>
        </w:tc>
      </w:tr>
      <w:tr>
        <w:trPr>
          <w:trHeight w:val="243"/>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30, 2025 and thereafter</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373"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At any time prior to June 1, 2027, we may, at our option, redeem some or all of the 6.5% Senior Notes, in whole or in part, at a price equal to 100% of the principal amount of the 6.5% Senior Notes, plus a “make-whole” premium, plus accrued and unpaid interest, if any, to, the date of redemption. On and after June 1, 2027, we may, at our option, redeem some or all of the 6.5% Senior Notes, in whole or in part, at the redemption prices set forth in the following table, expressed as a percentage of the principal amount, plus accrued and unpaid interest to the redemption date:</w:t>
      </w:r>
    </w:p>
    <w:p>
      <w:pPr>
        <w:spacing w:after="0" w:line="38" w:lineRule="exact"/>
        <w:rPr>
          <w:sz w:val="20"/>
          <w:szCs w:val="20"/>
          <w:color w:val="auto"/>
        </w:rPr>
      </w:pPr>
    </w:p>
    <w:tbl>
      <w:tblPr>
        <w:tblLayout w:type="fixed"/>
        <w:tblInd w:w="23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0" w:type="dxa"/>
            <w:vAlign w:val="bottom"/>
            <w:gridSpan w:val="2"/>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09"/>
        </w:trPr>
        <w:tc>
          <w:tcPr>
            <w:tcW w:w="20" w:type="dxa"/>
            <w:vAlign w:val="bottom"/>
          </w:tcPr>
          <w:p>
            <w:pPr>
              <w:spacing w:after="0"/>
              <w:rPr>
                <w:sz w:val="18"/>
                <w:szCs w:val="18"/>
                <w:color w:val="auto"/>
              </w:rPr>
            </w:pPr>
          </w:p>
        </w:tc>
        <w:tc>
          <w:tcPr>
            <w:tcW w:w="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0"/>
              </w:rPr>
              <w:t>On</w:t>
            </w:r>
          </w:p>
        </w:tc>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after June 1, 2027</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0" w:type="dxa"/>
            <w:vAlign w:val="bottom"/>
            <w:shd w:val="clear" w:color="auto" w:fill="CFF0FC"/>
          </w:tcPr>
          <w:p>
            <w:pPr>
              <w:spacing w:after="0"/>
              <w:rPr>
                <w:sz w:val="18"/>
                <w:szCs w:val="18"/>
                <w:color w:val="auto"/>
              </w:rPr>
            </w:pPr>
          </w:p>
        </w:tc>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On or after June 1, 2028</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101.625 %</w:t>
            </w:r>
          </w:p>
        </w:tc>
      </w:tr>
      <w:tr>
        <w:trPr>
          <w:trHeight w:val="234"/>
        </w:trPr>
        <w:tc>
          <w:tcPr>
            <w:tcW w:w="20" w:type="dxa"/>
            <w:vAlign w:val="bottom"/>
          </w:tcPr>
          <w:p>
            <w:pPr>
              <w:spacing w:after="0"/>
              <w:rPr>
                <w:sz w:val="20"/>
                <w:szCs w:val="20"/>
                <w:color w:val="auto"/>
              </w:rPr>
            </w:pP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June 1, 2029 and thereafter</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139" w:lineRule="exact"/>
        <w:rPr>
          <w:sz w:val="20"/>
          <w:szCs w:val="20"/>
          <w:color w:val="auto"/>
        </w:rPr>
      </w:pPr>
    </w:p>
    <w:p>
      <w:pPr>
        <w:ind w:right="420" w:firstLine="584"/>
        <w:spacing w:after="0" w:line="282" w:lineRule="auto"/>
        <w:rPr>
          <w:sz w:val="20"/>
          <w:szCs w:val="20"/>
          <w:color w:val="auto"/>
        </w:rPr>
      </w:pPr>
      <w:r>
        <w:rPr>
          <w:rFonts w:ascii="Times New Roman" w:cs="Times New Roman" w:eastAsia="Times New Roman" w:hAnsi="Times New Roman"/>
          <w:sz w:val="18"/>
          <w:szCs w:val="18"/>
          <w:color w:val="auto"/>
        </w:rPr>
        <w:t>We may also, from time to time in our sole discretion, purchase, redeem, or retire any outstanding 5.5% Senior Notes and 6.5% Senior Notes, through tender offers, in privately negotiated or open market transactions, or otherwise.</w:t>
      </w:r>
    </w:p>
    <w:p>
      <w:pPr>
        <w:spacing w:after="0" w:line="135"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The indentures governing the 5.5% Senior Notes and 6.5% Senior Notes contain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each of the Senior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 and Loss on Extinguishment of Debt</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evaluated the borrowing of our Term B-8 Loans and issuance of 6.5% Senior Notes and the repayment of our Existing Term Loans in accordance with FASB Accounting Standards Codification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We determined that the new debt borrowing and issuance and existing debt repayment were two independent transactions due to the fact that (i) no single investor held a significant concentration of both the old and the new debt, (ii) none of the old investors were included in negotiations with creditors about modifying the old debt, and (iii) all lenders were provided the same opportunity to participate in the new debt regardless of whether they were an existing lender. Consequently, the refinancing was accounted for as a debt extinguishment. As a result, the Existing Term Loans borrowing costs of $27.7 million were expensed and are included in Loss on extinguishment of debt in the Consolidated Statement of Comprehensive Income during the year ended December 31, 2024.</w:t>
      </w:r>
    </w:p>
    <w:p>
      <w:pPr>
        <w:spacing w:after="0" w:line="8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May 2024 and September 2024 debt transactions, we capitalized an aggregate of $39.4 million during year ended December 31, 2024 in financing costs, which represent new third-party costs.</w:t>
      </w:r>
    </w:p>
    <w:p>
      <w:pPr>
        <w:spacing w:after="0" w:line="54" w:lineRule="exact"/>
        <w:rPr>
          <w:sz w:val="20"/>
          <w:szCs w:val="20"/>
          <w:color w:val="auto"/>
        </w:rPr>
      </w:pPr>
    </w:p>
    <w:p>
      <w:pPr>
        <w:ind w:right="280" w:firstLine="584"/>
        <w:spacing w:after="0" w:line="266" w:lineRule="auto"/>
        <w:rPr>
          <w:sz w:val="20"/>
          <w:szCs w:val="20"/>
          <w:color w:val="auto"/>
        </w:rPr>
      </w:pPr>
      <w:r>
        <w:rPr>
          <w:rFonts w:ascii="Times New Roman" w:cs="Times New Roman" w:eastAsia="Times New Roman" w:hAnsi="Times New Roman"/>
          <w:sz w:val="18"/>
          <w:szCs w:val="18"/>
          <w:color w:val="auto"/>
        </w:rPr>
        <w:t>We made additional principal payments prior to their scheduled maturity in 2024, 2023 and 2022, which resulted in a loss on extinguishment of debt of $3.5 million, $2.1 million and $5.5 million, respectively, due to the write-off of a portion of the unamortized capitalized financing fees and the unamortized original issue discount.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carrying amounts and fair values of financial instruments are as follows (in millions):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4"/>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35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80" w:type="dxa"/>
            <w:vAlign w:val="bottom"/>
          </w:tcPr>
          <w:p>
            <w:pPr>
              <w:spacing w:after="0"/>
              <w:rPr>
                <w:sz w:val="15"/>
                <w:szCs w:val="15"/>
                <w:color w:val="auto"/>
              </w:rPr>
            </w:pPr>
          </w:p>
        </w:tc>
        <w:tc>
          <w:tcPr>
            <w:tcW w:w="9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76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4,268.6</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 senior notes due 2027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6.5% senior notes due 2032</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above fair values, which are Level 2 liabilities, were computed based on comparable quoted market prices.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Maturities of Debt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annual maturities of long-term debt during the next five years and thereafter are as follows (in millions):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2,040.0</w:t>
            </w:r>
          </w:p>
        </w:tc>
        <w:tc>
          <w:tcPr>
            <w:tcW w:w="8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8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80" w:type="dxa"/>
            <w:vAlign w:val="bottom"/>
          </w:tcPr>
          <w:p>
            <w:pPr>
              <w:spacing w:after="0"/>
              <w:rPr>
                <w:sz w:val="18"/>
                <w:szCs w:val="18"/>
                <w:color w:val="auto"/>
              </w:rPr>
            </w:pPr>
          </w:p>
        </w:tc>
      </w:tr>
      <w:tr>
        <w:trPr>
          <w:trHeight w:val="249"/>
        </w:trPr>
        <w:tc>
          <w:tcPr>
            <w:tcW w:w="5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514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2024, we paid a quarterly cash dividend of $0.24 per share of common stock in March and June and $0.25 per share of common stock in September and December, totaling $244.9 million. In 2023, we paid a quarterly cash dividend of $0.20 per share of common stock in March and June and $0.24 per share of common stock in September and December, totaling $220.9 million. In 2022, we paid a quarterly cash dividend of $0.20 per share of common stock in March, June, September and December, totaling $203.1 million</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each of July 2022, July 2023 and July 2024 our Board of Directors authorized a stock repurchase program which enabled us to repurchase up to $1 billion in the aggregate of our outstanding common stock. Our authority to repurchase shares under the program continues until the one-year anniversary of the Board’s authorization, unless earlier terminated by the Board. During 2024, 2023 and 2022, we repurchased 10.6 million, 8.4 million and 7.8 million shares of common stock for approximately $736.0 million, $474.1 million and $476.1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Comprehensive Loss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 balances, net of tax consists of the following (in millions):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0" w:type="dxa"/>
            <w:vAlign w:val="bottom"/>
          </w:tcPr>
          <w:p>
            <w:pPr>
              <w:spacing w:after="0"/>
              <w:rPr>
                <w:sz w:val="13"/>
                <w:szCs w:val="13"/>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73"/>
        </w:trPr>
        <w:tc>
          <w:tcPr>
            <w:tcW w:w="5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Pr>
          <w:p>
            <w:pPr>
              <w:spacing w:after="0"/>
              <w:rPr>
                <w:sz w:val="15"/>
                <w:szCs w:val="15"/>
                <w:color w:val="auto"/>
              </w:rPr>
            </w:pPr>
          </w:p>
        </w:tc>
      </w:tr>
      <w:tr>
        <w:trPr>
          <w:trHeight w:val="142"/>
        </w:trPr>
        <w:tc>
          <w:tcPr>
            <w:tcW w:w="5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2022</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(549.0 )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(550.1 )</w:t>
            </w:r>
          </w:p>
        </w:tc>
      </w:tr>
      <w:tr>
        <w:trPr>
          <w:trHeight w:val="148"/>
        </w:trPr>
        <w:tc>
          <w:tcPr>
            <w:tcW w:w="5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1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(0.7 )</w:t>
            </w:r>
          </w:p>
        </w:tc>
        <w:tc>
          <w:tcPr>
            <w:tcW w:w="10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w:t>
            </w:r>
          </w:p>
        </w:tc>
        <w:tc>
          <w:tcPr>
            <w:tcW w:w="100" w:type="dxa"/>
            <w:vAlign w:val="bottom"/>
          </w:tcPr>
          <w:p>
            <w:pPr>
              <w:spacing w:after="0"/>
              <w:rPr>
                <w:sz w:val="12"/>
                <w:szCs w:val="12"/>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2023</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(424.5 )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(426.3 )</w:t>
            </w:r>
          </w:p>
        </w:tc>
      </w:tr>
      <w:tr>
        <w:trPr>
          <w:trHeight w:val="149"/>
        </w:trPr>
        <w:tc>
          <w:tcPr>
            <w:tcW w:w="5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current period other comprehensive (loss) income</w:t>
            </w:r>
          </w:p>
        </w:tc>
        <w:tc>
          <w:tcPr>
            <w:tcW w:w="140" w:type="dxa"/>
            <w:vAlign w:val="bottom"/>
          </w:tcPr>
          <w:p>
            <w:pPr>
              <w:spacing w:after="0"/>
              <w:rPr>
                <w:sz w:val="12"/>
                <w:szCs w:val="12"/>
                <w:color w:val="auto"/>
              </w:rPr>
            </w:pPr>
          </w:p>
        </w:tc>
        <w:tc>
          <w:tcPr>
            <w:tcW w:w="15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(115.1 )</w:t>
            </w:r>
          </w:p>
        </w:tc>
        <w:tc>
          <w:tcPr>
            <w:tcW w:w="1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(114.9 )</w:t>
            </w: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5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2024</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(539.6 )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(541.2 )</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-24765</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596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9" w:name="page80"/>
    <w:bookmarkEnd w:id="79"/>
    <w:p>
      <w:pPr>
        <w:ind w:left="520"/>
        <w:spacing w:after="0"/>
        <w:rPr>
          <w:sz w:val="20"/>
          <w:szCs w:val="20"/>
          <w:color w:val="auto"/>
        </w:rPr>
      </w:pPr>
      <w:r>
        <w:rPr>
          <w:rFonts w:ascii="Times New Roman" w:cs="Times New Roman" w:eastAsia="Times New Roman" w:hAnsi="Times New Roman"/>
          <w:sz w:val="18"/>
          <w:szCs w:val="18"/>
          <w:color w:val="auto"/>
        </w:rPr>
        <w:t>Adjustments to accumulated other comprehensive loss attributable to us are as follows (in millions):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16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20" w:type="dxa"/>
            <w:vAlign w:val="bottom"/>
          </w:tcPr>
          <w:p>
            <w:pPr>
              <w:spacing w:after="0"/>
              <w:rPr>
                <w:sz w:val="13"/>
                <w:szCs w:val="13"/>
                <w:color w:val="auto"/>
              </w:rPr>
            </w:pPr>
          </w:p>
        </w:tc>
        <w:tc>
          <w:tcPr>
            <w:tcW w:w="20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3"/>
                <w:szCs w:val="13"/>
                <w:color w:val="auto"/>
              </w:rPr>
            </w:pPr>
          </w:p>
        </w:tc>
        <w:tc>
          <w:tcPr>
            <w:tcW w:w="216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109"/>
        </w:trPr>
        <w:tc>
          <w:tcPr>
            <w:tcW w:w="3540" w:type="dxa"/>
            <w:vAlign w:val="bottom"/>
          </w:tcPr>
          <w:p>
            <w:pPr>
              <w:spacing w:after="0"/>
              <w:rPr>
                <w:sz w:val="9"/>
                <w:szCs w:val="9"/>
                <w:color w:val="auto"/>
              </w:rPr>
            </w:pPr>
          </w:p>
        </w:tc>
        <w:tc>
          <w:tcPr>
            <w:tcW w:w="216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5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2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4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0" w:type="dxa"/>
            <w:vAlign w:val="bottom"/>
          </w:tcPr>
          <w:p>
            <w:pPr>
              <w:spacing w:after="0"/>
              <w:rPr>
                <w:sz w:val="1"/>
                <w:szCs w:val="1"/>
                <w:color w:val="auto"/>
              </w:rPr>
            </w:pPr>
          </w:p>
        </w:tc>
      </w:tr>
      <w:tr>
        <w:trPr>
          <w:trHeight w:val="23"/>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Unrealized gains (losses) on interest rate swaps</w:t>
            </w:r>
          </w:p>
        </w:tc>
        <w:tc>
          <w:tcPr>
            <w:tcW w:w="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26"/>
        </w:trPr>
        <w:tc>
          <w:tcPr>
            <w:tcW w:w="35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Reclassification of gains into net earnings on interest rate</w:t>
            </w: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(2.3 )</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5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swaps</w:t>
            </w: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shd w:val="clear" w:color="auto" w:fill="CFF0FC"/>
          </w:tcPr>
          <w:p>
            <w:pPr>
              <w:ind w:left="180"/>
              <w:spacing w:after="0" w:line="155" w:lineRule="exact"/>
              <w:rPr>
                <w:sz w:val="20"/>
                <w:szCs w:val="20"/>
                <w:color w:val="auto"/>
              </w:rPr>
            </w:pPr>
            <w:r>
              <w:rPr>
                <w:rFonts w:ascii="Times New Roman" w:cs="Times New Roman" w:eastAsia="Times New Roman" w:hAnsi="Times New Roman"/>
                <w:sz w:val="14"/>
                <w:szCs w:val="14"/>
                <w:color w:val="auto"/>
              </w:rPr>
              <w:t>Net change in cash flow hedges</w:t>
            </w: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55"/>
        </w:trPr>
        <w:tc>
          <w:tcPr>
            <w:tcW w:w="3540" w:type="dxa"/>
            <w:vAlign w:val="bottom"/>
            <w:tcBorders>
              <w:top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540" w:type="dxa"/>
            <w:vAlign w:val="bottom"/>
            <w:shd w:val="clear" w:color="auto" w:fill="CFF0FC"/>
          </w:tcPr>
          <w:p>
            <w:pPr>
              <w:ind w:left="100"/>
              <w:spacing w:after="0" w:line="119" w:lineRule="exact"/>
              <w:rPr>
                <w:sz w:val="20"/>
                <w:szCs w:val="20"/>
                <w:color w:val="auto"/>
              </w:rPr>
            </w:pPr>
            <w:r>
              <w:rPr>
                <w:rFonts w:ascii="Times New Roman" w:cs="Times New Roman" w:eastAsia="Times New Roman" w:hAnsi="Times New Roman"/>
                <w:sz w:val="13"/>
                <w:szCs w:val="13"/>
                <w:color w:val="auto"/>
              </w:rPr>
              <w:t>Unrealized net gains (losses) on defined benefit pension</w:t>
            </w: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(0.9 )</w:t>
            </w:r>
          </w:p>
        </w:tc>
        <w:tc>
          <w:tcPr>
            <w:tcW w:w="14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(0.5 )</w:t>
            </w:r>
          </w:p>
        </w:tc>
        <w:tc>
          <w:tcPr>
            <w:tcW w:w="140" w:type="dxa"/>
            <w:vAlign w:val="bottom"/>
            <w:shd w:val="clear" w:color="auto" w:fill="CFF0FC"/>
          </w:tcPr>
          <w:p>
            <w:pPr>
              <w:spacing w:after="0"/>
              <w:rPr>
                <w:sz w:val="10"/>
                <w:szCs w:val="10"/>
                <w:color w:val="auto"/>
              </w:rPr>
            </w:pPr>
          </w:p>
        </w:tc>
        <w:tc>
          <w:tcPr>
            <w:tcW w:w="10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(0.8 )</w:t>
            </w:r>
          </w:p>
        </w:tc>
        <w:tc>
          <w:tcPr>
            <w:tcW w:w="0" w:type="dxa"/>
            <w:vAlign w:val="bottom"/>
          </w:tcPr>
          <w:p>
            <w:pPr>
              <w:spacing w:after="0"/>
              <w:rPr>
                <w:sz w:val="1"/>
                <w:szCs w:val="1"/>
                <w:color w:val="auto"/>
              </w:rPr>
            </w:pPr>
          </w:p>
        </w:tc>
      </w:tr>
      <w:tr>
        <w:trPr>
          <w:trHeight w:val="158"/>
        </w:trPr>
        <w:tc>
          <w:tcPr>
            <w:tcW w:w="3540" w:type="dxa"/>
            <w:vAlign w:val="bottom"/>
            <w:shd w:val="clear" w:color="auto" w:fill="CFF0FC"/>
          </w:tcPr>
          <w:p>
            <w:pPr>
              <w:ind w:left="100"/>
              <w:spacing w:after="0" w:line="158" w:lineRule="exact"/>
              <w:rPr>
                <w:sz w:val="20"/>
                <w:szCs w:val="20"/>
                <w:color w:val="auto"/>
              </w:rPr>
            </w:pPr>
            <w:r>
              <w:rPr>
                <w:rFonts w:ascii="Times New Roman" w:cs="Times New Roman" w:eastAsia="Times New Roman" w:hAnsi="Times New Roman"/>
                <w:sz w:val="14"/>
                <w:szCs w:val="14"/>
                <w:color w:val="auto"/>
              </w:rPr>
              <w:t>plan</w:t>
            </w:r>
          </w:p>
        </w:tc>
        <w:tc>
          <w:tcPr>
            <w:tcW w:w="180" w:type="dxa"/>
            <w:vAlign w:val="bottom"/>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540" w:type="dxa"/>
            <w:vAlign w:val="bottom"/>
            <w:shd w:val="clear" w:color="auto" w:fill="CFF0FC"/>
          </w:tcPr>
          <w:p>
            <w:pPr>
              <w:ind w:left="100"/>
              <w:spacing w:after="0" w:line="155" w:lineRule="exact"/>
              <w:rPr>
                <w:sz w:val="20"/>
                <w:szCs w:val="20"/>
                <w:color w:val="auto"/>
              </w:rPr>
            </w:pPr>
            <w:r>
              <w:rPr>
                <w:rFonts w:ascii="Times New Roman" w:cs="Times New Roman" w:eastAsia="Times New Roman" w:hAnsi="Times New Roman"/>
                <w:sz w:val="14"/>
                <w:szCs w:val="14"/>
                <w:color w:val="auto"/>
              </w:rPr>
              <w:t>Current period translation adjustments</w:t>
            </w: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(88.6 )</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(26.5 )</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130.4</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(5.9 )</w:t>
            </w: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(326.1 )</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other comprehensive (loss) income</w:t>
            </w: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(88.5 )</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(26.4 )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129.5</w:t>
            </w:r>
          </w:p>
        </w:tc>
        <w:tc>
          <w:tcPr>
            <w:tcW w:w="3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(5.7 )</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(320.1 )</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-693420</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-693420</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-693420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-693420</wp:posOffset>
            </wp:positionV>
            <wp:extent cx="59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-693420</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-693420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-393700</wp:posOffset>
            </wp:positionV>
            <wp:extent cx="596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-393700</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-393700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-393700</wp:posOffset>
            </wp:positionV>
            <wp:extent cx="59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-393700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-393700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-128270</wp:posOffset>
            </wp:positionV>
            <wp:extent cx="596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-128270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-128270</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-128270</wp:posOffset>
            </wp:positionV>
            <wp:extent cx="59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-128270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-128270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12—Variable Interest Entity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July 15, 2021 (the “Effective Date”), we entered into an agreement whereby we obtained an 80.2% interest in DomaniRx, LLC (“DomaniRx”), a variable interest entity under GAAP. The purpose of DomaniRx is to develop a contemporary, cloud-native platform to support the operation of a full service pharmacy benefits manager. At formation, we contributed cash, a non-exclusive license of our claims processing platform known as RxNova and assigned a services agreement we have with one of the other parties in the agreement. The other parties contributed cash and other intangible assets at formation. We will perform development work, day-to-day management, services related to the fulfillment of the assigned services agreement and certain shared services under subcontract with DomaniRx in exchange for market-based fees.</w:t>
      </w:r>
    </w:p>
    <w:p>
      <w:pPr>
        <w:spacing w:after="0" w:line="18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initial contributions, each member of the agreement is responsible for future additional cash capital contributions in accordance with each member's ownership interest in DomaniRx at the time of the call. Our additional cash capital contribution is up to $240.6 million. We are then solely responsible for a further development cost overage of up to $100.0 million for no additional ownership interest.</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Board of DomaniRx authorized a mandatory additional capital contribution in accordance with each member’s ownership interest in DomaniRx in the amount of $75.0 million. Our cash capital contribution during the year ended December 31, 2024 was $60.2 million.</w:t>
      </w:r>
    </w:p>
    <w:p>
      <w:pPr>
        <w:spacing w:after="0" w:line="176"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The carrying value of the assets and liabilities associated with DomaniRx included in the Consolidated Balance Sheets as of December 31, 2024 and 2023, which are limited for use in its operations and do not have recourse against our general credit or our senior secured credit facilities,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06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FF0FC"/>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liabilities</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6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80</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25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Note 13—Revenue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Deferred revenues primarily represent unrecognized fees billed or collected for maintenance and professional services. Deferred revenues are recognized as (or when) we perform under the contract. Deferred revenues are recorded on a net basis with contract assets at the contract level. Accordingly, as of December 31, 2024 and 2023, approximately $72.3 million and $72.0 million, respectively, of deferred revenue is presented net within contract assets arising from the same contracts. The amount of revenues recognized in the period that was included in the opening deferred revenues balance was $379.8 million, $393.8 million and $262.9 million for the years ended December 31, 2024, 2023 and 2022, respectively.</w:t>
      </w:r>
    </w:p>
    <w:p>
      <w:pPr>
        <w:spacing w:after="0" w:line="183"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2024, revenue of approximately $997.3 million is expected to be recognized from remaining performance obligations for license, maintenance and related revenues, of which $492.1 million is expected to be recognized over the next twelve months and the remainder is expected to be recognized over a weighted average period of approximately two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disaggregates our revenues by geography (in millions):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3,804.3</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3,731.8</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(excluding United Kingdom), Middle East and Africa</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Asia-Pacific and Japan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Americas, excluding United States and Canada</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8"/>
                <w:szCs w:val="18"/>
                <w:color w:val="auto"/>
              </w:rPr>
            </w:pPr>
          </w:p>
        </w:tc>
      </w:tr>
      <w:tr>
        <w:trPr>
          <w:trHeight w:val="250"/>
        </w:trPr>
        <w:tc>
          <w:tcPr>
            <w:tcW w:w="5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5,502.8</w:t>
            </w: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5,283.0</w:t>
            </w:r>
          </w:p>
        </w:tc>
        <w:tc>
          <w:tcPr>
            <w:tcW w:w="100" w:type="dxa"/>
            <w:vAlign w:val="bottom"/>
            <w:shd w:val="clear" w:color="auto" w:fill="CFF0FC"/>
          </w:tcPr>
          <w:p>
            <w:pPr>
              <w:spacing w:after="0"/>
              <w:rPr>
                <w:sz w:val="21"/>
                <w:szCs w:val="21"/>
                <w:color w:val="auto"/>
              </w:rPr>
            </w:pPr>
          </w:p>
        </w:tc>
      </w:tr>
      <w:tr>
        <w:trPr>
          <w:trHeight w:val="412"/>
        </w:trPr>
        <w:tc>
          <w:tcPr>
            <w:tcW w:w="5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 following table disaggregates our revenues by source (in millions):</w:t>
            </w:r>
          </w:p>
        </w:tc>
        <w:tc>
          <w:tcPr>
            <w:tcW w:w="3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45"/>
        </w:trPr>
        <w:tc>
          <w:tcPr>
            <w:tcW w:w="5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5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4,273.9</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term licenses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r>
      <w:tr>
        <w:trPr>
          <w:trHeight w:val="250"/>
        </w:trPr>
        <w:tc>
          <w:tcPr>
            <w:tcW w:w="55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-1413510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-1396365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-1413510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-1396365</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-1413510</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-1396365</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596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596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14—Stock-based Compensation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April 2024, our Board of Directors adopted the Amended and Restated 2023 Stock Incentive Plan (the “Amended 2023 Plan”), which became effective in May 2024 upon stockholder approval. The Amended 2023 Plan was adopted to increase the shares available for equity by an additional 2.6 million shares. In March 2023, our Board of Directors adopted the 2023 Stock Incentive Plan (the “2023 Plan”), which became effective in May 2023 upon stockholder approval and replaced, on a prospective basis, the Second Amended and Restated 2014 Stock Incentive Plan. The 2023 Plan was adopted to increase the shares available for equity by an additional 11.5 million shares.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March 2019, our Board of Directors adopted the Second Amended and Restated 2014 Stock Incentive Plan, which amended and restated our Amended and Restated 2014 Stock Incentive Plan (the “Amended 2014 Plan”) (together with the Amended 2014 Plan, the “2014 Plans”), which became effective in May 2019 upon stockholder approval. The 2014 Stock Option Plan authorized stock options to be granted for up to 6.0 million shares of our common stock. The Amended 2014 Plan was adopted with an initial share capacity of 24.0 million shares available for the grant of awards. The Amended 2014 Plan authorized the issuance of equity awards, including stock options, restricted stock awards (“RSAs”) and restricted stock units (“RSUs”) and allowed the class of participants to include non-employee directors. The Second Amended and Restated 2014 Stock Incentive Plan was adopted to increase the shares available for equity awards by an additional 34.0 million shares.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Under the terms of the 2023 Plans and 2014 Plans, the exercise price of awards is set on the grant date and may not be less than the fair market value per share on such date. Generally, awards expire ten years from the date of grant.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1" w:name="page82"/>
    <w:bookmarkEnd w:id="81"/>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generally settle RSUs, RSAs, stock appreciation rights (“SARs”), performance-based stock units (“PSUs”), and stock option exercises with newly issued common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2023 and 2022, we granted RSUs which generally vest 1/3rd on the first anniversary of the grant and 1/4th of the remaining balance each six months thereafter for two years. We determine the fair value of RSUs with a service condition using the value of our common stock on the date of the grant. At December 31, 2024 and 2023, there was approximately $196.2 million and $114.5 million, respectively, of unearned non-cash stock-based compensation related to RSUs that we expect to recognize as expense over a remaining period of approximately 1.9 and 2.1 years,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Units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July 2021 and March 2022, we granted performance-based stock units at a grant date fair value of $75.03 per share and $71.89 per share, respectively, based on the value of our common stock on the date of the grant. During the year ended December 31, 2023, the Compensation Committee determined that the PSUs granted in July 2021 did not meet the threshold level of performance and were cancelled. During the year ended December 31, 2024, the Compensation Committee determined that the PSUs granted in March 2022 did not meet the threshold level of performance and were cancelled. During the year ended December 31, 2022, we recorded a true-up to reverse previously recorded stock-based compensation expense relating to the PSUs.</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2024 and 2023, we granted performance-based stock units with a market condition at a grant date fair value of $67.87 and $63.50, respectively, estimated using a Monte Carlo simulation model as of the date of the grant using an average of implied and historical volatility. These awards include established annual earnings per share growth targets and will measure performance against the target over the 3-year performance period. Performance is measured relative to a 3-year average annual growth rate that is established at the beginning of the cycle and held constant. Participants will only be entitled to receive any portion of the PSUs that are earned if they remain employed through the final determination of the satisfaction of these performance goals. The actual number of units that will be issued ranges from zero, if the threshold level of performance is not achieved, to 200% of the targeted number of units, if the annual growth rate meets or exceeds a specified level. The ultimate payout of the PSUs is also subject to a relative total shareholder return (“TSR”) performance modifier, with the ultimate payout level adjusted upwards or downwards up to 20% (subject to the maximum 200% payout); however, no upward modifier will be applied if the Company's absolute TSR is negative for the 3-year performance period. As of December 31, 2024 and 2023, there was approximately $21.3 million and $16.2 million, respectively, of unearned non-cash stock-based compensation related to the 2024 and 2023 PSUs that we expect to recognize over a remaining period of approximately 1.8 years and 2.2 years, respectively.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PSUs with a market condition valued using the Monte Carlo simulation model, we used the following weighted-average assumptions:</w:t>
      </w:r>
    </w:p>
    <w:p>
      <w:pPr>
        <w:spacing w:after="0" w:line="21" w:lineRule="exact"/>
        <w:rPr>
          <w:sz w:val="20"/>
          <w:szCs w:val="20"/>
          <w:color w:val="auto"/>
        </w:rPr>
      </w:pPr>
    </w:p>
    <w:tbl>
      <w:tblPr>
        <w:tblLayout w:type="fixed"/>
        <w:tblInd w:w="282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20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PSUs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89"/>
        </w:trPr>
        <w:tc>
          <w:tcPr>
            <w:tcW w:w="3580" w:type="dxa"/>
            <w:vAlign w:val="bottom"/>
          </w:tcPr>
          <w:p>
            <w:pPr>
              <w:spacing w:after="0"/>
              <w:rPr>
                <w:sz w:val="24"/>
                <w:szCs w:val="24"/>
                <w:color w:val="auto"/>
              </w:rPr>
            </w:pPr>
          </w:p>
        </w:tc>
        <w:tc>
          <w:tcPr>
            <w:tcW w:w="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4"/>
                <w:szCs w:val="24"/>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23.9 %</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27.4 %</w:t>
            </w: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Stock Options and SARs</w:t>
      </w:r>
    </w:p>
    <w:p>
      <w:pPr>
        <w:spacing w:after="0" w:line="126" w:lineRule="exact"/>
        <w:rPr>
          <w:sz w:val="20"/>
          <w:szCs w:val="20"/>
          <w:color w:val="auto"/>
        </w:rPr>
      </w:pPr>
    </w:p>
    <w:p>
      <w:pPr>
        <w:ind w:firstLine="554"/>
        <w:spacing w:after="0" w:line="243" w:lineRule="auto"/>
        <w:rPr>
          <w:sz w:val="20"/>
          <w:szCs w:val="20"/>
          <w:color w:val="auto"/>
        </w:rPr>
      </w:pPr>
      <w:r>
        <w:rPr>
          <w:rFonts w:ascii="Times New Roman" w:cs="Times New Roman" w:eastAsia="Times New Roman" w:hAnsi="Times New Roman"/>
          <w:sz w:val="18"/>
          <w:szCs w:val="18"/>
          <w:color w:val="auto"/>
        </w:rPr>
        <w:t>Time-based stock options and SARs generally vest 25% on the first anniversary of the grant date and 1/36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the remaining balance each month thereafter for 36 months. Time-based stock options granted during 2024, 2023 and 2022 have a weighted-average grant date fair value of $17.11, $17.54 and $15.26 per share, respectively, based on the Black-Scholes option pricing model. Compensation expense is recorded on a straight-line basis over the requisite service period. The fair value of time-based stock options vested during the years ended December 31, 2024, 2023 and 2022 was approximately $61.2 million, $86.9 million and $102.1 million, respectively. At December 31, 2024 and 2023, there was approximately $71.4 million and $111.7 million, respectively, of unearned non-cash stock-based compensation related to time-based stock options that we expect to recognize as expense over a weighted-average remaining period of approximately 2.3 years and 2.2 years,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Options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March and December 2021, we granted performance-based stock options (“PSOs”). These awards include established annual earnings per share growth targets and will measure performance against the target over the 3-year performance period. Performance is measured relative to a 3-year average annual growth rate that is established at the beginning of the cycle and held constant.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2" w:name="page83"/>
    <w:bookmarkEnd w:id="82"/>
    <w:p>
      <w:pPr>
        <w:ind w:right="60"/>
        <w:spacing w:after="0" w:line="256" w:lineRule="auto"/>
        <w:rPr>
          <w:sz w:val="20"/>
          <w:szCs w:val="20"/>
          <w:color w:val="auto"/>
        </w:rPr>
      </w:pPr>
      <w:r>
        <w:rPr>
          <w:rFonts w:ascii="Times New Roman" w:cs="Times New Roman" w:eastAsia="Times New Roman" w:hAnsi="Times New Roman"/>
          <w:sz w:val="18"/>
          <w:szCs w:val="18"/>
          <w:color w:val="auto"/>
        </w:rPr>
        <w:t>Participants will only be entitled to receive any portion of the PSOs that are earned if they remain employed through the final determination of the satisfaction of these performance goals. The actual number of options to be issued ranges from zero, if the threshold level of performance is not achieved, to 200% of the targeted number of options, if the annual growth rate meets or exceeds a specified level. During the year ended December 31, 2024, 79.2% of the March 2021 PSOs vested. During the year ended December 31 2023, no PSOs vested. At December 31, 2024 and 2023, there was approximately $3.8 million and $23.3 million, respectively of unearned non-cash stock-based compensation related to PSOs that we expect to recognize as expense over a remaining period of approximately 0.2 years and 1.2 years, respectively.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stock-options valued using the Black-Scholes option-pricing model, we used the following weighted-average assumptions:</w:t>
      </w:r>
    </w:p>
    <w:p>
      <w:pPr>
        <w:spacing w:after="0" w:line="21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Time-based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59055</wp:posOffset>
            </wp:positionV>
            <wp:extent cx="23228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5"/>
                <w:szCs w:val="15"/>
                <w:color w:val="auto"/>
              </w:rPr>
            </w:pPr>
          </w:p>
        </w:tc>
      </w:tr>
      <w:tr>
        <w:trPr>
          <w:trHeight w:val="237"/>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to exercise (years)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shd w:val="clear" w:color="auto" w:fill="CFF0FC"/>
          </w:tcPr>
          <w:p>
            <w:pPr>
              <w:spacing w:after="0"/>
              <w:rPr>
                <w:sz w:val="20"/>
                <w:szCs w:val="20"/>
                <w:color w:val="auto"/>
              </w:rPr>
            </w:pPr>
          </w:p>
        </w:tc>
      </w:tr>
      <w:tr>
        <w:trPr>
          <w:trHeight w:val="24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29.5 %</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34.6 %</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35.3 %</w:t>
            </w:r>
          </w:p>
        </w:tc>
      </w:tr>
      <w:tr>
        <w:trPr>
          <w:trHeight w:val="24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4.3 %</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4.4 %</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4.0 %</w:t>
            </w:r>
          </w:p>
        </w:tc>
      </w:tr>
      <w:tr>
        <w:trPr>
          <w:trHeight w:val="24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Stock Options, RSUs and PSUs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 of stock-based compensation expense recognized in our Consolidated Statements of Comprehensive Income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was as follows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3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0"/>
                <w:szCs w:val="10"/>
                <w:color w:val="auto"/>
              </w:rPr>
            </w:pPr>
          </w:p>
        </w:tc>
        <w:tc>
          <w:tcPr>
            <w:tcW w:w="54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RSUs,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0"/>
                <w:szCs w:val="10"/>
                <w:color w:val="auto"/>
              </w:rPr>
            </w:pPr>
          </w:p>
        </w:tc>
        <w:tc>
          <w:tcPr>
            <w:tcW w:w="5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RSUs,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0"/>
                <w:szCs w:val="10"/>
                <w:color w:val="auto"/>
              </w:rPr>
            </w:pPr>
          </w:p>
        </w:tc>
        <w:tc>
          <w:tcPr>
            <w:tcW w:w="820" w:type="dxa"/>
            <w:vAlign w:val="bottom"/>
            <w:gridSpan w:val="4"/>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RSUs,</w:t>
            </w:r>
          </w:p>
        </w:tc>
        <w:tc>
          <w:tcPr>
            <w:tcW w:w="44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3"/>
              </w:rPr>
              <w:t>PSUs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PSUs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software-enabled services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00" w:type="dxa"/>
            <w:vAlign w:val="bottom"/>
            <w:gridSpan w:val="2"/>
            <w:shd w:val="clear" w:color="auto" w:fill="CFF0FC"/>
          </w:tcPr>
          <w:p>
            <w:pPr>
              <w:jc w:val="center"/>
              <w:ind w:left="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8"/>
              </w:rPr>
              <w:t>(1.1 ) $</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license, maintenance and other related</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cost of revenues</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and marketing</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8"/>
              </w:rPr>
              <w:t>(4.5 ) $</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-710565</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-710565</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-710565</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-710565</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-710565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-710565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-710565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-710565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-162560</wp:posOffset>
            </wp:positionV>
            <wp:extent cx="768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-162560</wp:posOffset>
            </wp:positionV>
            <wp:extent cx="774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-162560</wp:posOffset>
            </wp:positionV>
            <wp:extent cx="768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-162560</wp:posOffset>
            </wp:positionV>
            <wp:extent cx="768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-162560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-162560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-162560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-162560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associated future income tax benefit recognized was $37.0 million, $30.4 million and $23.8 million for the years ended December 31, 2024, 2023 and 2022, respectively.</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the amount of cash received from the exercise of stock options was $355.1 million, with an associated tax benefit from stock awards realized of $58.5 million. The intrinsic value of stock options and SARs exercised during the year ended December 31, 2024 was approximately $198.5 million. For the year ended December 31, 2023, the amount of cash received from the exercise of stock options was $115.4 million, with an associated tax benefit from stock awards realized of $28.9 million. The intrinsic value of stock options and SARs exercised during the year ended December 31, 2023 was approximately $84.2 million. For the year ended December 31, 2022, the amount of cash received from the exercise of stock options was $91.8 million, with an associated tax benefit from stock awards realized of $19.2 million. The intrinsic value of stock options and SARs exercised during the year ended December 31, 2022 was approximately $92.6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and SAR activity as well as RSU and PSU activity as of and for the years ended December 31, 2024, 2023 and 2022 (share data in millions):</w:t>
      </w:r>
    </w:p>
    <w:p>
      <w:pPr>
        <w:spacing w:after="0" w:line="155" w:lineRule="exact"/>
        <w:rPr>
          <w:sz w:val="20"/>
          <w:szCs w:val="20"/>
          <w:color w:val="auto"/>
        </w:rPr>
      </w:pPr>
    </w:p>
    <w:tbl>
      <w:tblPr>
        <w:tblLayout w:type="fixed"/>
        <w:tblInd w:w="136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Stock Options and SARs</w:t>
            </w:r>
          </w:p>
        </w:tc>
        <w:tc>
          <w:tcPr>
            <w:tcW w:w="240" w:type="dxa"/>
            <w:vAlign w:val="bottom"/>
          </w:tcPr>
          <w:p>
            <w:pPr>
              <w:spacing w:after="0"/>
              <w:rPr>
                <w:sz w:val="15"/>
                <w:szCs w:val="15"/>
                <w:color w:val="auto"/>
              </w:rPr>
            </w:pPr>
          </w:p>
        </w:tc>
        <w:tc>
          <w:tcPr>
            <w:tcW w:w="24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PSUs and RSUs</w:t>
            </w:r>
          </w:p>
        </w:tc>
      </w:tr>
      <w:tr>
        <w:trPr>
          <w:trHeight w:val="117"/>
        </w:trPr>
        <w:tc>
          <w:tcPr>
            <w:tcW w:w="35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r>
      <w:tr>
        <w:trPr>
          <w:trHeight w:val="148"/>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3"/>
        </w:trPr>
        <w:tc>
          <w:tcPr>
            <w:tcW w:w="3580" w:type="dxa"/>
            <w:vAlign w:val="bottom"/>
          </w:tcPr>
          <w:p>
            <w:pPr>
              <w:spacing w:after="0"/>
              <w:rPr>
                <w:sz w:val="16"/>
                <w:szCs w:val="16"/>
                <w:color w:val="auto"/>
              </w:rPr>
            </w:pPr>
          </w:p>
        </w:tc>
        <w:tc>
          <w:tcPr>
            <w:tcW w:w="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r>
      <w:tr>
        <w:trPr>
          <w:trHeight w:val="217"/>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220" w:type="dxa"/>
            <w:vAlign w:val="bottom"/>
          </w:tcPr>
          <w:p>
            <w:pPr>
              <w:spacing w:after="0"/>
              <w:rPr>
                <w:sz w:val="18"/>
                <w:szCs w:val="18"/>
                <w:color w:val="auto"/>
              </w:rPr>
            </w:pPr>
          </w:p>
        </w:tc>
      </w:tr>
      <w:tr>
        <w:trPr>
          <w:trHeight w:val="243"/>
        </w:trPr>
        <w:tc>
          <w:tcPr>
            <w:tcW w:w="4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20" w:type="dxa"/>
            <w:vAlign w:val="bottom"/>
            <w:shd w:val="clear" w:color="auto" w:fill="CFF0FC"/>
          </w:tcPr>
          <w:p>
            <w:pPr>
              <w:spacing w:after="0"/>
              <w:rPr>
                <w:sz w:val="21"/>
                <w:szCs w:val="21"/>
                <w:color w:val="auto"/>
              </w:rPr>
            </w:pPr>
          </w:p>
        </w:tc>
      </w:tr>
      <w:tr>
        <w:trPr>
          <w:trHeight w:val="243"/>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220" w:type="dxa"/>
            <w:vAlign w:val="bottom"/>
          </w:tcPr>
          <w:p>
            <w:pPr>
              <w:spacing w:after="0"/>
              <w:rPr>
                <w:sz w:val="21"/>
                <w:szCs w:val="21"/>
                <w:color w:val="auto"/>
              </w:rPr>
            </w:pPr>
          </w:p>
        </w:tc>
      </w:tr>
      <w:tr>
        <w:trPr>
          <w:trHeight w:val="230"/>
        </w:trPr>
        <w:tc>
          <w:tcPr>
            <w:tcW w:w="3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7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7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240" w:type="dxa"/>
            <w:vAlign w:val="bottom"/>
            <w:tcBorders>
              <w:top w:val="single" w:sz="8" w:color="CFF0FC"/>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220" w:type="dxa"/>
            <w:vAlign w:val="bottom"/>
            <w:tcBorders>
              <w:top w:val="single" w:sz="8" w:color="CFF0FC"/>
            </w:tcBorders>
          </w:tcPr>
          <w:p>
            <w:pPr>
              <w:spacing w:after="0"/>
              <w:rPr>
                <w:sz w:val="20"/>
                <w:szCs w:val="20"/>
                <w:color w:val="auto"/>
              </w:rPr>
            </w:pPr>
          </w:p>
        </w:tc>
      </w:tr>
      <w:tr>
        <w:trPr>
          <w:trHeight w:val="243"/>
        </w:trPr>
        <w:tc>
          <w:tcPr>
            <w:tcW w:w="4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220" w:type="dxa"/>
            <w:vAlign w:val="bottom"/>
            <w:shd w:val="clear" w:color="auto" w:fill="CFF0FC"/>
          </w:tcPr>
          <w:p>
            <w:pPr>
              <w:spacing w:after="0"/>
              <w:rPr>
                <w:sz w:val="21"/>
                <w:szCs w:val="21"/>
                <w:color w:val="auto"/>
              </w:rPr>
            </w:pPr>
          </w:p>
        </w:tc>
      </w:tr>
      <w:tr>
        <w:trPr>
          <w:trHeight w:val="243"/>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220" w:type="dxa"/>
            <w:vAlign w:val="bottom"/>
          </w:tcPr>
          <w:p>
            <w:pPr>
              <w:spacing w:after="0"/>
              <w:rPr>
                <w:sz w:val="21"/>
                <w:szCs w:val="21"/>
                <w:color w:val="auto"/>
              </w:rPr>
            </w:pPr>
          </w:p>
        </w:tc>
      </w:tr>
      <w:tr>
        <w:trPr>
          <w:trHeight w:val="243"/>
        </w:trPr>
        <w:tc>
          <w:tcPr>
            <w:tcW w:w="4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220" w:type="dxa"/>
            <w:vAlign w:val="bottom"/>
          </w:tcPr>
          <w:p>
            <w:pPr>
              <w:spacing w:after="0"/>
              <w:rPr>
                <w:sz w:val="19"/>
                <w:szCs w:val="19"/>
                <w:color w:val="auto"/>
              </w:rPr>
            </w:pPr>
          </w:p>
        </w:tc>
      </w:tr>
      <w:tr>
        <w:trPr>
          <w:trHeight w:val="237"/>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7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24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220" w:type="dxa"/>
            <w:vAlign w:val="bottom"/>
            <w:shd w:val="clear" w:color="auto" w:fill="CFF0FC"/>
          </w:tcPr>
          <w:p>
            <w:pPr>
              <w:spacing w:after="0"/>
              <w:rPr>
                <w:sz w:val="20"/>
                <w:szCs w:val="20"/>
                <w:color w:val="auto"/>
              </w:rPr>
            </w:pPr>
          </w:p>
        </w:tc>
      </w:tr>
      <w:tr>
        <w:trPr>
          <w:trHeight w:val="243"/>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220" w:type="dxa"/>
            <w:vAlign w:val="bottom"/>
          </w:tcPr>
          <w:p>
            <w:pPr>
              <w:spacing w:after="0"/>
              <w:rPr>
                <w:sz w:val="21"/>
                <w:szCs w:val="21"/>
                <w:color w:val="auto"/>
              </w:rPr>
            </w:pPr>
          </w:p>
        </w:tc>
      </w:tr>
      <w:tr>
        <w:trPr>
          <w:trHeight w:val="243"/>
        </w:trPr>
        <w:tc>
          <w:tcPr>
            <w:tcW w:w="4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220" w:type="dxa"/>
            <w:vAlign w:val="bottom"/>
            <w:shd w:val="clear" w:color="auto" w:fill="CFF0FC"/>
          </w:tcPr>
          <w:p>
            <w:pPr>
              <w:spacing w:after="0"/>
              <w:rPr>
                <w:sz w:val="21"/>
                <w:szCs w:val="21"/>
                <w:color w:val="auto"/>
              </w:rPr>
            </w:pPr>
          </w:p>
        </w:tc>
      </w:tr>
      <w:tr>
        <w:trPr>
          <w:trHeight w:val="243"/>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20" w:type="dxa"/>
            <w:vAlign w:val="bottom"/>
            <w:shd w:val="clear" w:color="auto" w:fill="CFF0FC"/>
          </w:tcPr>
          <w:p>
            <w:pPr>
              <w:spacing w:after="0"/>
              <w:rPr>
                <w:sz w:val="19"/>
                <w:szCs w:val="19"/>
                <w:color w:val="auto"/>
              </w:rPr>
            </w:pPr>
          </w:p>
        </w:tc>
      </w:tr>
      <w:tr>
        <w:trPr>
          <w:trHeight w:val="210"/>
        </w:trPr>
        <w:tc>
          <w:tcPr>
            <w:tcW w:w="3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7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240" w:type="dxa"/>
            <w:vAlign w:val="bottom"/>
            <w:tcBorders>
              <w:top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220" w:type="dxa"/>
            <w:vAlign w:val="bottom"/>
            <w:tcBorders>
              <w:top w:val="single" w:sz="8" w:color="CFF0FC"/>
            </w:tcBorders>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-1713865</wp:posOffset>
            </wp:positionV>
            <wp:extent cx="596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-1713865</wp:posOffset>
            </wp:positionV>
            <wp:extent cx="596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-170815</wp:posOffset>
            </wp:positionV>
            <wp:extent cx="596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596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vested stock options and SARs outstanding that are currently exercisable and stock options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SARs outstanding that are exercisable and expected to vest at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gridSpan w:val="9"/>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Outstanding, Vested Stock Options and SARs Currently Exercisable</w:t>
            </w:r>
          </w:p>
        </w:tc>
        <w:tc>
          <w:tcPr>
            <w:tcW w:w="260" w:type="dxa"/>
            <w:vAlign w:val="bottom"/>
          </w:tcPr>
          <w:p>
            <w:pPr>
              <w:spacing w:after="0"/>
              <w:rPr>
                <w:sz w:val="15"/>
                <w:szCs w:val="15"/>
                <w:color w:val="auto"/>
              </w:rPr>
            </w:pPr>
          </w:p>
        </w:tc>
        <w:tc>
          <w:tcPr>
            <w:tcW w:w="5460" w:type="dxa"/>
            <w:vAlign w:val="bottom"/>
            <w:gridSpan w:val="10"/>
          </w:tcPr>
          <w:p>
            <w:pPr>
              <w:ind w:left="480"/>
              <w:spacing w:after="0"/>
              <w:rPr>
                <w:sz w:val="20"/>
                <w:szCs w:val="20"/>
                <w:color w:val="auto"/>
              </w:rPr>
            </w:pPr>
            <w:r>
              <w:rPr>
                <w:rFonts w:ascii="Times New Roman" w:cs="Times New Roman" w:eastAsia="Times New Roman" w:hAnsi="Times New Roman"/>
                <w:sz w:val="14"/>
                <w:szCs w:val="14"/>
                <w:b w:val="1"/>
                <w:bCs w:val="1"/>
                <w:color w:val="auto"/>
              </w:rPr>
              <w:t>Outstanding Stock Options and SARs Exercisable and Expected to Vest</w:t>
            </w:r>
          </w:p>
        </w:tc>
        <w:tc>
          <w:tcPr>
            <w:tcW w:w="0" w:type="dxa"/>
            <w:vAlign w:val="bottom"/>
          </w:tcPr>
          <w:p>
            <w:pPr>
              <w:spacing w:after="0"/>
              <w:rPr>
                <w:sz w:val="1"/>
                <w:szCs w:val="1"/>
                <w:color w:val="auto"/>
              </w:rPr>
            </w:pPr>
          </w:p>
        </w:tc>
      </w:tr>
      <w:tr>
        <w:trPr>
          <w:trHeight w:val="117"/>
        </w:trPr>
        <w:tc>
          <w:tcPr>
            <w:tcW w:w="1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6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6"/>
        </w:trPr>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15—Benefit Plans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sponsor defined contribution plans that cover our domestic and international employees. During the years ended December 31, 2024, 2023 and 2022, we incurred $122.9 million, $117.5 million and $111.7 million, respectively, of employer contribution expenses under these plans. Additionally, we sponsor a defined benefit pension plan, which has total assets of $14.8 million and a net asset of $2.3 million as of December 31, 2024. The defined benefit pension plan we sponsor had total assets of $17.3 million and a net asset of $2.0 million as of December 31, 2023.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16—Basic and Diluted Earnings per Share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Earnings per share (“EPS”) is calculated in accordance with the relevant standards. Basic EPS includes no dilution and is computed by dividing income available to our common stockholders by the weighted-average number of common shares outstanding during the period. Diluted EPS is computed by dividing net income by the weighted-average number of common and common equivalent shares outstanding during the period. Common equivalent shares consist of stock options, SARs, RSUs and PSUs using the treasury stock method. Common equivalent shares are excluded from the computation of diluted earnings per share if the effect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right="180"/>
        <w:spacing w:after="0" w:line="266" w:lineRule="auto"/>
        <w:rPr>
          <w:sz w:val="20"/>
          <w:szCs w:val="20"/>
          <w:color w:val="auto"/>
        </w:rPr>
      </w:pPr>
      <w:r>
        <w:rPr>
          <w:rFonts w:ascii="Times New Roman" w:cs="Times New Roman" w:eastAsia="Times New Roman" w:hAnsi="Times New Roman"/>
          <w:sz w:val="18"/>
          <w:szCs w:val="18"/>
          <w:color w:val="auto"/>
        </w:rPr>
        <w:t>including such common equivalent shares would be anti-dilutive because their total assumed proceeds exceed the average fair value of common stock for the period. We have two classes of common stock, each with identical participation rights to earnings and liquidation preferences, and therefore the calculation of EPS as described above is identical to the calculation under the two-class method.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(in millions, except per share amounts):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SS&amp;C common stockholders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1093" w:right="339" w:bottom="1440" w:gutter="0" w:footer="0" w:header="0"/>
        </w:sectPr>
      </w:pPr>
    </w:p>
    <w:p>
      <w:pPr>
        <w:ind w:left="580"/>
        <w:spacing w:after="0"/>
        <w:rPr>
          <w:sz w:val="20"/>
          <w:szCs w:val="20"/>
          <w:color w:val="auto"/>
        </w:rPr>
      </w:pPr>
      <w:r>
        <w:rPr>
          <w:rFonts w:ascii="Times New Roman" w:cs="Times New Roman" w:eastAsia="Times New Roman" w:hAnsi="Times New Roman"/>
          <w:sz w:val="18"/>
          <w:szCs w:val="18"/>
          <w:color w:val="auto"/>
        </w:rPr>
        <w:t>Shares attributable to SS&amp;C: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jc w:val="both"/>
        <w:ind w:left="580"/>
        <w:spacing w:after="0" w:line="259" w:lineRule="auto"/>
        <w:rPr>
          <w:sz w:val="20"/>
          <w:szCs w:val="20"/>
          <w:color w:val="auto"/>
        </w:rPr>
      </w:pPr>
      <w:r>
        <w:rPr>
          <w:rFonts w:ascii="Times New Roman" w:cs="Times New Roman" w:eastAsia="Times New Roman" w:hAnsi="Times New Roman"/>
          <w:sz w:val="18"/>
          <w:szCs w:val="18"/>
          <w:color w:val="auto"/>
        </w:rPr>
        <w:t>Weighted-average common shares outstanding – used in calculation of basic EPS Weighted-average common stock equivalents – stock options and restricted shares Weighted-average common and common equivalent shares outstanding – used in calculation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-429260</wp:posOffset>
            </wp:positionV>
            <wp:extent cx="6412230" cy="1454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34"/>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85"/>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sectPr>
          <w:pgSz w:w="11900" w:h="16838" w:orient="portrait"/>
          <w:cols w:equalWidth="0" w:num="2">
            <w:col w:w="6520" w:space="460"/>
            <w:col w:w="4260"/>
          </w:cols>
          <w:pgMar w:left="320" w:top="1093" w:right="339" w:bottom="1440" w:gutter="0" w:footer="0" w:header="0"/>
          <w:type w:val="continuous"/>
        </w:sectPr>
      </w:pPr>
    </w:p>
    <w:tbl>
      <w:tblPr>
        <w:tblLayout w:type="fixed"/>
        <w:tblInd w:w="580" w:type="dxa"/>
        <w:tblCellMar>
          <w:top w:w="0" w:type="dxa"/>
          <w:left w:w="0" w:type="dxa"/>
          <w:bottom w:w="0" w:type="dxa"/>
          <w:right w:w="0" w:type="dxa"/>
        </w:tblCellMar>
      </w:tblPr>
      <w:tr>
        <w:trPr>
          <w:trHeight w:val="196"/>
        </w:trPr>
        <w:tc>
          <w:tcPr>
            <w:tcW w:w="58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SS&amp;C common stockholders – Basic</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SS&amp;C common stockholders – Diluted</w:t>
            </w:r>
          </w:p>
        </w:tc>
        <w:tc>
          <w:tcPr>
            <w:tcW w:w="9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5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5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r>
    </w:tbl>
    <w:p>
      <w:pPr>
        <w:spacing w:after="0" w:line="19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Weighted-average stock options, SARs, RSUs and PSUs representing 14.2 million, 23.4 million and 22.2 million shares were outstanding for the years ended December 31, 2024, 2023 and 2022, respectively, but were not included in the computation of diluted EPS because the effect of including them would be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sources of income before income taxes were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22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2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3"/>
        </w:trPr>
        <w:tc>
          <w:tcPr>
            <w:tcW w:w="5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income tax provision consists of the following (in millions):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42"/>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2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220" w:type="dxa"/>
            <w:vAlign w:val="bottom"/>
            <w:gridSpan w:val="2"/>
          </w:tcPr>
          <w:p>
            <w:pPr>
              <w:jc w:val="right"/>
              <w:ind w:right="8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tcPr>
          <w:p>
            <w:pPr>
              <w:spacing w:after="0"/>
              <w:rPr>
                <w:sz w:val="18"/>
                <w:szCs w:val="18"/>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(67.7 )</w:t>
            </w:r>
          </w:p>
        </w:tc>
        <w:tc>
          <w:tcPr>
            <w:tcW w:w="24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(53.9 )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(51.9 )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(14.9 )</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(20.8 )</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(32.8 )</w:t>
            </w:r>
          </w:p>
        </w:tc>
        <w:tc>
          <w:tcPr>
            <w:tcW w:w="24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(10.2 )</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(115.4 )</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(82.9 )</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(77.0 )</w:t>
            </w: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FF0FC"/>
              <w:right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8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95"/>
        </w:trPr>
        <w:tc>
          <w:tcPr>
            <w:tcW w:w="11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-3394075</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-3376930</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-3394075</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-3376930</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-3394075</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-3376930</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-2056765</wp:posOffset>
            </wp:positionV>
            <wp:extent cx="60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-2056765</wp:posOffset>
            </wp:positionV>
            <wp:extent cx="596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-2056765</wp:posOffset>
            </wp:positionV>
            <wp:extent cx="596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-1499235</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-1499235</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-1499235</wp:posOffset>
            </wp:positionV>
            <wp:extent cx="596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-1208405</wp:posOffset>
            </wp:positionV>
            <wp:extent cx="603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-1190625</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-1208405</wp:posOffset>
            </wp:positionV>
            <wp:extent cx="596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-1190625</wp:posOffset>
            </wp:positionV>
            <wp:extent cx="596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-1208405</wp:posOffset>
            </wp:positionV>
            <wp:extent cx="596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-1190625</wp:posOffset>
            </wp:positionV>
            <wp:extent cx="596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85" w:name="page86"/>
    <w:bookmarkEnd w:id="85"/>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between the expected tax expense and the actual tax provision is computed by applying the U.S. federal corporate income tax rate of 21% to income before income taxes as follows (in millions):</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32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Computed “expected” tax expense</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income tax expense resulting from:</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operations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Effects of stock based compensation</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(19.4 )</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valuation allowance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Uncertain tax positions</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(32.4 )</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(16.9 )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rate</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540" w:type="dxa"/>
            <w:vAlign w:val="bottom"/>
            <w:gridSpan w:val="12"/>
          </w:tcPr>
          <w:p>
            <w:pPr>
              <w:jc w:val="right"/>
              <w:ind w:right="53"/>
              <w:spacing w:after="0"/>
              <w:rPr>
                <w:sz w:val="20"/>
                <w:szCs w:val="20"/>
                <w:color w:val="auto"/>
              </w:rPr>
            </w:pPr>
            <w:r>
              <w:rPr>
                <w:rFonts w:ascii="Times New Roman" w:cs="Times New Roman" w:eastAsia="Times New Roman" w:hAnsi="Times New Roman"/>
                <w:sz w:val="18"/>
                <w:szCs w:val="18"/>
                <w:color w:val="auto"/>
                <w:w w:val="99"/>
              </w:rPr>
              <w:t>The components of deferred income taxes at December 31, 2024 and 2023 are as follows (in millions):</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80" w:type="dxa"/>
            <w:vAlign w:val="bottom"/>
          </w:tcPr>
          <w:p>
            <w:pPr>
              <w:spacing w:after="0"/>
              <w:rPr>
                <w:sz w:val="10"/>
                <w:szCs w:val="10"/>
                <w:color w:val="auto"/>
              </w:rPr>
            </w:pPr>
          </w:p>
        </w:tc>
        <w:tc>
          <w:tcPr>
            <w:tcW w:w="104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220" w:type="dxa"/>
            <w:vAlign w:val="bottom"/>
          </w:tcPr>
          <w:p>
            <w:pPr>
              <w:spacing w:after="0"/>
              <w:rPr>
                <w:sz w:val="10"/>
                <w:szCs w:val="10"/>
                <w:color w:val="auto"/>
              </w:rPr>
            </w:pPr>
          </w:p>
        </w:tc>
        <w:tc>
          <w:tcPr>
            <w:tcW w:w="1260" w:type="dxa"/>
            <w:vAlign w:val="bottom"/>
            <w:gridSpan w:val="5"/>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20" w:type="dxa"/>
            <w:vAlign w:val="bottom"/>
          </w:tcPr>
          <w:p>
            <w:pPr>
              <w:spacing w:after="0"/>
              <w:rPr>
                <w:sz w:val="10"/>
                <w:szCs w:val="10"/>
                <w:color w:val="auto"/>
              </w:rPr>
            </w:pPr>
          </w:p>
        </w:tc>
        <w:tc>
          <w:tcPr>
            <w:tcW w:w="920" w:type="dxa"/>
            <w:vAlign w:val="bottom"/>
            <w:gridSpan w:val="3"/>
          </w:tcPr>
          <w:p>
            <w:pPr>
              <w:jc w:val="center"/>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00" w:type="dxa"/>
            <w:vAlign w:val="bottom"/>
          </w:tcPr>
          <w:p>
            <w:pPr>
              <w:spacing w:after="0"/>
              <w:rPr>
                <w:sz w:val="10"/>
                <w:szCs w:val="10"/>
                <w:color w:val="auto"/>
              </w:rPr>
            </w:pPr>
          </w:p>
        </w:tc>
      </w:tr>
      <w:tr>
        <w:trPr>
          <w:trHeight w:val="148"/>
        </w:trPr>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80" w:type="dxa"/>
            <w:vAlign w:val="bottom"/>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220" w:type="dxa"/>
            <w:vAlign w:val="bottom"/>
          </w:tcPr>
          <w:p>
            <w:pPr>
              <w:spacing w:after="0"/>
              <w:rPr>
                <w:sz w:val="12"/>
                <w:szCs w:val="12"/>
                <w:color w:val="auto"/>
              </w:rPr>
            </w:pPr>
          </w:p>
        </w:tc>
        <w:tc>
          <w:tcPr>
            <w:tcW w:w="126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120" w:type="dxa"/>
            <w:vAlign w:val="bottom"/>
          </w:tcPr>
          <w:p>
            <w:pPr>
              <w:spacing w:after="0"/>
              <w:rPr>
                <w:sz w:val="12"/>
                <w:szCs w:val="12"/>
                <w:color w:val="auto"/>
              </w:rPr>
            </w:pPr>
          </w:p>
        </w:tc>
        <w:tc>
          <w:tcPr>
            <w:tcW w:w="10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r>
      <w:tr>
        <w:trPr>
          <w:trHeight w:val="17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5"/>
                <w:szCs w:val="15"/>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r>
      <w:tr>
        <w:trPr>
          <w:trHeight w:val="210"/>
        </w:trPr>
        <w:tc>
          <w:tcPr>
            <w:tcW w:w="6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6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carryforwards</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Leases</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Depreciable and amortizable property</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FF0FC"/>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52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22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100" w:type="dxa"/>
            <w:vAlign w:val="bottom"/>
            <w:tcBorders>
              <w:top w:val="single" w:sz="8" w:color="CFF0FC"/>
            </w:tcBorders>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(38.4 )</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(51.4 )</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 w:type="dxa"/>
            <w:vAlign w:val="bottom"/>
          </w:tcPr>
          <w:p>
            <w:pPr>
              <w:spacing w:after="0"/>
              <w:rPr>
                <w:sz w:val="18"/>
                <w:szCs w:val="18"/>
                <w:color w:val="auto"/>
              </w:rPr>
            </w:pPr>
          </w:p>
        </w:tc>
        <w:tc>
          <w:tcPr>
            <w:tcW w:w="52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22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6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100" w:type="dxa"/>
            <w:vAlign w:val="bottom"/>
            <w:tcBorders>
              <w:top w:val="single" w:sz="8" w:color="CFF0FC"/>
            </w:tcBorders>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-2519680</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-2502535</wp:posOffset>
            </wp:positionV>
            <wp:extent cx="603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-2519680</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-2502535</wp:posOffset>
            </wp:positionV>
            <wp:extent cx="603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-2519680</wp:posOffset>
            </wp:positionV>
            <wp:extent cx="596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-2502535</wp:posOffset>
            </wp:positionV>
            <wp:extent cx="596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-453390</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-453390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-453390</wp:posOffset>
            </wp:positionV>
            <wp:extent cx="603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603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2024 and 2023, we had accrued a deferred income tax liability for foreign withholding taxes of $9.6 million and $11.3 million, respectively, on the unremitted earnings of our major Canadian subsidiary and certain unconsolidated foreign affiliates we do not control and whose earnings cannot be considered permanently reinvested. We have not accrued any deferred income taxes for withholding, foreign local or U.S. state income taxes on the unremitted earnings of other foreign subsidiaries as those earnings are permanently reinvested.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December 31, 2024, we have domestic federal net operating loss carryforwards of $60.1 million, which will begin to expire in 2026 and state net operating loss carryforwards of $88.5 million, which will begin to expire in 2025. At December 31, 2024, we have foreign net operating loss carryforwards of $208.6 million, of which $196.6 million can be carried forward indefinitely. The remaining $12.0 million will begin to expire in 2025.</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At December 31, 2024, we have tax credit carryforwards of $35.1 million relating to domestic and foreign jurisdictions, of which $15.7 million relate to domestic tax credits that are expected to be utilized before they begin to expire in 2025, $16.4 million relate to domestic tax credits that are not expected to be utilized before they begin to expire in 2025, $2.4 million relate to foreign jurisdictions that are expected to be utilized before they begin to expire in 2027 and $0.6 million relate to foreign jurisdictions that are not expected to be utilized before they begin to expire in 2027. The domestic credits consist primarily of federal and state research and development credits and foreign tax credits, while the foreign credits consist primarily of minimum alternative tax credit carryforwards related to our India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 valuation allowance is recorded against deferred tax assets if, based on the weight of available evidence, it is more likely than not that some or all of the deferred tax assets will not be realized. We have recorded valuation allowances of $38.4 million and $51.4 million at December 31, 2024 and 2023, respectively, related primarily to certain foreign and state net operating loss carryforwards and tax credit carryforwards. The valuation allowance at December 31, 2023 also related to disallowed interest expense carryforwards. Of the $38.4 million valuation allowance recorded at December 31, 2024, $11.2 million relates to foreign attribute carryforwards that do not expire. The change in the valuation allowance from 2023 to 2024 is primarily due to the write-off of a valuation allowance on fully reserved interest carryforwards, partially offset by an increase in valuation allowance on tax credit carryforwards.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unrecognized tax benefits for the years ended December 31, 2024 and 2023 (in millions):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FF0FC"/>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Increases related to prior tax positions</w:t>
            </w:r>
          </w:p>
        </w:tc>
        <w:tc>
          <w:tcPr>
            <w:tcW w:w="7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Lapse in statute of limitation</w:t>
            </w:r>
          </w:p>
        </w:tc>
        <w:tc>
          <w:tcPr>
            <w:tcW w:w="7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(6.0 )</w:t>
            </w:r>
          </w:p>
        </w:tc>
      </w:tr>
      <w:tr>
        <w:trPr>
          <w:trHeight w:val="250"/>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47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7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Increases related to prior tax positions</w:t>
            </w:r>
          </w:p>
        </w:tc>
        <w:tc>
          <w:tcPr>
            <w:tcW w:w="7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Decreases related to prior tax positions</w:t>
            </w:r>
          </w:p>
        </w:tc>
        <w:tc>
          <w:tcPr>
            <w:tcW w:w="7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(23.2 )</w:t>
            </w: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Lapse in statute of limitation</w:t>
            </w:r>
          </w:p>
        </w:tc>
        <w:tc>
          <w:tcPr>
            <w:tcW w:w="7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(35.3 )</w:t>
            </w: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 translation adjustment</w:t>
            </w:r>
          </w:p>
        </w:tc>
        <w:tc>
          <w:tcPr>
            <w:tcW w:w="7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r>
      <w:tr>
        <w:trPr>
          <w:trHeight w:val="249"/>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-882015</wp:posOffset>
            </wp:positionV>
            <wp:extent cx="60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-864870</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recorded a net benefit of $12.9 million and accrued $3.0 million for potential penalties and interest on the unrecognized tax benefits during 2024 and 2023, respectively, and have recorded a total liability for potential penalties and interest, including penalties and interest related to unrecognized tax benefits, of $16.1 million and $32.1 million at December 31, 2024 and 2023, respectively. Our unrecognized tax benefits decreased from 2023 to 2024 due to a lapse in the statute of limitations for certain domestic and foreign tax filings, offset partially by an increase in current and prior year tax positions. Our unrecognized tax benefits increased from 2022 to 2023 due to increases in current and prior year tax positions, offset partially by a decrease due to a lapse in the statute of limitations for certain domestic and foreign tax filings. Our unrecognized tax benefits as of December 31, 2024 relate to domestic and foreign taxing jurisdictions and are recorded in other long-term liabilities on our Consolidated Balance Sheet at December 31, 2024.</w:t>
      </w:r>
    </w:p>
    <w:p>
      <w:pPr>
        <w:spacing w:after="0" w:line="18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Our U.S. federal income tax returns are currently under audit for tax years 2018 and 2019, while tax years 2021 through 2024 remain subject to examination. Various tax years from 2012 through 2024 are under, or are subject to, various state and foreign income tax examinations by taxing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18—Commitments and Contingencies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19—Segment and Geographic Information</w:t>
      </w:r>
    </w:p>
    <w:p>
      <w:pPr>
        <w:spacing w:after="0" w:line="121" w:lineRule="exact"/>
        <w:rPr>
          <w:sz w:val="20"/>
          <w:szCs w:val="20"/>
          <w:color w:val="auto"/>
        </w:rPr>
      </w:pPr>
    </w:p>
    <w:p>
      <w:pPr>
        <w:ind w:firstLine="554"/>
        <w:spacing w:after="0" w:line="258" w:lineRule="auto"/>
        <w:rPr>
          <w:sz w:val="20"/>
          <w:szCs w:val="20"/>
          <w:color w:val="auto"/>
        </w:rPr>
      </w:pPr>
      <w:r>
        <w:rPr>
          <w:rFonts w:ascii="Times New Roman" w:cs="Times New Roman" w:eastAsia="Times New Roman" w:hAnsi="Times New Roman"/>
          <w:sz w:val="18"/>
          <w:szCs w:val="18"/>
          <w:color w:val="auto"/>
        </w:rPr>
        <w:t>We operate in one operating segment and one reportable segment. Our CODM is our president and chief operating officer, who reviews financial information presented on a consolidated basis. Our CODM uses consolidated net income as the sole measure of segment profit or loss and to decide how to make resource allocation decisions. Significant segment expenses include cost of software-enabled services revenue cost of license, maintenance and related revenues, selling and marketing, research and development, and general and administrative expenses. For these significant and other segment expenses incurred during the years ended December 31, 2024, 2023, and 2022, refer to our Statements of Comprehensive Income.</w:t>
      </w:r>
    </w:p>
    <w:p>
      <w:pPr>
        <w:spacing w:after="0" w:line="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geographic regions consist of the (a) United States, (b) Europe, Middle East and Africa, (c) Asia Pacific and Japan, (d) Canada and (e) the Americas, excluding the United States and Canada.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ind w:left="520"/>
        <w:spacing w:after="0"/>
        <w:rPr>
          <w:sz w:val="20"/>
          <w:szCs w:val="20"/>
          <w:color w:val="auto"/>
        </w:rPr>
      </w:pPr>
      <w:r>
        <w:rPr>
          <w:rFonts w:ascii="Times New Roman" w:cs="Times New Roman" w:eastAsia="Times New Roman" w:hAnsi="Times New Roman"/>
          <w:sz w:val="18"/>
          <w:szCs w:val="18"/>
          <w:color w:val="auto"/>
        </w:rPr>
        <w:t>Long-lived assets as of December 31, were (in millions):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Asia-Pacific and Japan</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 excluding United States and Canada</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8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-170815</wp:posOffset>
            </wp:positionV>
            <wp:extent cx="514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514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Declared</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February 14, 2025, our Board of Directors declared a quarterly cash dividend of $0.25 per share of common stock payable on March 17, 2025 to stockholders of record as of the close of business on March 3,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2024.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of Management on Internal Control Over Financial Reporting</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the Company. Internal control over financial reporting is a process designed to provide reasonable assurance regarding the reliability of our financial reporting and the preparation of financial statements for external purposes in accordance with generally accepted accounting principles. Internal control over financial reporting includes policies and procedures that: 1) pertain to maintaining records that in reasonable detail accurately and fairly reflect our transactions and dispositions of assets; 2) provide reasonable assurance that transactions are recorded as necessary to permit preparation of our financial statements in accordance with generally accepted accounting principles and that receipts and expenditures are made in accordance with management and board of director authorization; and 3) provide reasonable assurance regarding the prevention or timely detection of unauthorized acquisition, use or disposition of company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ind w:right="5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Management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(2013) issued by the Committee of Sponsoring Organizations of the Treadway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8" w:name="page89"/>
    <w:bookmarkEnd w:id="88"/>
    <w:p>
      <w:pPr>
        <w:spacing w:after="0" w:line="258" w:lineRule="auto"/>
        <w:rPr>
          <w:sz w:val="20"/>
          <w:szCs w:val="20"/>
          <w:color w:val="auto"/>
        </w:rPr>
      </w:pPr>
      <w:r>
        <w:rPr>
          <w:rFonts w:ascii="Times New Roman" w:cs="Times New Roman" w:eastAsia="Times New Roman" w:hAnsi="Times New Roman"/>
          <w:sz w:val="18"/>
          <w:szCs w:val="18"/>
          <w:color w:val="auto"/>
        </w:rPr>
        <w:t>Commission. Based on this evaluation, management concluded that our internal control over financial reporting was effective as of December 31, 2024. In September 2024, we acquired the assets of Battea. Management has excluded Battea from its assessment of internal control over financial reporting as of December 31, 2024 because they were acquired by us in a purchase business combination during 2024. Battea and its related entities are our wholly-owned subsidiaries whose total assets and total revenues represent 1% and less than 1%, respectively, of the Consolidated Financial Statement amounts as of and for the year ended December 31, 2024.</w:t>
      </w:r>
    </w:p>
    <w:p>
      <w:pPr>
        <w:spacing w:after="0" w:line="18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public accounting firm, as stated in their report, which is included herein.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defined in Rules 13a-15(f) and 15d-15(f) under the Exchange Act) that occurred during the fiscal quarter ended December 31,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the 2025 annual meeting of stockholders, which we intend to file within 120 days after the end of the fiscal year to which this annual report on Form 10-K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the 2025 annual meeting of stockholders, which we intend to file within 120 days after the end of the fiscal year to which this annual report on Form 10-K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the 2025 annual meeting of stockholders, which we intend to file within 120 days after the end of the fiscal year to which this annual report on Form 10-K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the 2025 annual meeting of stockholders, which we intend to file within 120 days after the end of the fiscal year to which this annual report on Form 10-K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the 2025 annual meeting of stockholders, which we intend to file within 120 days after the end of the fiscal year to which this annual report on Form 10-K relates.</w:t>
      </w: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 AND FINANCIAL STATEMENT SCHEDULES</w:t>
      </w:r>
    </w:p>
    <w:p>
      <w:pPr>
        <w:spacing w:after="0" w:line="229" w:lineRule="exact"/>
        <w:rPr>
          <w:sz w:val="20"/>
          <w:szCs w:val="20"/>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1220" w:hanging="374"/>
        <w:spacing w:after="0"/>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 See Index to Financial Statements in Item 8 of this Report.</w:t>
      </w:r>
    </w:p>
    <w:p>
      <w:pPr>
        <w:spacing w:after="0" w:line="225" w:lineRule="exact"/>
        <w:rPr>
          <w:rFonts w:ascii="Times New Roman" w:cs="Times New Roman" w:eastAsia="Times New Roman" w:hAnsi="Times New Roman"/>
          <w:sz w:val="18"/>
          <w:szCs w:val="18"/>
          <w:color w:val="auto"/>
        </w:rPr>
      </w:pPr>
    </w:p>
    <w:p>
      <w:pPr>
        <w:ind w:left="1220" w:right="40" w:hanging="374"/>
        <w:spacing w:after="0" w:line="282"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 All financial statement schedules are not submitted because they are not applicable, not required or the information is included in our Consolidated Financial Statements.</w:t>
      </w:r>
    </w:p>
    <w:p>
      <w:pPr>
        <w:spacing w:after="0" w:line="161" w:lineRule="exact"/>
        <w:rPr>
          <w:rFonts w:ascii="Times New Roman" w:cs="Times New Roman" w:eastAsia="Times New Roman" w:hAnsi="Times New Roman"/>
          <w:sz w:val="18"/>
          <w:szCs w:val="18"/>
          <w:color w:val="auto"/>
        </w:rPr>
      </w:pPr>
    </w:p>
    <w:p>
      <w:pPr>
        <w:ind w:left="1220" w:hanging="374"/>
        <w:spacing w:after="0"/>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 See the Exhibit listing below.</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8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ind w:right="380"/>
        <w:spacing w:after="0" w:line="262" w:lineRule="auto"/>
        <w:rPr>
          <w:rFonts w:ascii="Times New Roman" w:cs="Times New Roman" w:eastAsia="Times New Roman" w:hAnsi="Times New Roman"/>
          <w:sz w:val="18"/>
          <w:szCs w:val="18"/>
          <w:u w:val="single" w:color="auto"/>
          <w:color w:val="0000FF"/>
        </w:rPr>
      </w:pPr>
      <w:hyperlink r:id="rId417">
        <w:r>
          <w:rPr>
            <w:rFonts w:ascii="Times New Roman" w:cs="Times New Roman" w:eastAsia="Times New Roman" w:hAnsi="Times New Roman"/>
            <w:sz w:val="18"/>
            <w:szCs w:val="18"/>
            <w:u w:val="single" w:color="auto"/>
            <w:color w:val="0000FF"/>
          </w:rPr>
          <w:t>Restated Certificate of Incorporation of the Registrant is incorporated herein by reference to Exhibit 3.1 to the Company’s Quarterly</w:t>
        </w:r>
      </w:hyperlink>
      <w:r>
        <w:rPr>
          <w:rFonts w:ascii="Times New Roman" w:cs="Times New Roman" w:eastAsia="Times New Roman" w:hAnsi="Times New Roman"/>
          <w:sz w:val="18"/>
          <w:szCs w:val="18"/>
          <w:u w:val="single" w:color="auto"/>
          <w:color w:val="0000FF"/>
        </w:rPr>
        <w:t xml:space="preserve"> </w:t>
      </w:r>
      <w:hyperlink r:id="rId417">
        <w:r>
          <w:rPr>
            <w:rFonts w:ascii="Times New Roman" w:cs="Times New Roman" w:eastAsia="Times New Roman" w:hAnsi="Times New Roman"/>
            <w:sz w:val="18"/>
            <w:szCs w:val="18"/>
            <w:u w:val="single" w:color="auto"/>
            <w:color w:val="0000FF"/>
          </w:rPr>
          <w:t>Report on Form 10-Q, filed on August 5, 2016 (File No. 001-34675)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60788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6078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-30480</wp:posOffset>
            </wp:positionV>
            <wp:extent cx="31356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3135630" cy="8255"/>
                    </a:xfrm>
                    <a:prstGeom prst="rect">
                      <a:avLst/>
                    </a:prstGeom>
                    <a:noFill/>
                  </pic:spPr>
                </pic:pic>
              </a:graphicData>
            </a:graphic>
          </wp:anchor>
        </w:drawing>
      </w:r>
    </w:p>
    <w:p>
      <w:pPr>
        <w:ind w:right="220"/>
        <w:spacing w:after="0" w:line="266" w:lineRule="auto"/>
        <w:rPr>
          <w:rFonts w:ascii="Times New Roman" w:cs="Times New Roman" w:eastAsia="Times New Roman" w:hAnsi="Times New Roman"/>
          <w:sz w:val="18"/>
          <w:szCs w:val="18"/>
          <w:u w:val="single" w:color="auto"/>
          <w:color w:val="0000FF"/>
        </w:rPr>
      </w:pPr>
      <w:hyperlink r:id="rId420">
        <w:r>
          <w:rPr>
            <w:rFonts w:ascii="Times New Roman" w:cs="Times New Roman" w:eastAsia="Times New Roman" w:hAnsi="Times New Roman"/>
            <w:sz w:val="18"/>
            <w:szCs w:val="18"/>
            <w:u w:val="single" w:color="auto"/>
            <w:color w:val="0000FF"/>
          </w:rPr>
          <w:t>Second Amended and Restated Bylaws of the Registrant are incorporated herein by reference to Exhibit 3.1 to the Registrant's Current</w:t>
        </w:r>
      </w:hyperlink>
      <w:r>
        <w:rPr>
          <w:rFonts w:ascii="Times New Roman" w:cs="Times New Roman" w:eastAsia="Times New Roman" w:hAnsi="Times New Roman"/>
          <w:sz w:val="18"/>
          <w:szCs w:val="18"/>
          <w:u w:val="single" w:color="auto"/>
          <w:color w:val="0000FF"/>
        </w:rPr>
        <w:t xml:space="preserve"> </w:t>
      </w:r>
      <w:hyperlink r:id="rId420">
        <w:r>
          <w:rPr>
            <w:rFonts w:ascii="Times New Roman" w:cs="Times New Roman" w:eastAsia="Times New Roman" w:hAnsi="Times New Roman"/>
            <w:sz w:val="18"/>
            <w:szCs w:val="18"/>
            <w:u w:val="single" w:color="auto"/>
            <w:color w:val="0000FF"/>
          </w:rPr>
          <w:t>Report on Form 8-K, filed on November 22, 2022 (File No. 001-34675)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61791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61791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-30480</wp:posOffset>
            </wp:positionV>
            <wp:extent cx="33159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3315970" cy="8890"/>
                    </a:xfrm>
                    <a:prstGeom prst="rect">
                      <a:avLst/>
                    </a:prstGeom>
                    <a:noFill/>
                  </pic:spPr>
                </pic:pic>
              </a:graphicData>
            </a:graphic>
          </wp:anchor>
        </w:drawing>
      </w:r>
    </w:p>
    <w:p>
      <w:pPr>
        <w:ind w:right="120"/>
        <w:spacing w:after="0" w:line="260" w:lineRule="auto"/>
        <w:rPr>
          <w:rFonts w:ascii="Times New Roman" w:cs="Times New Roman" w:eastAsia="Times New Roman" w:hAnsi="Times New Roman"/>
          <w:sz w:val="18"/>
          <w:szCs w:val="18"/>
          <w:u w:val="single" w:color="auto"/>
          <w:color w:val="0000FF"/>
        </w:rPr>
      </w:pPr>
      <w:hyperlink r:id="rId423">
        <w:r>
          <w:rPr>
            <w:rFonts w:ascii="Times New Roman" w:cs="Times New Roman" w:eastAsia="Times New Roman" w:hAnsi="Times New Roman"/>
            <w:sz w:val="18"/>
            <w:szCs w:val="18"/>
            <w:u w:val="single" w:color="auto"/>
            <w:color w:val="0000FF"/>
          </w:rPr>
          <w:t>Indenture, dated as of March 28, 2019, among SS&amp;C Technologies, Inc., SS&amp;C Technologies Holdings, Inc., the other guarantors party</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thereto and Wilmington Trust, National Association, as trustee is incorporated by reference to Exhibit 4.1 to the Registrant’s Current</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Report on Form 8-K, filed on March 28, 2019 (File No. 001-34675)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-303530</wp:posOffset>
            </wp:positionV>
            <wp:extent cx="62445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62445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-166370</wp:posOffset>
            </wp:positionV>
            <wp:extent cx="60985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60985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310324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ind w:right="40"/>
        <w:spacing w:after="0" w:line="266" w:lineRule="auto"/>
        <w:rPr>
          <w:rFonts w:ascii="Times New Roman" w:cs="Times New Roman" w:eastAsia="Times New Roman" w:hAnsi="Times New Roman"/>
          <w:sz w:val="18"/>
          <w:szCs w:val="18"/>
          <w:u w:val="single" w:color="auto"/>
          <w:color w:val="0000FF"/>
        </w:rPr>
      </w:pPr>
      <w:hyperlink r:id="rId423">
        <w:r>
          <w:rPr>
            <w:rFonts w:ascii="Times New Roman" w:cs="Times New Roman" w:eastAsia="Times New Roman" w:hAnsi="Times New Roman"/>
            <w:sz w:val="18"/>
            <w:szCs w:val="18"/>
            <w:u w:val="single" w:color="auto"/>
            <w:color w:val="0000FF"/>
          </w:rPr>
          <w:t>Form of 5.500% Senior Notes due 2027 is incorporated by reference to Exhibit 4.2 to the Registrant’s Current Report on Form 8-K, filed</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on March 28, 2019 (File No. 001-34675)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628904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-30480</wp:posOffset>
            </wp:positionV>
            <wp:extent cx="18719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1871980" cy="8255"/>
                    </a:xfrm>
                    <a:prstGeom prst="rect">
                      <a:avLst/>
                    </a:prstGeom>
                    <a:noFill/>
                  </pic:spPr>
                </pic:pic>
              </a:graphicData>
            </a:graphic>
          </wp:anchor>
        </w:drawing>
      </w:r>
    </w:p>
    <w:p>
      <w:pPr>
        <w:spacing w:after="0" w:line="266" w:lineRule="auto"/>
        <w:rPr>
          <w:rFonts w:ascii="Times New Roman" w:cs="Times New Roman" w:eastAsia="Times New Roman" w:hAnsi="Times New Roman"/>
          <w:sz w:val="18"/>
          <w:szCs w:val="18"/>
          <w:u w:val="single" w:color="auto"/>
          <w:color w:val="0000FF"/>
        </w:rPr>
      </w:pPr>
      <w:hyperlink r:id="rId429">
        <w:r>
          <w:rPr>
            <w:rFonts w:ascii="Times New Roman" w:cs="Times New Roman" w:eastAsia="Times New Roman" w:hAnsi="Times New Roman"/>
            <w:sz w:val="18"/>
            <w:szCs w:val="18"/>
            <w:u w:val="single" w:color="auto"/>
            <w:color w:val="0000FF"/>
          </w:rPr>
          <w:t>Description of Securities Registered Pursuant to Section 12 of the Securities Exchange Act of 1934 in incorporated herein by reference to</w:t>
        </w:r>
      </w:hyperlink>
      <w:r>
        <w:rPr>
          <w:rFonts w:ascii="Times New Roman" w:cs="Times New Roman" w:eastAsia="Times New Roman" w:hAnsi="Times New Roman"/>
          <w:sz w:val="18"/>
          <w:szCs w:val="18"/>
          <w:u w:val="single" w:color="auto"/>
          <w:color w:val="0000FF"/>
        </w:rPr>
        <w:t xml:space="preserve"> </w:t>
      </w:r>
      <w:hyperlink r:id="rId429">
        <w:r>
          <w:rPr>
            <w:rFonts w:ascii="Times New Roman" w:cs="Times New Roman" w:eastAsia="Times New Roman" w:hAnsi="Times New Roman"/>
            <w:sz w:val="18"/>
            <w:szCs w:val="18"/>
            <w:u w:val="single" w:color="auto"/>
            <w:color w:val="0000FF"/>
          </w:rPr>
          <w:t>Exhibit 4.3 to the Company’s Annual Report on Form 10-K, filed on February 28, 2020 (File No. 001-34675)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63169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6316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-30480</wp:posOffset>
            </wp:positionV>
            <wp:extent cx="50171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5017135" cy="8255"/>
                    </a:xfrm>
                    <a:prstGeom prst="rect">
                      <a:avLst/>
                    </a:prstGeom>
                    <a:noFill/>
                  </pic:spPr>
                </pic:pic>
              </a:graphicData>
            </a:graphic>
          </wp:anchor>
        </w:drawing>
      </w:r>
    </w:p>
    <w:p>
      <w:pPr>
        <w:ind w:right="640"/>
        <w:spacing w:after="0" w:line="282" w:lineRule="auto"/>
        <w:rPr>
          <w:rFonts w:ascii="Times New Roman" w:cs="Times New Roman" w:eastAsia="Times New Roman" w:hAnsi="Times New Roman"/>
          <w:sz w:val="18"/>
          <w:szCs w:val="18"/>
          <w:u w:val="single" w:color="auto"/>
          <w:color w:val="0000FF"/>
        </w:rPr>
      </w:pPr>
      <w:hyperlink r:id="rId432">
        <w:r>
          <w:rPr>
            <w:rFonts w:ascii="Times New Roman" w:cs="Times New Roman" w:eastAsia="Times New Roman" w:hAnsi="Times New Roman"/>
            <w:sz w:val="18"/>
            <w:szCs w:val="18"/>
            <w:u w:val="single" w:color="auto"/>
            <w:color w:val="0000FF"/>
          </w:rPr>
          <w:t>Credit Agreement, dated as of July 8, 2015, by and among SS&amp;C Technologies Holdings, Inc., SS&amp;C Technologies, Inc., SS&amp;C</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European Holdings S.a R.L, SS&amp;C Technologies Holdings Europe S.a R.L., certain of SS&amp;C’s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-185420</wp:posOffset>
            </wp:positionV>
            <wp:extent cx="591502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-48260</wp:posOffset>
            </wp:positionV>
            <wp:extent cx="438594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4385945" cy="8255"/>
                    </a:xfrm>
                    <a:prstGeom prst="rect">
                      <a:avLst/>
                    </a:prstGeom>
                    <a:noFill/>
                  </pic:spPr>
                </pic:pic>
              </a:graphicData>
            </a:graphic>
          </wp:anchor>
        </w:drawing>
      </w:r>
    </w:p>
    <w:p>
      <w:pPr>
        <w:spacing w:after="0" w:line="1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758825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 w:space="720"/>
            <w:col w:w="9900"/>
          </w:cols>
          <w:pgMar w:left="320" w:top="981" w:right="4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subsidiaries, Deutsche Bank AG New York Branch and certain Lenders and L/C Issuers party thereto is incorporated herein by reference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to Exhibit 10.2 of the Registrants Current Report on Form 8-K, filed on July 8, 2015 (File No. 001-34675)</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Amendment No. 1 to the Credit Agreement, dated as of March 2, 2017, by and among SS&amp;C Technologies Holdings, Inc., SS&amp;C</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Technologies, Inc., SS&amp;C European Holdings S.a R.L, SS&amp;C Technologies Holdings Europe S.a R.L., certain of SS&amp;C’s subsidiaries,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Deutsche Bank AG New York Branch and certain Lenders and L/C Issuers party thereto is incorporated herein by reference to Exhibit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Current Report on Form 8-K, filed on March 6, 2017 (File No. 001-34675)</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Second Amendment to Credit Agreement, dated as of March 9, 2018, among SS&amp;C Technologies Holdings, Inc., SS&amp;C Technologies,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Inc., SS&amp;C European Holdings S.a R.L, SS&amp;C Technologies Holdings Europe S.a R.L., the Company’s other subsidiaries party thereto,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Credit Suisse AG, Cayman Islands Branch, as administrative agent, and the lenders and L/C issuers party thereto (Exhibit A thereto is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incorporated herein by reference to Exhibit 10.1 to the Registrant’s Current Report on Form 8-K, filed on April 16, 2018 (File No. 001-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gridSpan w:val="2"/>
          </w:tcPr>
          <w:p>
            <w:pPr>
              <w:spacing w:after="0" w:line="196" w:lineRule="exact"/>
              <w:rPr>
                <w:rFonts w:ascii="Times New Roman" w:cs="Times New Roman" w:eastAsia="Times New Roman" w:hAnsi="Times New Roman"/>
                <w:sz w:val="18"/>
                <w:szCs w:val="18"/>
                <w:color w:val="0000FF"/>
                <w:w w:val="94"/>
              </w:rPr>
            </w:pPr>
            <w:hyperlink r:id="rId437">
              <w:r>
                <w:rPr>
                  <w:rFonts w:ascii="Times New Roman" w:cs="Times New Roman" w:eastAsia="Times New Roman" w:hAnsi="Times New Roman"/>
                  <w:sz w:val="18"/>
                  <w:szCs w:val="18"/>
                  <w:color w:val="0000FF"/>
                  <w:w w:val="94"/>
                </w:rPr>
                <w:t>34675)</w:t>
              </w:r>
              <w:r>
                <w:rPr>
                  <w:rFonts w:ascii="Times New Roman" w:cs="Times New Roman" w:eastAsia="Times New Roman" w:hAnsi="Times New Roman"/>
                  <w:sz w:val="18"/>
                  <w:szCs w:val="18"/>
                  <w:u w:val="single" w:color="auto"/>
                  <w:color w:val="0000FF"/>
                  <w:w w:val="94"/>
                </w:rPr>
                <w:t>)</w:t>
              </w:r>
            </w:hyperlink>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Commitment Increase Amendment, dated as of October 1, 2018, among SS&amp;C Technologies Holdings, Inc., certain of its subsidiaries and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Credit Suisse AG, Cayman Islands Branch, as administrative agent and lender is incorporated by reference to Exhibit 10.1 to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Registrant’s Current Report on Form 8-K, filed on October 5, 2018 (File No. 001-34675)</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8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Commitment Increase Amendment, dated as of November 16, 2018, among SS&amp;C Technologies Holdings, Inc., certain of its subsidiaries,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Credit Suisse AG, Cayman Islands Branch, as administrative agent, and Deutsche Bank AG New York Branch, as lender</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Stockholders Agreement, dated as of November 23, 2005, by and among the Registrant, Carlyle Partners IV, L.P., CP IV Coinvestment,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L.P., William C. Stone and Other Executive Stockholders (as defined therein) is incorporated herein by reference to Exhibit 10.5 to SS&amp;C</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Technologies, Inc’s Registration Statement on Form S-4, as amended (File No. 333-135139) (the “2006 Form S-4”)</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Amendment No. 1, dated April 22, 2008, to the Stockholders Agreement dated as of November 23, 2005, by and among the Registrant,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Carlyle Partners IV, L.P., CP IV Coinvestment, L.P. and William C. Stone is incorporated herein by reference to Exhibit 10.28 to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Registrant’s Registration Statement on Form S-1, as amended (File No. 333-143719) (the “2008 Form S-1”)</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Amendment No. 2, dated March 2, 2010, to the Stockholders Agreement dated as of November 23, 2005, as amended by Amendment No.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1 to the Stockholders Agreement dated April 22, 2008, by and among the Registrant, Carlyle Partners IV, L.P., CP IV Coinvestment, L.P.</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and William C. Stone is incorporated herein by reference to Exhibit 10.1 to SS&amp;C Technologies, Inc.’s Current Report on Form 8-K, filed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on March 2, 2010 (File No. 000-28430) (the “March 2, 2010 8-K”)</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Amendment No. 3, dated March 10, 2011, to the Stockholders Agreement dated as of November 23, 2005, as amended by Amendment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gridSpan w:val="2"/>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No. 1 to the Stockholders Agreement dated April 22, 2008, and Amendment No. 2 to the Stockholders Agreement dated March 2, 2010,</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gridSpan w:val="2"/>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by and among the Registrant, Carlyle Partners IV, L.P., CP IV Coinvestment, L.P. and William C. Stone is incorporated herein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gridSpan w:val="2"/>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reference to Exhibit 10.35 to SS&amp;C Technologies, Inc.’s Annual Report on Form 10-K for the year ended December 31, 2010 (File No.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840" w:type="dxa"/>
            <w:vAlign w:val="bottom"/>
            <w:gridSpan w:val="3"/>
          </w:tcPr>
          <w:p>
            <w:pPr>
              <w:spacing w:after="0" w:line="196" w:lineRule="exact"/>
              <w:rPr>
                <w:rFonts w:ascii="Times New Roman" w:cs="Times New Roman" w:eastAsia="Times New Roman" w:hAnsi="Times New Roman"/>
                <w:sz w:val="18"/>
                <w:szCs w:val="18"/>
                <w:color w:val="0000FF"/>
                <w:w w:val="97"/>
              </w:rPr>
            </w:pPr>
            <w:hyperlink r:id="rId443">
              <w:r>
                <w:rPr>
                  <w:rFonts w:ascii="Times New Roman" w:cs="Times New Roman" w:eastAsia="Times New Roman" w:hAnsi="Times New Roman"/>
                  <w:sz w:val="18"/>
                  <w:szCs w:val="18"/>
                  <w:color w:val="0000FF"/>
                  <w:w w:val="97"/>
                </w:rPr>
                <w:t>000-28430)</w:t>
              </w:r>
            </w:hyperlink>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Registration Rights Agreement, dated as of November 23, 2005, by and among the Registrant, Carlyle Partners IV, L.P., CP IV</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gridSpan w:val="2"/>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Coinvestment, L.P., William C. Stone and Other Executive Investors (as defined therein) is incorporated herein by reference to Exhibit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gridSpan w:val="2"/>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to the 2006 Form S-4</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Registration Rights Agreement, dated as of November 16, 2018, by and between the Impala Private Holdings I, LLC and SS&amp;C</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gridSpan w:val="2"/>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Technologies Holdings, Inc. is incorporated herein by reference to Exhibit 10.1 to the Registrant’s Current Report on Form 8-K filed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gridSpan w:val="2"/>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November 16, 2018 (File No. 001-34675)</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Employment Agreement, dated as of March 11, 2010, by and among William C. Stone, the Registrant and SS&amp;C Technologies, Inc. is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right w:val="single" w:sz="8" w:color="0000FF"/>
            </w:tcBorders>
            <w:gridSpan w:val="4"/>
            <w:shd w:val="clear" w:color="auto" w:fill="0000FF"/>
          </w:tcPr>
          <w:p>
            <w:pPr>
              <w:spacing w:after="0" w:line="20" w:lineRule="exact"/>
              <w:rPr>
                <w:sz w:val="1"/>
                <w:szCs w:val="1"/>
                <w:color w:val="auto"/>
              </w:rPr>
            </w:pPr>
          </w:p>
        </w:tc>
        <w:tc>
          <w:tcPr>
            <w:tcW w:w="3200" w:type="dxa"/>
            <w:vAlign w:val="bottom"/>
            <w:tcBorders>
              <w:right w:val="single" w:sz="8" w:color="0000FF"/>
            </w:tcBorders>
            <w:gridSpan w:val="3"/>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incorporated herein by reference to Exhibit 10.27 to the 2010 Form S-1</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tcBorders>
              <w:right w:val="single" w:sz="8" w:color="0000FF"/>
            </w:tcBorders>
            <w:gridSpan w:val="4"/>
            <w:shd w:val="clear" w:color="auto" w:fill="0000FF"/>
          </w:tcPr>
          <w:p>
            <w:pPr>
              <w:spacing w:after="0" w:line="20" w:lineRule="exact"/>
              <w:rPr>
                <w:sz w:val="1"/>
                <w:szCs w:val="1"/>
                <w:color w:val="auto"/>
              </w:rPr>
            </w:pPr>
          </w:p>
        </w:tc>
        <w:tc>
          <w:tcPr>
            <w:tcW w:w="3200" w:type="dxa"/>
            <w:vAlign w:val="bottom"/>
            <w:tcBorders>
              <w:right w:val="single" w:sz="8" w:color="0000EE"/>
            </w:tcBorders>
            <w:gridSpan w:val="3"/>
            <w:shd w:val="clear" w:color="auto" w:fill="0000FF"/>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First Amended and Restated Employment Agreement, dated as of March 31, 2015, between SS&amp;C Technologies Holdings, Inc. and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right w:val="single" w:sz="8" w:color="0000FF"/>
            </w:tcBorders>
            <w:gridSpan w:val="4"/>
            <w:shd w:val="clear" w:color="auto" w:fill="0000FF"/>
          </w:tcPr>
          <w:p>
            <w:pPr>
              <w:spacing w:after="0" w:line="20" w:lineRule="exact"/>
              <w:rPr>
                <w:sz w:val="1"/>
                <w:szCs w:val="1"/>
                <w:color w:val="auto"/>
              </w:rPr>
            </w:pPr>
          </w:p>
        </w:tc>
        <w:tc>
          <w:tcPr>
            <w:tcW w:w="6660" w:type="dxa"/>
            <w:vAlign w:val="bottom"/>
            <w:gridSpan w:val="9"/>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William C. Stone is incorporated herein by reference to Exhibit 99.1 to the Registrant’s Current Report on Form 8-K, filed on April 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right w:val="single" w:sz="8" w:color="0000FF"/>
            </w:tcBorders>
            <w:gridSpan w:val="4"/>
            <w:shd w:val="clear" w:color="auto" w:fill="0000FF"/>
          </w:tcPr>
          <w:p>
            <w:pPr>
              <w:spacing w:after="0" w:line="20" w:lineRule="exact"/>
              <w:rPr>
                <w:sz w:val="1"/>
                <w:szCs w:val="1"/>
                <w:color w:val="auto"/>
              </w:rPr>
            </w:pPr>
          </w:p>
        </w:tc>
        <w:tc>
          <w:tcPr>
            <w:tcW w:w="6660" w:type="dxa"/>
            <w:vAlign w:val="bottom"/>
            <w:gridSpan w:val="9"/>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2015 (File No. 001-34675)</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6660" w:type="dxa"/>
            <w:vAlign w:val="bottom"/>
            <w:gridSpan w:val="9"/>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Offer Letter dated July 1, 2023, between Brian N. Schell and SS&amp;C Technologies Holdings, Inc. is incorporated herein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0" w:type="dxa"/>
            <w:vAlign w:val="bottom"/>
            <w:gridSpan w:val="1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00" w:type="dxa"/>
            <w:vAlign w:val="bottom"/>
            <w:gridSpan w:val="26"/>
          </w:tcPr>
          <w:p>
            <w:pPr>
              <w:spacing w:after="0" w:line="196" w:lineRule="exact"/>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Exhibit 10.1 to the Registrant’s Quarterly Report on Form 10-Q for the quarter ended September 30, 2023 (File No. 001-34675)</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0" w:type="dxa"/>
            <w:vAlign w:val="bottom"/>
            <w:gridSpan w:val="1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26"/>
          </w:tcPr>
          <w:p>
            <w:pPr>
              <w:spacing w:after="0"/>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Form of Director Indemnification Agreement is incorporated herein by reference to Exhibit 10.35 to the 2010 Form S-1</w:t>
              </w:r>
            </w:hyperlink>
          </w:p>
        </w:tc>
        <w:tc>
          <w:tcPr>
            <w:tcW w:w="0" w:type="dxa"/>
            <w:vAlign w:val="bottom"/>
          </w:tcPr>
          <w:p>
            <w:pPr>
              <w:spacing w:after="0"/>
              <w:rPr>
                <w:sz w:val="1"/>
                <w:szCs w:val="1"/>
                <w:color w:val="auto"/>
              </w:rPr>
            </w:pPr>
          </w:p>
        </w:tc>
      </w:tr>
      <w:tr>
        <w:trPr>
          <w:trHeight w:val="466"/>
        </w:trPr>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top w:val="single" w:sz="8" w:color="0000FF"/>
            </w:tcBorders>
            <w:gridSpan w:val="6"/>
          </w:tcPr>
          <w:p>
            <w:pPr>
              <w:jc w:val="right"/>
              <w:ind w:right="36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820" w:type="dxa"/>
            <w:vAlign w:val="bottom"/>
            <w:gridSpan w:val="5"/>
          </w:tcPr>
          <w:p>
            <w:pPr>
              <w:spacing w:after="0"/>
              <w:rPr>
                <w:rFonts w:ascii="Times New Roman" w:cs="Times New Roman" w:eastAsia="Times New Roman" w:hAnsi="Times New Roman"/>
                <w:sz w:val="18"/>
                <w:szCs w:val="18"/>
                <w:color w:val="0000FF"/>
                <w:w w:val="99"/>
              </w:rPr>
            </w:pPr>
            <w:hyperlink r:id="rId452">
              <w:r>
                <w:rPr>
                  <w:rFonts w:ascii="Times New Roman" w:cs="Times New Roman" w:eastAsia="Times New Roman" w:hAnsi="Times New Roman"/>
                  <w:sz w:val="18"/>
                  <w:szCs w:val="18"/>
                  <w:color w:val="0000FF"/>
                  <w:w w:val="99"/>
                </w:rPr>
                <w:t>2006 Equity Incentive Plan is incorporated herein by reference to Exhibit 10.1 to SS&amp;C Technologies, Inc.’s Current Report on Form 8-</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7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p>
        </w:tc>
        <w:tc>
          <w:tcPr>
            <w:tcW w:w="9820" w:type="dxa"/>
            <w:vAlign w:val="bottom"/>
            <w:gridSpan w:val="5"/>
          </w:tcPr>
          <w:p>
            <w:pPr>
              <w:spacing w:after="0" w:line="196" w:lineRule="exact"/>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K, filed on August 15, 2006 (File No. 000-28430) (the “August 15, 2006 8-K”)</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7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9820" w:type="dxa"/>
            <w:vAlign w:val="bottom"/>
            <w:gridSpan w:val="5"/>
          </w:tcPr>
          <w:p>
            <w:pPr>
              <w:spacing w:after="0"/>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Forms of 2006 Equity Incentive Plan Amended and Restated Stock Option Grant Notice and Amended and Restated Stock Option</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40" w:type="dxa"/>
            <w:vAlign w:val="bottom"/>
            <w:tcBorders>
              <w:right w:val="single" w:sz="8" w:color="0000FF"/>
            </w:tcBorders>
            <w:gridSpan w:val="2"/>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820" w:type="dxa"/>
            <w:vAlign w:val="bottom"/>
            <w:gridSpan w:val="5"/>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Agreement are incorporated herein by reference to Exhibit 10.2 to the March 2, 2010 8-K</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7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98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20" w:lineRule="exact"/>
        <w:rPr>
          <w:sz w:val="20"/>
          <w:szCs w:val="20"/>
          <w:color w:val="auto"/>
        </w:rPr>
      </w:pPr>
      <w:r>
        <w:rPr>
          <w:sz w:val="20"/>
          <w:szCs w:val="20"/>
          <w:color w:val="auto"/>
        </w:rPr>
        <w:br w:type="column"/>
      </w:r>
    </w:p>
    <w:p>
      <w:pPr>
        <w:ind w:right="1900"/>
        <w:spacing w:after="0" w:line="281" w:lineRule="auto"/>
        <w:rPr>
          <w:rFonts w:ascii="Times New Roman" w:cs="Times New Roman" w:eastAsia="Times New Roman" w:hAnsi="Times New Roman"/>
          <w:sz w:val="18"/>
          <w:szCs w:val="18"/>
          <w:u w:val="single" w:color="auto"/>
          <w:color w:val="0000FF"/>
        </w:rPr>
      </w:pPr>
      <w:hyperlink r:id="rId454">
        <w:r>
          <w:rPr>
            <w:rFonts w:ascii="Times New Roman" w:cs="Times New Roman" w:eastAsia="Times New Roman" w:hAnsi="Times New Roman"/>
            <w:sz w:val="18"/>
            <w:szCs w:val="18"/>
            <w:u w:val="single" w:color="auto"/>
            <w:color w:val="0000FF"/>
          </w:rPr>
          <w:t>Form of Stock Award Agreement is incorporated herein by reference to Exhibit 10.4 to the August 15, 2006 8-K</w:t>
        </w:r>
      </w:hyperlink>
      <w:r>
        <w:rPr>
          <w:rFonts w:ascii="Times New Roman" w:cs="Times New Roman" w:eastAsia="Times New Roman" w:hAnsi="Times New Roman"/>
          <w:sz w:val="18"/>
          <w:szCs w:val="18"/>
          <w:u w:val="single" w:color="auto"/>
          <w:color w:val="0000FF"/>
        </w:rPr>
        <w:t xml:space="preserve"> </w:t>
      </w:r>
      <w:hyperlink r:id="rId455">
        <w:r>
          <w:rPr>
            <w:rFonts w:ascii="Times New Roman" w:cs="Times New Roman" w:eastAsia="Times New Roman" w:hAnsi="Times New Roman"/>
            <w:sz w:val="18"/>
            <w:szCs w:val="18"/>
            <w:u w:val="single" w:color="auto"/>
            <w:color w:val="0000FF"/>
          </w:rPr>
          <w:t>2008 Stock Incentive Plan is incorporated herein by reference to Exhibit 10.26 to the 2008 Form S-1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514667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6">
                      <a:extLst>
                        <a:ext uri="{28A0092B-C50C-407E-A947-70E740481C1C}"/>
                      </a:extLst>
                    </a:blip>
                    <a:srcRect/>
                    <a:stretch>
                      <a:fillRect/>
                    </a:stretch>
                  </pic:blipFill>
                  <pic:spPr bwMode="auto">
                    <a:xfrm>
                      <a:off x="0" y="0"/>
                      <a:ext cx="5146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-29845</wp:posOffset>
            </wp:positionV>
            <wp:extent cx="45974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7">
                      <a:extLst>
                        <a:ext uri="{28A0092B-C50C-407E-A947-70E740481C1C}"/>
                      </a:extLst>
                    </a:blip>
                    <a:srcRect/>
                    <a:stretch>
                      <a:fillRect/>
                    </a:stretch>
                  </pic:blipFill>
                  <pic:spPr bwMode="auto">
                    <a:xfrm>
                      <a:off x="0" y="0"/>
                      <a:ext cx="4597400" cy="8255"/>
                    </a:xfrm>
                    <a:prstGeom prst="rect">
                      <a:avLst/>
                    </a:prstGeom>
                    <a:noFill/>
                  </pic:spPr>
                </pic:pic>
              </a:graphicData>
            </a:graphic>
          </wp:anchor>
        </w:drawing>
      </w:r>
    </w:p>
    <w:p>
      <w:pPr>
        <w:ind w:right="40"/>
        <w:spacing w:after="0" w:line="261" w:lineRule="auto"/>
        <w:rPr>
          <w:rFonts w:ascii="Times New Roman" w:cs="Times New Roman" w:eastAsia="Times New Roman" w:hAnsi="Times New Roman"/>
          <w:sz w:val="18"/>
          <w:szCs w:val="18"/>
          <w:u w:val="single" w:color="auto"/>
          <w:color w:val="0000FF"/>
        </w:rPr>
      </w:pPr>
      <w:hyperlink r:id="rId458">
        <w:r>
          <w:rPr>
            <w:rFonts w:ascii="Times New Roman" w:cs="Times New Roman" w:eastAsia="Times New Roman" w:hAnsi="Times New Roman"/>
            <w:sz w:val="18"/>
            <w:szCs w:val="18"/>
            <w:u w:val="single" w:color="auto"/>
            <w:color w:val="0000FF"/>
          </w:rPr>
          <w:t>Form of 2008 Stock Incentive Plan Stock Option Grant Notice and Stock Option Agreement is incorporated herein by reference to Exhibit</w:t>
        </w:r>
      </w:hyperlink>
      <w:r>
        <w:rPr>
          <w:rFonts w:ascii="Times New Roman" w:cs="Times New Roman" w:eastAsia="Times New Roman" w:hAnsi="Times New Roman"/>
          <w:sz w:val="18"/>
          <w:szCs w:val="18"/>
          <w:u w:val="single" w:color="auto"/>
          <w:color w:val="0000FF"/>
        </w:rPr>
        <w:t xml:space="preserve"> </w:t>
      </w:r>
      <w:hyperlink r:id="rId458">
        <w:r>
          <w:rPr>
            <w:rFonts w:ascii="Times New Roman" w:cs="Times New Roman" w:eastAsia="Times New Roman" w:hAnsi="Times New Roman"/>
            <w:sz w:val="18"/>
            <w:szCs w:val="18"/>
            <w:u w:val="single" w:color="auto"/>
            <w:color w:val="0000FF"/>
          </w:rPr>
          <w:t>10.26 to the 2010 Form S-1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634365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9">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12630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0">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0" w:space="720"/>
            <w:col w:w="10000"/>
          </w:cols>
          <w:pgMar w:left="320" w:top="985" w:right="33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1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10.21†</w:t>
            </w:r>
          </w:p>
        </w:tc>
        <w:tc>
          <w:tcPr>
            <w:tcW w:w="9980" w:type="dxa"/>
            <w:vAlign w:val="bottom"/>
            <w:gridSpan w:val="6"/>
          </w:tcPr>
          <w:p>
            <w:pPr>
              <w:spacing w:after="0" w:line="202" w:lineRule="exact"/>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Form of Restricted Stock Award Agreement under 2006 Equity Incentive Plan is incorporated herein by reference to Exhibit 10.2 to the</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10.22†</w:t>
            </w:r>
          </w:p>
        </w:tc>
        <w:tc>
          <w:tcPr>
            <w:tcW w:w="9980" w:type="dxa"/>
            <w:vAlign w:val="bottom"/>
            <w:gridSpan w:val="6"/>
          </w:tcPr>
          <w:p>
            <w:pPr>
              <w:spacing w:after="0" w:line="196" w:lineRule="exact"/>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Registrant’s Quarterly Report on Form 10-Q for the Quarter ended June 30, 2013 (File No. 001-34675)</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0" w:type="dxa"/>
            <w:vAlign w:val="bottom"/>
            <w:tcBorders>
              <w:right w:val="single" w:sz="8" w:color="0000EE"/>
            </w:tcBorders>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9980" w:type="dxa"/>
            <w:vAlign w:val="bottom"/>
            <w:gridSpan w:val="6"/>
          </w:tcPr>
          <w:p>
            <w:pPr>
              <w:spacing w:after="0"/>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SS&amp;C Technologies Holdings, Inc. Second Amended and Restated 2014 Stock Incentive Plan, adopted effective May 15, 2019, is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56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6"/>
          </w:tcPr>
          <w:p>
            <w:pPr>
              <w:spacing w:after="0" w:line="196" w:lineRule="exact"/>
              <w:rPr>
                <w:rFonts w:ascii="Times New Roman" w:cs="Times New Roman" w:eastAsia="Times New Roman" w:hAnsi="Times New Roman"/>
                <w:sz w:val="18"/>
                <w:szCs w:val="18"/>
                <w:color w:val="0000FF"/>
                <w:w w:val="99"/>
              </w:rPr>
            </w:pPr>
            <w:hyperlink r:id="rId462">
              <w:r>
                <w:rPr>
                  <w:rFonts w:ascii="Times New Roman" w:cs="Times New Roman" w:eastAsia="Times New Roman" w:hAnsi="Times New Roman"/>
                  <w:sz w:val="18"/>
                  <w:szCs w:val="18"/>
                  <w:color w:val="0000FF"/>
                  <w:w w:val="99"/>
                </w:rPr>
                <w:t>incorporated herein by reference to Exhibit 99.1 to the Registrant’s Registration Statement on Form S-8, filed on August 2, 2019 (File No.</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40" w:type="dxa"/>
            <w:vAlign w:val="bottom"/>
            <w:gridSpan w:val="2"/>
          </w:tcPr>
          <w:p>
            <w:pPr>
              <w:spacing w:after="0" w:line="196" w:lineRule="exact"/>
              <w:rPr>
                <w:rFonts w:ascii="Times New Roman" w:cs="Times New Roman" w:eastAsia="Times New Roman" w:hAnsi="Times New Roman"/>
                <w:sz w:val="18"/>
                <w:szCs w:val="18"/>
                <w:color w:val="0000FF"/>
                <w:w w:val="97"/>
              </w:rPr>
            </w:pPr>
            <w:hyperlink r:id="rId462">
              <w:r>
                <w:rPr>
                  <w:rFonts w:ascii="Times New Roman" w:cs="Times New Roman" w:eastAsia="Times New Roman" w:hAnsi="Times New Roman"/>
                  <w:sz w:val="18"/>
                  <w:szCs w:val="18"/>
                  <w:color w:val="0000FF"/>
                  <w:w w:val="97"/>
                </w:rPr>
                <w:t>001-34675)</w:t>
              </w:r>
            </w:hyperlink>
          </w:p>
        </w:tc>
        <w:tc>
          <w:tcPr>
            <w:tcW w:w="66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985"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10.23†</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w:t>
      </w:r>
    </w:p>
    <w:p>
      <w:pPr>
        <w:spacing w:after="0" w:line="20" w:lineRule="exact"/>
        <w:rPr>
          <w:sz w:val="20"/>
          <w:szCs w:val="20"/>
          <w:color w:val="auto"/>
        </w:rPr>
      </w:pPr>
      <w:r>
        <w:rPr>
          <w:sz w:val="20"/>
          <w:szCs w:val="20"/>
          <w:color w:val="auto"/>
        </w:rPr>
        <w:br w:type="column"/>
      </w:r>
    </w:p>
    <w:p>
      <w:pPr>
        <w:ind w:right="100"/>
        <w:spacing w:after="0" w:line="266" w:lineRule="auto"/>
        <w:rPr>
          <w:rFonts w:ascii="Times New Roman" w:cs="Times New Roman" w:eastAsia="Times New Roman" w:hAnsi="Times New Roman"/>
          <w:sz w:val="18"/>
          <w:szCs w:val="18"/>
          <w:u w:val="single" w:color="auto"/>
          <w:color w:val="0000FF"/>
        </w:rPr>
      </w:pPr>
      <w:hyperlink r:id="rId463">
        <w:r>
          <w:rPr>
            <w:rFonts w:ascii="Times New Roman" w:cs="Times New Roman" w:eastAsia="Times New Roman" w:hAnsi="Times New Roman"/>
            <w:sz w:val="18"/>
            <w:szCs w:val="18"/>
            <w:u w:val="single" w:color="auto"/>
            <w:color w:val="0000FF"/>
          </w:rPr>
          <w:t>SS&amp;C Technologies Holdings, Inc. Executive Bonus Plan is incorporated herein by reference to Appendix B to the Company’s definitive</w:t>
        </w:r>
      </w:hyperlink>
      <w:r>
        <w:rPr>
          <w:rFonts w:ascii="Times New Roman" w:cs="Times New Roman" w:eastAsia="Times New Roman" w:hAnsi="Times New Roman"/>
          <w:sz w:val="18"/>
          <w:szCs w:val="18"/>
          <w:u w:val="single" w:color="auto"/>
          <w:color w:val="0000FF"/>
        </w:rPr>
        <w:t xml:space="preserve"> </w:t>
      </w:r>
      <w:hyperlink r:id="rId463">
        <w:r>
          <w:rPr>
            <w:rFonts w:ascii="Times New Roman" w:cs="Times New Roman" w:eastAsia="Times New Roman" w:hAnsi="Times New Roman"/>
            <w:sz w:val="18"/>
            <w:szCs w:val="18"/>
            <w:u w:val="single" w:color="auto"/>
            <w:color w:val="0000FF"/>
          </w:rPr>
          <w:t>proxy statement on Schedule 14A, filed on April 16, 2014 (File No. 001-34675)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63112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63112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-30480</wp:posOffset>
            </wp:positionV>
            <wp:extent cx="36588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3658870" cy="8255"/>
                    </a:xfrm>
                    <a:prstGeom prst="rect">
                      <a:avLst/>
                    </a:prstGeom>
                    <a:noFill/>
                  </pic:spPr>
                </pic:pic>
              </a:graphicData>
            </a:graphic>
          </wp:anchor>
        </w:drawing>
      </w:r>
    </w:p>
    <w:p>
      <w:pPr>
        <w:jc w:val="both"/>
        <w:ind w:right="40"/>
        <w:spacing w:after="0" w:line="257" w:lineRule="auto"/>
        <w:rPr>
          <w:rFonts w:ascii="Times New Roman" w:cs="Times New Roman" w:eastAsia="Times New Roman" w:hAnsi="Times New Roman"/>
          <w:sz w:val="18"/>
          <w:szCs w:val="18"/>
          <w:u w:val="single" w:color="auto"/>
          <w:color w:val="0000FF"/>
        </w:rPr>
      </w:pPr>
      <w:hyperlink r:id="rId466">
        <w:r>
          <w:rPr>
            <w:rFonts w:ascii="Times New Roman" w:cs="Times New Roman" w:eastAsia="Times New Roman" w:hAnsi="Times New Roman"/>
            <w:sz w:val="18"/>
            <w:szCs w:val="18"/>
            <w:u w:val="single" w:color="auto"/>
            <w:color w:val="0000FF"/>
          </w:rPr>
          <w:t>Form of Stock Option Agreement under the SS&amp;C Technologies Holdings, Inc. Second Amended and Restated 2014 Stock Incentive Plan</w:t>
        </w:r>
      </w:hyperlink>
      <w:r>
        <w:rPr>
          <w:rFonts w:ascii="Times New Roman" w:cs="Times New Roman" w:eastAsia="Times New Roman" w:hAnsi="Times New Roman"/>
          <w:sz w:val="18"/>
          <w:szCs w:val="18"/>
          <w:u w:val="single" w:color="auto"/>
          <w:color w:val="0000FF"/>
        </w:rPr>
        <w:t xml:space="preserve"> </w:t>
      </w:r>
      <w:hyperlink r:id="rId466">
        <w:r>
          <w:rPr>
            <w:rFonts w:ascii="Times New Roman" w:cs="Times New Roman" w:eastAsia="Times New Roman" w:hAnsi="Times New Roman"/>
            <w:sz w:val="18"/>
            <w:szCs w:val="18"/>
            <w:u w:val="single" w:color="auto"/>
            <w:color w:val="0000FF"/>
          </w:rPr>
          <w:t>is incorporated herein by reference to Exhibit 10.2 to the Registrant’s Quarterly Report on Form 10-Q for the quarter ended June 30, 2019</w:t>
        </w:r>
      </w:hyperlink>
      <w:r>
        <w:rPr>
          <w:rFonts w:ascii="Times New Roman" w:cs="Times New Roman" w:eastAsia="Times New Roman" w:hAnsi="Times New Roman"/>
          <w:sz w:val="18"/>
          <w:szCs w:val="18"/>
          <w:u w:val="single" w:color="auto"/>
          <w:color w:val="0000FF"/>
        </w:rPr>
        <w:t xml:space="preserve"> </w:t>
      </w:r>
      <w:hyperlink r:id="rId466">
        <w:r>
          <w:rPr>
            <w:rFonts w:ascii="Times New Roman" w:cs="Times New Roman" w:eastAsia="Times New Roman" w:hAnsi="Times New Roman"/>
            <w:sz w:val="18"/>
            <w:szCs w:val="18"/>
            <w:u w:val="single" w:color="auto"/>
            <w:color w:val="0000FF"/>
          </w:rPr>
          <w:t>(File No. 001-34675)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634365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7">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-161290</wp:posOffset>
            </wp:positionV>
            <wp:extent cx="633603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8">
                      <a:extLst>
                        <a:ext uri="{28A0092B-C50C-407E-A947-70E740481C1C}"/>
                      </a:extLst>
                    </a:blip>
                    <a:srcRect/>
                    <a:stretch>
                      <a:fillRect/>
                    </a:stretch>
                  </pic:blipFill>
                  <pic:spPr bwMode="auto">
                    <a:xfrm>
                      <a:off x="0" y="0"/>
                      <a:ext cx="63360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9740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9">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20" w:space="720"/>
            <w:col w:w="10000"/>
          </w:cols>
          <w:pgMar w:left="320" w:top="985" w:right="339" w:bottom="1440" w:gutter="0" w:footer="0" w:header="0"/>
          <w:type w:val="continuous"/>
        </w:sectPr>
      </w:pPr>
    </w:p>
    <w:tbl>
      <w:tblPr>
        <w:tblLayout w:type="fixed"/>
        <w:tblInd w:w="20" w:type="dxa"/>
        <w:tblCellMar>
          <w:top w:w="0" w:type="dxa"/>
          <w:left w:w="0" w:type="dxa"/>
          <w:bottom w:w="0" w:type="dxa"/>
          <w:right w:w="0" w:type="dxa"/>
        </w:tblCellMar>
      </w:tblPr>
      <w:tr>
        <w:trPr>
          <w:trHeight w:val="204"/>
        </w:trPr>
        <w:tc>
          <w:tcPr>
            <w:tcW w:w="12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10.25†</w:t>
            </w:r>
          </w:p>
        </w:tc>
        <w:tc>
          <w:tcPr>
            <w:tcW w:w="9980" w:type="dxa"/>
            <w:vAlign w:val="bottom"/>
            <w:gridSpan w:val="6"/>
          </w:tcPr>
          <w:p>
            <w:pPr>
              <w:spacing w:after="0" w:line="204" w:lineRule="exact"/>
              <w:rPr>
                <w:rFonts w:ascii="Times New Roman" w:cs="Times New Roman" w:eastAsia="Times New Roman" w:hAnsi="Times New Roman"/>
                <w:sz w:val="18"/>
                <w:szCs w:val="18"/>
                <w:color w:val="0000FF"/>
              </w:rPr>
            </w:pPr>
            <w:hyperlink r:id="rId470">
              <w:r>
                <w:rPr>
                  <w:rFonts w:ascii="Times New Roman" w:cs="Times New Roman" w:eastAsia="Times New Roman" w:hAnsi="Times New Roman"/>
                  <w:sz w:val="18"/>
                  <w:szCs w:val="18"/>
                  <w:color w:val="0000FF"/>
                </w:rPr>
                <w:t>Form of Restricted Stock Unit Award Agreement under the SS&amp;C Technologies Holdings, Inc. Second Amended and Restated 2014</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6"/>
          </w:tcPr>
          <w:p>
            <w:pPr>
              <w:spacing w:after="0" w:line="196" w:lineRule="exact"/>
              <w:rPr>
                <w:rFonts w:ascii="Times New Roman" w:cs="Times New Roman" w:eastAsia="Times New Roman" w:hAnsi="Times New Roman"/>
                <w:sz w:val="18"/>
                <w:szCs w:val="18"/>
                <w:color w:val="0000FF"/>
              </w:rPr>
            </w:pPr>
            <w:hyperlink r:id="rId470">
              <w:r>
                <w:rPr>
                  <w:rFonts w:ascii="Times New Roman" w:cs="Times New Roman" w:eastAsia="Times New Roman" w:hAnsi="Times New Roman"/>
                  <w:sz w:val="18"/>
                  <w:szCs w:val="18"/>
                  <w:color w:val="0000FF"/>
                </w:rPr>
                <w:t>Stock Incentive Plan is incorporated herein by reference to Exhibit 10.3 to the Registrant’s Quarterly Report on Form 10-Q for the quarter</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10.26†</w:t>
            </w:r>
          </w:p>
        </w:tc>
        <w:tc>
          <w:tcPr>
            <w:tcW w:w="9980" w:type="dxa"/>
            <w:vAlign w:val="bottom"/>
            <w:gridSpan w:val="6"/>
          </w:tcPr>
          <w:p>
            <w:pPr>
              <w:spacing w:after="0" w:line="196" w:lineRule="exact"/>
              <w:rPr>
                <w:rFonts w:ascii="Times New Roman" w:cs="Times New Roman" w:eastAsia="Times New Roman" w:hAnsi="Times New Roman"/>
                <w:sz w:val="18"/>
                <w:szCs w:val="18"/>
                <w:color w:val="0000FF"/>
              </w:rPr>
            </w:pPr>
            <w:hyperlink r:id="rId470">
              <w:r>
                <w:rPr>
                  <w:rFonts w:ascii="Times New Roman" w:cs="Times New Roman" w:eastAsia="Times New Roman" w:hAnsi="Times New Roman"/>
                  <w:sz w:val="18"/>
                  <w:szCs w:val="18"/>
                  <w:color w:val="0000FF"/>
                </w:rPr>
                <w:t>ended June 30, 2019 (File No. 001-34675)</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6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9980" w:type="dxa"/>
            <w:vAlign w:val="bottom"/>
            <w:gridSpan w:val="6"/>
          </w:tcPr>
          <w:p>
            <w:pPr>
              <w:spacing w:after="0"/>
              <w:rPr>
                <w:rFonts w:ascii="Times New Roman" w:cs="Times New Roman" w:eastAsia="Times New Roman" w:hAnsi="Times New Roman"/>
                <w:sz w:val="18"/>
                <w:szCs w:val="18"/>
                <w:color w:val="0000FF"/>
                <w:w w:val="99"/>
              </w:rPr>
            </w:pPr>
            <w:hyperlink r:id="rId471">
              <w:r>
                <w:rPr>
                  <w:rFonts w:ascii="Times New Roman" w:cs="Times New Roman" w:eastAsia="Times New Roman" w:hAnsi="Times New Roman"/>
                  <w:sz w:val="18"/>
                  <w:szCs w:val="18"/>
                  <w:color w:val="0000FF"/>
                  <w:w w:val="99"/>
                </w:rPr>
                <w:t>Form of Stock Option Grant Notice and Form of Stock Option Agreement under the SS&amp;C Technologies Holdings, Inc. Second Amended</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Borders>
              <w:right w:val="single" w:sz="8" w:color="0000FF"/>
            </w:tcBorders>
            <w:gridSpan w:val="2"/>
            <w:shd w:val="clear" w:color="auto" w:fill="0000FF"/>
          </w:tcPr>
          <w:p>
            <w:pPr>
              <w:spacing w:after="0" w:line="20" w:lineRule="exact"/>
              <w:rPr>
                <w:sz w:val="1"/>
                <w:szCs w:val="1"/>
                <w:color w:val="auto"/>
              </w:rPr>
            </w:pPr>
          </w:p>
        </w:tc>
        <w:tc>
          <w:tcPr>
            <w:tcW w:w="5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6"/>
          </w:tcPr>
          <w:p>
            <w:pPr>
              <w:spacing w:after="0" w:line="196" w:lineRule="exact"/>
              <w:rPr>
                <w:rFonts w:ascii="Times New Roman" w:cs="Times New Roman" w:eastAsia="Times New Roman" w:hAnsi="Times New Roman"/>
                <w:sz w:val="18"/>
                <w:szCs w:val="18"/>
                <w:color w:val="0000FF"/>
              </w:rPr>
            </w:pPr>
            <w:hyperlink r:id="rId471">
              <w:r>
                <w:rPr>
                  <w:rFonts w:ascii="Times New Roman" w:cs="Times New Roman" w:eastAsia="Times New Roman" w:hAnsi="Times New Roman"/>
                  <w:sz w:val="18"/>
                  <w:szCs w:val="18"/>
                  <w:color w:val="0000FF"/>
                </w:rPr>
                <w:t>and Restated 2014 Stock Incentive Plan is incorporated herein by reference to Exhibit 10.1 to the Registrant’s Quarterly Report on Form</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Borders>
              <w:right w:val="single" w:sz="8" w:color="0000FF"/>
            </w:tcBorders>
            <w:gridSpan w:val="2"/>
            <w:shd w:val="clear" w:color="auto" w:fill="0000FF"/>
          </w:tcPr>
          <w:p>
            <w:pPr>
              <w:spacing w:after="0" w:line="20" w:lineRule="exact"/>
              <w:rPr>
                <w:sz w:val="1"/>
                <w:szCs w:val="1"/>
                <w:color w:val="auto"/>
              </w:rPr>
            </w:pPr>
          </w:p>
        </w:tc>
        <w:tc>
          <w:tcPr>
            <w:tcW w:w="51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6"/>
          </w:tcPr>
          <w:p>
            <w:pPr>
              <w:spacing w:after="0" w:line="196" w:lineRule="exact"/>
              <w:rPr>
                <w:rFonts w:ascii="Times New Roman" w:cs="Times New Roman" w:eastAsia="Times New Roman" w:hAnsi="Times New Roman"/>
                <w:sz w:val="18"/>
                <w:szCs w:val="18"/>
                <w:color w:val="0000FF"/>
              </w:rPr>
            </w:pPr>
            <w:hyperlink r:id="rId471">
              <w:r>
                <w:rPr>
                  <w:rFonts w:ascii="Times New Roman" w:cs="Times New Roman" w:eastAsia="Times New Roman" w:hAnsi="Times New Roman"/>
                  <w:sz w:val="18"/>
                  <w:szCs w:val="18"/>
                  <w:color w:val="0000FF"/>
                </w:rPr>
                <w:t>10-Q for the quarter ended March 31, 2023 (File No. 001-34675)</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985"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10.27†</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10.28†</w:t>
      </w:r>
    </w:p>
    <w:p>
      <w:pPr>
        <w:spacing w:after="0" w:line="20" w:lineRule="exact"/>
        <w:rPr>
          <w:sz w:val="20"/>
          <w:szCs w:val="20"/>
          <w:color w:val="auto"/>
        </w:rPr>
      </w:pPr>
      <w:r>
        <w:rPr>
          <w:sz w:val="20"/>
          <w:szCs w:val="20"/>
          <w:color w:val="auto"/>
        </w:rPr>
        <w:br w:type="column"/>
      </w:r>
    </w:p>
    <w:p>
      <w:pPr>
        <w:jc w:val="both"/>
        <w:ind w:right="620"/>
        <w:spacing w:after="0" w:line="260" w:lineRule="auto"/>
        <w:rPr>
          <w:rFonts w:ascii="Times New Roman" w:cs="Times New Roman" w:eastAsia="Times New Roman" w:hAnsi="Times New Roman"/>
          <w:sz w:val="18"/>
          <w:szCs w:val="18"/>
          <w:u w:val="single" w:color="auto"/>
          <w:color w:val="0000FF"/>
        </w:rPr>
      </w:pPr>
      <w:hyperlink r:id="rId472">
        <w:r>
          <w:rPr>
            <w:rFonts w:ascii="Times New Roman" w:cs="Times New Roman" w:eastAsia="Times New Roman" w:hAnsi="Times New Roman"/>
            <w:sz w:val="18"/>
            <w:szCs w:val="18"/>
            <w:u w:val="single" w:color="auto"/>
            <w:color w:val="0000FF"/>
          </w:rPr>
          <w:t>Form of Restricted Stock Unit Grant Notice and Form of Restricted Stock Unit Award Agreement under the SS&amp;C Technologies</w:t>
        </w:r>
      </w:hyperlink>
      <w:r>
        <w:rPr>
          <w:rFonts w:ascii="Times New Roman" w:cs="Times New Roman" w:eastAsia="Times New Roman" w:hAnsi="Times New Roman"/>
          <w:sz w:val="18"/>
          <w:szCs w:val="18"/>
          <w:u w:val="single" w:color="auto"/>
          <w:color w:val="0000FF"/>
        </w:rPr>
        <w:t xml:space="preserve"> </w:t>
      </w:r>
      <w:hyperlink r:id="rId472">
        <w:r>
          <w:rPr>
            <w:rFonts w:ascii="Times New Roman" w:cs="Times New Roman" w:eastAsia="Times New Roman" w:hAnsi="Times New Roman"/>
            <w:sz w:val="18"/>
            <w:szCs w:val="18"/>
            <w:u w:val="single" w:color="auto"/>
            <w:color w:val="0000FF"/>
          </w:rPr>
          <w:t>Holdings, Inc. Second Amended and Restated 2014 Stock Incentive Plan is incorporated herein by reference to Exhibit 10.2 to the</w:t>
        </w:r>
      </w:hyperlink>
      <w:r>
        <w:rPr>
          <w:rFonts w:ascii="Times New Roman" w:cs="Times New Roman" w:eastAsia="Times New Roman" w:hAnsi="Times New Roman"/>
          <w:sz w:val="18"/>
          <w:szCs w:val="18"/>
          <w:u w:val="single" w:color="auto"/>
          <w:color w:val="0000FF"/>
        </w:rPr>
        <w:t xml:space="preserve"> </w:t>
      </w:r>
      <w:hyperlink r:id="rId472">
        <w:r>
          <w:rPr>
            <w:rFonts w:ascii="Times New Roman" w:cs="Times New Roman" w:eastAsia="Times New Roman" w:hAnsi="Times New Roman"/>
            <w:sz w:val="18"/>
            <w:szCs w:val="18"/>
            <w:u w:val="single" w:color="auto"/>
            <w:color w:val="0000FF"/>
          </w:rPr>
          <w:t>Registrant’s Quarterly Report on Form 10-Q for the quarter ended March 31, 2023 (File No. 001-34675)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-303530</wp:posOffset>
            </wp:positionV>
            <wp:extent cx="593661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3">
                      <a:extLst>
                        <a:ext uri="{28A0092B-C50C-407E-A947-70E740481C1C}"/>
                      </a:extLst>
                    </a:blip>
                    <a:srcRect/>
                    <a:stretch>
                      <a:fillRect/>
                    </a:stretch>
                  </pic:blipFill>
                  <pic:spPr bwMode="auto">
                    <a:xfrm>
                      <a:off x="0" y="0"/>
                      <a:ext cx="59366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-166370</wp:posOffset>
            </wp:positionV>
            <wp:extent cx="59810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4">
                      <a:extLst>
                        <a:ext uri="{28A0092B-C50C-407E-A947-70E740481C1C}"/>
                      </a:extLst>
                    </a:blip>
                    <a:srcRect/>
                    <a:stretch>
                      <a:fillRect/>
                    </a:stretch>
                  </pic:blipFill>
                  <pic:spPr bwMode="auto">
                    <a:xfrm>
                      <a:off x="0" y="0"/>
                      <a:ext cx="5981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478155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5">
                      <a:extLst>
                        <a:ext uri="{28A0092B-C50C-407E-A947-70E740481C1C}"/>
                      </a:extLst>
                    </a:blip>
                    <a:srcRect/>
                    <a:stretch>
                      <a:fillRect/>
                    </a:stretch>
                  </pic:blipFill>
                  <pic:spPr bwMode="auto">
                    <a:xfrm>
                      <a:off x="0" y="0"/>
                      <a:ext cx="4781550" cy="8255"/>
                    </a:xfrm>
                    <a:prstGeom prst="rect">
                      <a:avLst/>
                    </a:prstGeom>
                    <a:noFill/>
                  </pic:spPr>
                </pic:pic>
              </a:graphicData>
            </a:graphic>
          </wp:anchor>
        </w:drawing>
      </w:r>
    </w:p>
    <w:p>
      <w:pPr>
        <w:ind w:right="320"/>
        <w:spacing w:after="0" w:line="257" w:lineRule="auto"/>
        <w:rPr>
          <w:rFonts w:ascii="Times New Roman" w:cs="Times New Roman" w:eastAsia="Times New Roman" w:hAnsi="Times New Roman"/>
          <w:sz w:val="18"/>
          <w:szCs w:val="18"/>
          <w:u w:val="single" w:color="auto"/>
          <w:color w:val="0000FF"/>
        </w:rPr>
      </w:pPr>
      <w:hyperlink r:id="rId476">
        <w:r>
          <w:rPr>
            <w:rFonts w:ascii="Times New Roman" w:cs="Times New Roman" w:eastAsia="Times New Roman" w:hAnsi="Times New Roman"/>
            <w:sz w:val="18"/>
            <w:szCs w:val="18"/>
            <w:u w:val="single" w:color="auto"/>
            <w:color w:val="0000FF"/>
          </w:rPr>
          <w:t>Form of Performance Stock Unit Grant Notice and Form of Performance Stock Unit Award Agreement under the SS&amp;C Technologies</w:t>
        </w:r>
      </w:hyperlink>
      <w:r>
        <w:rPr>
          <w:rFonts w:ascii="Times New Roman" w:cs="Times New Roman" w:eastAsia="Times New Roman" w:hAnsi="Times New Roman"/>
          <w:sz w:val="18"/>
          <w:szCs w:val="18"/>
          <w:u w:val="single" w:color="auto"/>
          <w:color w:val="0000FF"/>
        </w:rPr>
        <w:t xml:space="preserve"> </w:t>
      </w:r>
      <w:hyperlink r:id="rId476">
        <w:r>
          <w:rPr>
            <w:rFonts w:ascii="Times New Roman" w:cs="Times New Roman" w:eastAsia="Times New Roman" w:hAnsi="Times New Roman"/>
            <w:sz w:val="18"/>
            <w:szCs w:val="18"/>
            <w:u w:val="single" w:color="auto"/>
            <w:color w:val="0000FF"/>
          </w:rPr>
          <w:t>Holdings, Inc. Second Amended and Restated 2014 Stock Incentive Plan is incorporated herein by reference to Exhibit 10.3 to the</w:t>
        </w:r>
      </w:hyperlink>
      <w:r>
        <w:rPr>
          <w:rFonts w:ascii="Times New Roman" w:cs="Times New Roman" w:eastAsia="Times New Roman" w:hAnsi="Times New Roman"/>
          <w:sz w:val="18"/>
          <w:szCs w:val="18"/>
          <w:u w:val="single" w:color="auto"/>
          <w:color w:val="0000FF"/>
        </w:rPr>
        <w:t xml:space="preserve"> </w:t>
      </w:r>
      <w:hyperlink r:id="rId476">
        <w:r>
          <w:rPr>
            <w:rFonts w:ascii="Times New Roman" w:cs="Times New Roman" w:eastAsia="Times New Roman" w:hAnsi="Times New Roman"/>
            <w:sz w:val="18"/>
            <w:szCs w:val="18"/>
            <w:u w:val="single" w:color="auto"/>
            <w:color w:val="0000FF"/>
          </w:rPr>
          <w:t>Registrant’s Quarterly Report on Form 10-Q for the quarter ended March 31, 2023 (File No. 001-34675)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617791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7">
                      <a:extLst>
                        <a:ext uri="{28A0092B-C50C-407E-A947-70E740481C1C}"/>
                      </a:extLst>
                    </a:blip>
                    <a:srcRect/>
                    <a:stretch>
                      <a:fillRect/>
                    </a:stretch>
                  </pic:blipFill>
                  <pic:spPr bwMode="auto">
                    <a:xfrm>
                      <a:off x="0" y="0"/>
                      <a:ext cx="61779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-161290</wp:posOffset>
            </wp:positionV>
            <wp:extent cx="598106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8">
                      <a:extLst>
                        <a:ext uri="{28A0092B-C50C-407E-A947-70E740481C1C}"/>
                      </a:extLst>
                    </a:blip>
                    <a:srcRect/>
                    <a:stretch>
                      <a:fillRect/>
                    </a:stretch>
                  </pic:blipFill>
                  <pic:spPr bwMode="auto">
                    <a:xfrm>
                      <a:off x="0" y="0"/>
                      <a:ext cx="59810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478155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9">
                      <a:extLst>
                        <a:ext uri="{28A0092B-C50C-407E-A947-70E740481C1C}"/>
                      </a:extLst>
                    </a:blip>
                    <a:srcRect/>
                    <a:stretch>
                      <a:fillRect/>
                    </a:stretch>
                  </pic:blipFill>
                  <pic:spPr bwMode="auto">
                    <a:xfrm>
                      <a:off x="0" y="0"/>
                      <a:ext cx="4781550" cy="8255"/>
                    </a:xfrm>
                    <a:prstGeom prst="rect">
                      <a:avLst/>
                    </a:prstGeom>
                    <a:noFill/>
                  </pic:spPr>
                </pic:pic>
              </a:graphicData>
            </a:graphic>
          </wp:anchor>
        </w:drawing>
      </w:r>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20" w:space="720"/>
            <w:col w:w="1000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10.29†</w:t>
            </w:r>
          </w:p>
        </w:tc>
        <w:tc>
          <w:tcPr>
            <w:tcW w:w="10000" w:type="dxa"/>
            <w:vAlign w:val="bottom"/>
            <w:gridSpan w:val="12"/>
          </w:tcPr>
          <w:p>
            <w:pPr>
              <w:spacing w:after="0" w:line="204" w:lineRule="exact"/>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SS&amp;C Technologies Holdings, Inc. 2023 Stock Incentive Plan, adopted effective May 17, 2023, is incorporated herein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2"/>
          </w:tcPr>
          <w:p>
            <w:pPr>
              <w:spacing w:after="0" w:line="196" w:lineRule="exact"/>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Exhibit 99.1 to the Registrant’s Registration Statement on Form S-8, filed on May 31, 2023 (File No. 333-272295)</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tcPr>
          <w:p>
            <w:pPr>
              <w:spacing w:after="0"/>
              <w:rPr>
                <w:sz w:val="19"/>
                <w:szCs w:val="19"/>
                <w:color w:val="auto"/>
              </w:rPr>
            </w:pPr>
          </w:p>
        </w:tc>
        <w:tc>
          <w:tcPr>
            <w:tcW w:w="10000" w:type="dxa"/>
            <w:vAlign w:val="bottom"/>
            <w:gridSpan w:val="12"/>
          </w:tcPr>
          <w:p>
            <w:pPr>
              <w:spacing w:after="0"/>
              <w:rPr>
                <w:rFonts w:ascii="Times New Roman" w:cs="Times New Roman" w:eastAsia="Times New Roman" w:hAnsi="Times New Roman"/>
                <w:sz w:val="18"/>
                <w:szCs w:val="18"/>
                <w:color w:val="0000FF"/>
                <w:w w:val="99"/>
              </w:rPr>
            </w:pPr>
            <w:hyperlink r:id="rId481">
              <w:r>
                <w:rPr>
                  <w:rFonts w:ascii="Times New Roman" w:cs="Times New Roman" w:eastAsia="Times New Roman" w:hAnsi="Times New Roman"/>
                  <w:sz w:val="18"/>
                  <w:szCs w:val="18"/>
                  <w:color w:val="0000FF"/>
                  <w:w w:val="99"/>
                </w:rPr>
                <w:t>Form of Stock Option Grant Notice and Form of Stock Option Agreement for Executive Officers under the SS&amp;C Technologies Holdings,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0000" w:type="dxa"/>
            <w:vAlign w:val="bottom"/>
            <w:gridSpan w:val="12"/>
          </w:tcPr>
          <w:p>
            <w:pPr>
              <w:spacing w:after="0" w:line="196" w:lineRule="exact"/>
              <w:rPr>
                <w:rFonts w:ascii="Times New Roman" w:cs="Times New Roman" w:eastAsia="Times New Roman" w:hAnsi="Times New Roman"/>
                <w:sz w:val="18"/>
                <w:szCs w:val="18"/>
                <w:color w:val="0000FF"/>
              </w:rPr>
            </w:pPr>
            <w:hyperlink r:id="rId481">
              <w:r>
                <w:rPr>
                  <w:rFonts w:ascii="Times New Roman" w:cs="Times New Roman" w:eastAsia="Times New Roman" w:hAnsi="Times New Roman"/>
                  <w:sz w:val="18"/>
                  <w:szCs w:val="18"/>
                  <w:color w:val="0000FF"/>
                </w:rPr>
                <w:t>Inc. 2023 Stock Incentive Plan is incorporated herein by reference to Exhibit 10.30 to SS&amp;C Technologies, Inc.’s Annual Report on Form</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0000" w:type="dxa"/>
            <w:vAlign w:val="bottom"/>
            <w:gridSpan w:val="12"/>
          </w:tcPr>
          <w:p>
            <w:pPr>
              <w:spacing w:after="0" w:line="196" w:lineRule="exact"/>
              <w:rPr>
                <w:rFonts w:ascii="Times New Roman" w:cs="Times New Roman" w:eastAsia="Times New Roman" w:hAnsi="Times New Roman"/>
                <w:sz w:val="18"/>
                <w:szCs w:val="18"/>
                <w:color w:val="0000FF"/>
              </w:rPr>
            </w:pPr>
            <w:hyperlink r:id="rId481">
              <w:r>
                <w:rPr>
                  <w:rFonts w:ascii="Times New Roman" w:cs="Times New Roman" w:eastAsia="Times New Roman" w:hAnsi="Times New Roman"/>
                  <w:sz w:val="18"/>
                  <w:szCs w:val="18"/>
                  <w:color w:val="0000FF"/>
                </w:rPr>
                <w:t>10-K for the year ended December 31, 2023 (File No. 001-34675)</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12"/>
          </w:tcPr>
          <w:p>
            <w:pPr>
              <w:spacing w:after="0"/>
              <w:rPr>
                <w:rFonts w:ascii="Times New Roman" w:cs="Times New Roman" w:eastAsia="Times New Roman" w:hAnsi="Times New Roman"/>
                <w:sz w:val="18"/>
                <w:szCs w:val="18"/>
                <w:color w:val="0000FF"/>
              </w:rPr>
            </w:pPr>
            <w:hyperlink r:id="rId482">
              <w:r>
                <w:rPr>
                  <w:rFonts w:ascii="Times New Roman" w:cs="Times New Roman" w:eastAsia="Times New Roman" w:hAnsi="Times New Roman"/>
                  <w:sz w:val="18"/>
                  <w:szCs w:val="18"/>
                  <w:color w:val="0000FF"/>
                </w:rPr>
                <w:t>Form of Restricted Stock Unit Grant Notice and Form of Restricted Stock Unit Award Agreement for Executive Officers under the SS&amp;C</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34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2"/>
          </w:tcPr>
          <w:p>
            <w:pPr>
              <w:spacing w:after="0" w:line="196" w:lineRule="exact"/>
              <w:rPr>
                <w:rFonts w:ascii="Times New Roman" w:cs="Times New Roman" w:eastAsia="Times New Roman" w:hAnsi="Times New Roman"/>
                <w:sz w:val="18"/>
                <w:szCs w:val="18"/>
                <w:color w:val="0000FF"/>
              </w:rPr>
            </w:pPr>
            <w:hyperlink r:id="rId482">
              <w:r>
                <w:rPr>
                  <w:rFonts w:ascii="Times New Roman" w:cs="Times New Roman" w:eastAsia="Times New Roman" w:hAnsi="Times New Roman"/>
                  <w:sz w:val="18"/>
                  <w:szCs w:val="18"/>
                  <w:color w:val="0000FF"/>
                </w:rPr>
                <w:t>Technologies Holdings, Inc. 2023 Stock Incentive Plan is incorporated herein by reference to Exhibit 10.31 to SS&amp;C Technologies, Inc.’s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34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0000" w:type="dxa"/>
            <w:vAlign w:val="bottom"/>
            <w:gridSpan w:val="12"/>
          </w:tcPr>
          <w:p>
            <w:pPr>
              <w:spacing w:after="0" w:line="196" w:lineRule="exact"/>
              <w:rPr>
                <w:rFonts w:ascii="Times New Roman" w:cs="Times New Roman" w:eastAsia="Times New Roman" w:hAnsi="Times New Roman"/>
                <w:sz w:val="18"/>
                <w:szCs w:val="18"/>
                <w:color w:val="0000FF"/>
              </w:rPr>
            </w:pPr>
            <w:hyperlink r:id="rId482">
              <w:r>
                <w:rPr>
                  <w:rFonts w:ascii="Times New Roman" w:cs="Times New Roman" w:eastAsia="Times New Roman" w:hAnsi="Times New Roman"/>
                  <w:sz w:val="18"/>
                  <w:szCs w:val="18"/>
                  <w:color w:val="0000FF"/>
                </w:rPr>
                <w:t>Annual Report on Form 10-K for the year ended December 31, 2023 (File No. 001-34675)</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340" w:type="dxa"/>
            <w:vAlign w:val="bottom"/>
            <w:tcBorders>
              <w:right w:val="single" w:sz="8" w:color="0000EE"/>
            </w:tcBorders>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12"/>
          </w:tcPr>
          <w:p>
            <w:pPr>
              <w:spacing w:after="0"/>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Form of Performance Stock Unit Grant Notice and Form of Performance Stock Unit Award Agreement for Executive Officers under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8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2"/>
          </w:tcPr>
          <w:p>
            <w:pPr>
              <w:spacing w:after="0" w:line="196" w:lineRule="exact"/>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SS&amp;C Technologies Holdings, Inc. 2023 Stock Incentive Plan is incorporated herein by reference to Exhibit 10.32 to SS&amp;C</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86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10000" w:type="dxa"/>
            <w:vAlign w:val="bottom"/>
            <w:gridSpan w:val="12"/>
          </w:tcPr>
          <w:p>
            <w:pPr>
              <w:spacing w:after="0" w:line="196" w:lineRule="exact"/>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Technologies, Inc.’s Annual Report on Form 10-K for the year ended December 31, 2023 (File No. 001-34675)</w:t>
              </w:r>
            </w:hyperlink>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860" w:type="dxa"/>
            <w:vAlign w:val="bottom"/>
            <w:tcBorders>
              <w:right w:val="single" w:sz="8" w:color="0000EE"/>
            </w:tcBorders>
            <w:gridSpan w:val="3"/>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vMerge w:val="continue"/>
          </w:tcPr>
          <w:p>
            <w:pPr>
              <w:spacing w:after="0"/>
              <w:rPr>
                <w:sz w:val="19"/>
                <w:szCs w:val="19"/>
                <w:color w:val="auto"/>
              </w:rPr>
            </w:pPr>
          </w:p>
        </w:tc>
        <w:tc>
          <w:tcPr>
            <w:tcW w:w="10000" w:type="dxa"/>
            <w:vAlign w:val="bottom"/>
            <w:gridSpan w:val="12"/>
          </w:tcPr>
          <w:p>
            <w:pPr>
              <w:spacing w:after="0"/>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First Repricing Amendment to the Credit Agreement, dated as of January 31, 2020, among SS&amp;C Technologies Holdings, Inc., SS&amp;C</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752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2"/>
          </w:tcPr>
          <w:p>
            <w:pPr>
              <w:spacing w:after="0" w:line="196" w:lineRule="exact"/>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European Holdings S.a r.l., SS&amp;C Technologies Holdings Europe S.a r.l., SS&amp;C Financing LLC, Credit Suisse AG and Cayman Islands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7660" w:type="dxa"/>
            <w:vAlign w:val="bottom"/>
            <w:gridSpan w:val="8"/>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2"/>
          </w:tcPr>
          <w:p>
            <w:pPr>
              <w:spacing w:after="0" w:line="196" w:lineRule="exact"/>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Branch is incorporated herein by reference to Exhibit 10.1 to the Registrant’s Quarterly Report on Form 10-Q for the quarter ended March</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778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2"/>
          </w:tcPr>
          <w:p>
            <w:pPr>
              <w:spacing w:after="0" w:line="196" w:lineRule="exact"/>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31, 2020 (File No. 001-34675)</w:t>
              </w:r>
            </w:hyperlink>
          </w:p>
        </w:tc>
        <w:tc>
          <w:tcPr>
            <w:tcW w:w="0" w:type="dxa"/>
            <w:vAlign w:val="bottom"/>
          </w:tcPr>
          <w:p>
            <w:pPr>
              <w:spacing w:after="0"/>
              <w:rPr>
                <w:sz w:val="1"/>
                <w:szCs w:val="1"/>
                <w:color w:val="auto"/>
              </w:rPr>
            </w:pPr>
          </w:p>
        </w:tc>
      </w:tr>
      <w:tr>
        <w:trPr>
          <w:trHeight w:val="466"/>
        </w:trPr>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Borders>
              <w:top w:val="single" w:sz="8" w:color="0000FF"/>
            </w:tcBorders>
          </w:tcPr>
          <w:p>
            <w:pPr>
              <w:spacing w:after="0"/>
              <w:rPr>
                <w:sz w:val="24"/>
                <w:szCs w:val="24"/>
                <w:color w:val="auto"/>
              </w:rPr>
            </w:pPr>
          </w:p>
        </w:tc>
        <w:tc>
          <w:tcPr>
            <w:tcW w:w="2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92</w:t>
            </w: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2" w:name="page93"/>
    <w:bookmarkEnd w:id="92"/>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980" w:type="dxa"/>
            <w:vAlign w:val="bottom"/>
            <w:gridSpan w:val="18"/>
          </w:tcPr>
          <w:p>
            <w:pPr>
              <w:spacing w:after="0"/>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Incremental Joinder, dated as of March 22, 2022, among SS&amp;C Technologies Holdings, Inc., SS&amp;C Technologies, Inc., SS&amp;C Financing</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LLC, SS&amp;C European Holdings S.à R.L, the other guarantors party thereto, the Term B-6 Lenders party thereto, the Term B-7 Lenders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party thereto and Credit Suisse AG, Cayman Islands Branch is incorporated herein by reference to Exhibit 10.1 to the Registrant's Current</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10.35</w:t>
            </w: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Report on Form 8-K, filed on March 22, 2022 (File No. 001-34675)</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9980" w:type="dxa"/>
            <w:vAlign w:val="bottom"/>
            <w:gridSpan w:val="18"/>
          </w:tcPr>
          <w:p>
            <w:pPr>
              <w:spacing w:after="0"/>
              <w:rPr>
                <w:rFonts w:ascii="Times New Roman" w:cs="Times New Roman" w:eastAsia="Times New Roman" w:hAnsi="Times New Roman"/>
                <w:sz w:val="18"/>
                <w:szCs w:val="18"/>
                <w:color w:val="0000FF"/>
              </w:rPr>
            </w:pPr>
            <w:hyperlink r:id="rId488">
              <w:r>
                <w:rPr>
                  <w:rFonts w:ascii="Times New Roman" w:cs="Times New Roman" w:eastAsia="Times New Roman" w:hAnsi="Times New Roman"/>
                  <w:sz w:val="18"/>
                  <w:szCs w:val="18"/>
                  <w:color w:val="0000FF"/>
                </w:rPr>
                <w:t>Revolving Facility Amendment, dated as of December 28, 2022, by and among certain of SS&amp;C Technologies Holdings, Inc.’s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88">
              <w:r>
                <w:rPr>
                  <w:rFonts w:ascii="Times New Roman" w:cs="Times New Roman" w:eastAsia="Times New Roman" w:hAnsi="Times New Roman"/>
                  <w:sz w:val="18"/>
                  <w:szCs w:val="18"/>
                  <w:color w:val="0000FF"/>
                </w:rPr>
                <w:t>subsidiaries, SS&amp;C Technologies Holdings, Inc., the other guarantors from time to time party thereto, Credit Suisse AG, Cayman Islands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88">
              <w:r>
                <w:rPr>
                  <w:rFonts w:ascii="Times New Roman" w:cs="Times New Roman" w:eastAsia="Times New Roman" w:hAnsi="Times New Roman"/>
                  <w:sz w:val="18"/>
                  <w:szCs w:val="18"/>
                  <w:color w:val="0000FF"/>
                </w:rPr>
                <w:t>Branch, Morgan Stanley Senior Funding, Inc., and each lender from time to time party thereto is incorporated by reference to Exhibit 10.1</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10.36</w:t>
            </w: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88">
              <w:r>
                <w:rPr>
                  <w:rFonts w:ascii="Times New Roman" w:cs="Times New Roman" w:eastAsia="Times New Roman" w:hAnsi="Times New Roman"/>
                  <w:sz w:val="18"/>
                  <w:szCs w:val="18"/>
                  <w:color w:val="0000FF"/>
                </w:rPr>
                <w:t>to the Registrant’s Current Report on Form 8-K, filed on January 4, 2023 (File No. 001-34675)</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0" w:type="dxa"/>
            <w:vAlign w:val="bottom"/>
            <w:tcBorders>
              <w:right w:val="single" w:sz="8" w:color="0000EE"/>
            </w:tcBorders>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9980" w:type="dxa"/>
            <w:vAlign w:val="bottom"/>
            <w:gridSpan w:val="18"/>
          </w:tcPr>
          <w:p>
            <w:pPr>
              <w:spacing w:after="0"/>
              <w:rPr>
                <w:rFonts w:ascii="Times New Roman" w:cs="Times New Roman" w:eastAsia="Times New Roman" w:hAnsi="Times New Roman"/>
                <w:sz w:val="18"/>
                <w:szCs w:val="18"/>
                <w:color w:val="0000FF"/>
              </w:rPr>
            </w:pPr>
            <w:hyperlink r:id="rId489">
              <w:r>
                <w:rPr>
                  <w:rFonts w:ascii="Times New Roman" w:cs="Times New Roman" w:eastAsia="Times New Roman" w:hAnsi="Times New Roman"/>
                  <w:sz w:val="18"/>
                  <w:szCs w:val="18"/>
                  <w:color w:val="0000FF"/>
                </w:rPr>
                <w:t>SOFR Amendment to Credit Agreement, dated as of June 6, 2023, among SS&amp;C Technologies, Inc., SS&amp;C European Holdings S.a.R.L.,</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89">
              <w:r>
                <w:rPr>
                  <w:rFonts w:ascii="Times New Roman" w:cs="Times New Roman" w:eastAsia="Times New Roman" w:hAnsi="Times New Roman"/>
                  <w:sz w:val="18"/>
                  <w:szCs w:val="18"/>
                  <w:color w:val="0000FF"/>
                </w:rPr>
                <w:t>SS&amp;C Technologies Holdings Europe S.a.R.L., SS&amp;C Financing LLC, Credit Suisse AG, Cayman Islands Branch, as term facilities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89">
              <w:r>
                <w:rPr>
                  <w:rFonts w:ascii="Times New Roman" w:cs="Times New Roman" w:eastAsia="Times New Roman" w:hAnsi="Times New Roman"/>
                  <w:sz w:val="18"/>
                  <w:szCs w:val="18"/>
                  <w:color w:val="0000FF"/>
                </w:rPr>
                <w:t>administrative agent, and Morgan Stanley Senior Funding, Inc., as revolving facility administrative agent is incorporated by reference to</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10.37</w:t>
            </w: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89">
              <w:r>
                <w:rPr>
                  <w:rFonts w:ascii="Times New Roman" w:cs="Times New Roman" w:eastAsia="Times New Roman" w:hAnsi="Times New Roman"/>
                  <w:sz w:val="18"/>
                  <w:szCs w:val="18"/>
                  <w:color w:val="0000FF"/>
                </w:rPr>
                <w:t>Exhibit 10.1 to the Registrant’s Quarterly Report on Form 10-Q for the quarter ended June 30, 2023 (File No. 001-34675)</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9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First Supplemental Indenture, dated as of April 26, 2024, by and among SS&amp;C Technologies, Inc., certain of SS&amp;C Technologies</w:t>
            </w:r>
          </w:p>
        </w:tc>
        <w:tc>
          <w:tcPr>
            <w:tcW w:w="5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w w:val="99"/>
              </w:rPr>
            </w:pPr>
            <w:hyperlink r:id="rId489">
              <w:r>
                <w:rPr>
                  <w:rFonts w:ascii="Times New Roman" w:cs="Times New Roman" w:eastAsia="Times New Roman" w:hAnsi="Times New Roman"/>
                  <w:sz w:val="18"/>
                  <w:szCs w:val="18"/>
                  <w:color w:val="0000FF"/>
                  <w:w w:val="99"/>
                </w:rPr>
                <w:t>Holdings, Inc.’s subsidiaries, as guarantors, and Wilmington Trust, National Association, as trustee is incorporated by reference to Exhibit</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10.38</w:t>
            </w: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Quarterly Report on Form 10-Q for the quarter ended March 31, 2024 (File No. 001-34675)</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9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Indenture, dated as of May 9, 2024, among SS&amp;C Technologies Inc., SS&amp;C Technologies Holdings, Inc., the other guarantors party</w:t>
            </w:r>
          </w:p>
        </w:tc>
        <w:tc>
          <w:tcPr>
            <w:tcW w:w="40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6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thereto and Wilmington Trust, National Association, as trustee is incorporated by reference to Exhibit 4.1 to the Registrant’s Current</w:t>
            </w:r>
          </w:p>
        </w:tc>
        <w:tc>
          <w:tcPr>
            <w:tcW w:w="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10.39</w:t>
            </w:r>
          </w:p>
        </w:tc>
        <w:tc>
          <w:tcPr>
            <w:tcW w:w="4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Report on Form 8-K, filed on May 9, 2024 (File No. 001-34675)</w:t>
            </w:r>
          </w:p>
        </w:tc>
        <w:tc>
          <w:tcPr>
            <w:tcW w:w="53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9980" w:type="dxa"/>
            <w:vAlign w:val="bottom"/>
            <w:gridSpan w:val="18"/>
          </w:tcPr>
          <w:p>
            <w:pPr>
              <w:spacing w:after="0"/>
              <w:rPr>
                <w:rFonts w:ascii="Times New Roman" w:cs="Times New Roman" w:eastAsia="Times New Roman" w:hAnsi="Times New Roman"/>
                <w:sz w:val="18"/>
                <w:szCs w:val="18"/>
                <w:color w:val="0000FF"/>
              </w:rPr>
            </w:pPr>
            <w:hyperlink r:id="rId490">
              <w:r>
                <w:rPr>
                  <w:rFonts w:ascii="Times New Roman" w:cs="Times New Roman" w:eastAsia="Times New Roman" w:hAnsi="Times New Roman"/>
                  <w:sz w:val="18"/>
                  <w:szCs w:val="18"/>
                  <w:color w:val="0000FF"/>
                </w:rPr>
                <w:t>Incremental Joinder &amp; First Amendment to Credit Agreement, dated as of May 9, 2024, by and among SS&amp;C Technologies, Inc., the</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94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90">
              <w:r>
                <w:rPr>
                  <w:rFonts w:ascii="Times New Roman" w:cs="Times New Roman" w:eastAsia="Times New Roman" w:hAnsi="Times New Roman"/>
                  <w:sz w:val="18"/>
                  <w:szCs w:val="18"/>
                  <w:color w:val="0000FF"/>
                </w:rPr>
                <w:t>other loan parties thereto, the lenders party thereto, Morgan Stanley Senior Funding, Inc., as administrative agent, and the other parties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94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90">
              <w:r>
                <w:rPr>
                  <w:rFonts w:ascii="Times New Roman" w:cs="Times New Roman" w:eastAsia="Times New Roman" w:hAnsi="Times New Roman"/>
                  <w:sz w:val="18"/>
                  <w:szCs w:val="18"/>
                  <w:color w:val="0000FF"/>
                </w:rPr>
                <w:t>thereto is incorporated by reference to Exhibit 10.1 to the Registrant’s Current Report on Form 8-K, filed on May 9, 2024 (File No. 001-</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10.40†</w:t>
            </w:r>
          </w:p>
        </w:tc>
        <w:tc>
          <w:tcPr>
            <w:tcW w:w="520" w:type="dxa"/>
            <w:vAlign w:val="bottom"/>
            <w:gridSpan w:val="2"/>
          </w:tcPr>
          <w:p>
            <w:pPr>
              <w:spacing w:after="0" w:line="196" w:lineRule="exact"/>
              <w:rPr>
                <w:rFonts w:ascii="Times New Roman" w:cs="Times New Roman" w:eastAsia="Times New Roman" w:hAnsi="Times New Roman"/>
                <w:sz w:val="18"/>
                <w:szCs w:val="18"/>
                <w:color w:val="0000FF"/>
                <w:w w:val="94"/>
              </w:rPr>
            </w:pPr>
            <w:hyperlink r:id="rId490">
              <w:r>
                <w:rPr>
                  <w:rFonts w:ascii="Times New Roman" w:cs="Times New Roman" w:eastAsia="Times New Roman" w:hAnsi="Times New Roman"/>
                  <w:sz w:val="18"/>
                  <w:szCs w:val="18"/>
                  <w:color w:val="0000FF"/>
                  <w:w w:val="94"/>
                </w:rPr>
                <w:t>34675)</w:t>
              </w:r>
            </w:hyperlink>
          </w:p>
        </w:tc>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794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9980" w:type="dxa"/>
            <w:vAlign w:val="bottom"/>
            <w:gridSpan w:val="18"/>
          </w:tcPr>
          <w:p>
            <w:pPr>
              <w:spacing w:after="0"/>
              <w:rPr>
                <w:rFonts w:ascii="Times New Roman" w:cs="Times New Roman" w:eastAsia="Times New Roman" w:hAnsi="Times New Roman"/>
                <w:sz w:val="18"/>
                <w:szCs w:val="18"/>
                <w:color w:val="0000FF"/>
                <w:w w:val="99"/>
              </w:rPr>
            </w:pPr>
            <w:hyperlink r:id="rId491">
              <w:r>
                <w:rPr>
                  <w:rFonts w:ascii="Times New Roman" w:cs="Times New Roman" w:eastAsia="Times New Roman" w:hAnsi="Times New Roman"/>
                  <w:sz w:val="18"/>
                  <w:szCs w:val="18"/>
                  <w:color w:val="0000FF"/>
                  <w:w w:val="99"/>
                </w:rPr>
                <w:t>SS&amp;C Technologies Holdings, Inc. Amended and Restated 2023 Stock Incentive Plan, adopted effective May 29, 2024, is incorporated by</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40" w:type="dxa"/>
            <w:vAlign w:val="bottom"/>
            <w:tcBorders>
              <w:right w:val="single" w:sz="8" w:color="0000FF"/>
            </w:tcBorders>
            <w:gridSpan w:val="6"/>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10.41</w:t>
            </w: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91">
              <w:r>
                <w:rPr>
                  <w:rFonts w:ascii="Times New Roman" w:cs="Times New Roman" w:eastAsia="Times New Roman" w:hAnsi="Times New Roman"/>
                  <w:sz w:val="18"/>
                  <w:szCs w:val="18"/>
                  <w:color w:val="0000FF"/>
                </w:rPr>
                <w:t>reference to Exhibit 99.1 to the Registrant’s Registration Statement on Form S-8, filed on July 30, 2024 (File No. 333-281105)</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40" w:type="dxa"/>
            <w:vAlign w:val="bottom"/>
            <w:tcBorders>
              <w:right w:val="single" w:sz="8" w:color="0000FF"/>
            </w:tcBorders>
            <w:gridSpan w:val="6"/>
            <w:shd w:val="clear" w:color="auto" w:fill="0000FF"/>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vMerge w:val="continue"/>
          </w:tcPr>
          <w:p>
            <w:pPr>
              <w:spacing w:after="0"/>
              <w:rPr>
                <w:sz w:val="19"/>
                <w:szCs w:val="19"/>
                <w:color w:val="auto"/>
              </w:rPr>
            </w:pPr>
          </w:p>
        </w:tc>
        <w:tc>
          <w:tcPr>
            <w:tcW w:w="9980" w:type="dxa"/>
            <w:vAlign w:val="bottom"/>
            <w:gridSpan w:val="18"/>
          </w:tcPr>
          <w:p>
            <w:pPr>
              <w:spacing w:after="0"/>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Incremental Joinder to Credit Agreement, dated as of September 27, 2024, by and among SS&amp;C Technologies, Inc., the lenders party</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40" w:type="dxa"/>
            <w:vAlign w:val="bottom"/>
            <w:tcBorders>
              <w:right w:val="single" w:sz="8" w:color="0000FF"/>
            </w:tcBorders>
            <w:gridSpan w:val="6"/>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thereto, the other loan parties thereto and Morgan Stanley Senior Funding, Inc., as term facilities administrative agent, is incorporated by</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40" w:type="dxa"/>
            <w:vAlign w:val="bottom"/>
            <w:tcBorders>
              <w:right w:val="single" w:sz="8" w:color="0000FF"/>
            </w:tcBorders>
            <w:gridSpan w:val="6"/>
            <w:shd w:val="clear" w:color="auto" w:fill="0000FF"/>
          </w:tcPr>
          <w:p>
            <w:pPr>
              <w:spacing w:after="0" w:line="20" w:lineRule="exact"/>
              <w:rPr>
                <w:sz w:val="1"/>
                <w:szCs w:val="1"/>
                <w:color w:val="auto"/>
              </w:rPr>
            </w:pPr>
          </w:p>
        </w:tc>
        <w:tc>
          <w:tcPr>
            <w:tcW w:w="1440" w:type="dxa"/>
            <w:vAlign w:val="bottom"/>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reference to Exhibit 10.1 to Registrant’s Current Report on Form 8-K, filed on October 1, 2024 (File No. 001-34675)</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240" w:right="160" w:hanging="1219"/>
        <w:spacing w:after="0" w:line="261" w:lineRule="auto"/>
        <w:tabs>
          <w:tab w:leader="none" w:pos="1240" w:val="left"/>
        </w:tabs>
        <w:numPr>
          <w:ilvl w:val="0"/>
          <w:numId w:val="52"/>
        </w:numPr>
        <w:rPr>
          <w:rFonts w:ascii="Times New Roman" w:cs="Times New Roman" w:eastAsia="Times New Roman" w:hAnsi="Times New Roman"/>
          <w:sz w:val="18"/>
          <w:szCs w:val="18"/>
          <w:u w:val="single" w:color="auto"/>
          <w:color w:val="0000FF"/>
        </w:rPr>
      </w:pPr>
      <w:hyperlink r:id="rId493">
        <w:r>
          <w:rPr>
            <w:rFonts w:ascii="Times New Roman" w:cs="Times New Roman" w:eastAsia="Times New Roman" w:hAnsi="Times New Roman"/>
            <w:sz w:val="18"/>
            <w:szCs w:val="18"/>
            <w:u w:val="single" w:color="auto"/>
            <w:color w:val="0000FF"/>
          </w:rPr>
          <w:t>SS&amp;C Technologies Holdings, Inc. Securities Transaction Policy, effective as of October 25, 2023 is incorporated herein by reference to</w:t>
        </w:r>
      </w:hyperlink>
      <w:r>
        <w:rPr>
          <w:rFonts w:ascii="Times New Roman" w:cs="Times New Roman" w:eastAsia="Times New Roman" w:hAnsi="Times New Roman"/>
          <w:sz w:val="18"/>
          <w:szCs w:val="18"/>
          <w:u w:val="single" w:color="auto"/>
          <w:color w:val="0000FF"/>
        </w:rPr>
        <w:t xml:space="preserve"> </w:t>
      </w:r>
      <w:hyperlink r:id="rId493">
        <w:r>
          <w:rPr>
            <w:rFonts w:ascii="Times New Roman" w:cs="Times New Roman" w:eastAsia="Times New Roman" w:hAnsi="Times New Roman"/>
            <w:sz w:val="18"/>
            <w:szCs w:val="18"/>
            <w:u w:val="single" w:color="auto"/>
            <w:color w:val="0000FF"/>
          </w:rPr>
          <w:t>Exhibit 19 to SS&amp;C Technologies, Inc.’s Annual Report on Form 10-K for the year ended December 31, 2023 (File No. 001-34675)</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784860</wp:posOffset>
            </wp:positionH>
            <wp:positionV relativeFrom="paragraph">
              <wp:posOffset>-161925</wp:posOffset>
            </wp:positionV>
            <wp:extent cx="62788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4">
                      <a:extLst>
                        <a:ext uri="{28A0092B-C50C-407E-A947-70E740481C1C}"/>
                      </a:extLst>
                    </a:blip>
                    <a:srcRect/>
                    <a:stretch>
                      <a:fillRect/>
                    </a:stretch>
                  </pic:blipFill>
                  <pic:spPr bwMode="auto">
                    <a:xfrm>
                      <a:off x="0" y="0"/>
                      <a:ext cx="6278880" cy="8255"/>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-24765</wp:posOffset>
            </wp:positionV>
            <wp:extent cx="604774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5">
                      <a:extLst>
                        <a:ext uri="{28A0092B-C50C-407E-A947-70E740481C1C}"/>
                      </a:extLst>
                    </a:blip>
                    <a:srcRect/>
                    <a:stretch>
                      <a:fillRect/>
                    </a:stretch>
                  </pic:blipFill>
                  <pic:spPr bwMode="auto">
                    <a:xfrm>
                      <a:off x="0" y="0"/>
                      <a:ext cx="604774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21*</w:t>
      </w:r>
    </w:p>
    <w:p>
      <w:pPr>
        <w:spacing w:after="0" w:line="31"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7"/>
          <w:szCs w:val="17"/>
          <w:color w:val="auto"/>
        </w:rPr>
        <w:t>23.1*</w:t>
      </w:r>
    </w:p>
    <w:p>
      <w:pPr>
        <w:spacing w:after="0" w:line="48"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7"/>
          <w:szCs w:val="17"/>
          <w:color w:val="auto"/>
        </w:rPr>
        <w:t>31.1*</w:t>
      </w:r>
    </w:p>
    <w:p>
      <w:pPr>
        <w:spacing w:after="0" w:line="48"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7"/>
          <w:szCs w:val="17"/>
          <w:color w:val="auto"/>
        </w:rPr>
        <w:t>31.2*</w:t>
      </w:r>
    </w:p>
    <w:p>
      <w:pPr>
        <w:spacing w:after="0" w:line="48"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0000FF"/>
        </w:rPr>
        <w:t>Subsidiaries of the Registrant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34874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6">
                      <a:extLst>
                        <a:ext uri="{28A0092B-C50C-407E-A947-70E740481C1C}"/>
                      </a:extLst>
                    </a:blip>
                    <a:srcRect/>
                    <a:stretch>
                      <a:fillRect/>
                    </a:stretch>
                  </pic:blipFill>
                  <pic:spPr bwMode="auto">
                    <a:xfrm>
                      <a:off x="0" y="0"/>
                      <a:ext cx="1348740" cy="8890"/>
                    </a:xfrm>
                    <a:prstGeom prst="rect">
                      <a:avLst/>
                    </a:prstGeom>
                    <a:noFill/>
                  </pic:spPr>
                </pic:pic>
              </a:graphicData>
            </a:graphic>
          </wp:anchor>
        </w:drawing>
      </w:r>
    </w:p>
    <w:p>
      <w:pPr>
        <w:spacing w:after="0" w:line="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PricewaterhouseCoopers LLP</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89420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7">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Certifications of the Registrant’s Chief Executive Officer pursuant to Section 302 of the Sarbanes-Oxley Act of 2002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53555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8">
                      <a:extLst>
                        <a:ext uri="{28A0092B-C50C-407E-A947-70E740481C1C}"/>
                      </a:extLst>
                    </a:blip>
                    <a:srcRect/>
                    <a:stretch>
                      <a:fillRect/>
                    </a:stretch>
                  </pic:blipFill>
                  <pic:spPr bwMode="auto">
                    <a:xfrm>
                      <a:off x="0" y="0"/>
                      <a:ext cx="5355590" cy="8255"/>
                    </a:xfrm>
                    <a:prstGeom prst="rect">
                      <a:avLst/>
                    </a:prstGeom>
                    <a:noFill/>
                  </pic:spPr>
                </pic:pic>
              </a:graphicData>
            </a:graphic>
          </wp:anchor>
        </w:drawing>
      </w:r>
    </w:p>
    <w:p>
      <w:pPr>
        <w:spacing w:after="0" w:line="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Certifications of the Registrant’s Chief Financial Officer pursuant to Section 302 of the Sarbanes-Oxley Act of 2002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532447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9">
                      <a:extLst>
                        <a:ext uri="{28A0092B-C50C-407E-A947-70E740481C1C}"/>
                      </a:extLst>
                    </a:blip>
                    <a:srcRect/>
                    <a:stretch>
                      <a:fillRect/>
                    </a:stretch>
                  </pic:blipFill>
                  <pic:spPr bwMode="auto">
                    <a:xfrm>
                      <a:off x="0" y="0"/>
                      <a:ext cx="5324475" cy="8255"/>
                    </a:xfrm>
                    <a:prstGeom prst="rect">
                      <a:avLst/>
                    </a:prstGeom>
                    <a:noFill/>
                  </pic:spPr>
                </pic:pic>
              </a:graphicData>
            </a:graphic>
          </wp:anchor>
        </w:drawing>
      </w:r>
    </w:p>
    <w:p>
      <w:pPr>
        <w:spacing w:after="0" w:line="16" w:lineRule="exact"/>
        <w:rPr>
          <w:rFonts w:ascii="Times New Roman" w:cs="Times New Roman" w:eastAsia="Times New Roman" w:hAnsi="Times New Roman"/>
          <w:sz w:val="18"/>
          <w:szCs w:val="18"/>
          <w:color w:val="auto"/>
        </w:rPr>
      </w:pPr>
    </w:p>
    <w:p>
      <w:pPr>
        <w:ind w:right="80"/>
        <w:spacing w:after="0" w:line="257" w:lineRule="auto"/>
        <w:rPr>
          <w:sz w:val="20"/>
          <w:szCs w:val="20"/>
          <w:color w:val="auto"/>
        </w:rPr>
      </w:pPr>
      <w:r>
        <w:rPr>
          <w:rFonts w:ascii="Times New Roman" w:cs="Times New Roman" w:eastAsia="Times New Roman" w:hAnsi="Times New Roman"/>
          <w:sz w:val="18"/>
          <w:szCs w:val="18"/>
          <w:u w:val="single" w:color="auto"/>
          <w:color w:val="0000FF"/>
        </w:rPr>
        <w:t>Certification of the Registrant’s Chief Executive Officer and Chief Financial Officer pursuant to 18 U.S.C. Section 1351, as adopted pursuant to Section 906 of the Sarbanes-Oxley Act of 2002 (furnished and not filed for purposes of sections 11 or 12 of the Securities Act and section 18 of the Exchange Act)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608203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0">
                      <a:extLst>
                        <a:ext uri="{28A0092B-C50C-407E-A947-70E740481C1C}"/>
                      </a:extLst>
                    </a:blip>
                    <a:srcRect/>
                    <a:stretch>
                      <a:fillRect/>
                    </a:stretch>
                  </pic:blipFill>
                  <pic:spPr bwMode="auto">
                    <a:xfrm>
                      <a:off x="0" y="0"/>
                      <a:ext cx="60820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-161290</wp:posOffset>
            </wp:positionV>
            <wp:extent cx="633031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1">
                      <a:extLst>
                        <a:ext uri="{28A0092B-C50C-407E-A947-70E740481C1C}"/>
                      </a:extLst>
                    </a:blip>
                    <a:srcRect/>
                    <a:stretch>
                      <a:fillRect/>
                    </a:stretch>
                  </pic:blipFill>
                  <pic:spPr bwMode="auto">
                    <a:xfrm>
                      <a:off x="0" y="0"/>
                      <a:ext cx="63303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16624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2">
                      <a:extLst>
                        <a:ext uri="{28A0092B-C50C-407E-A947-70E740481C1C}"/>
                      </a:extLst>
                    </a:blip>
                    <a:srcRect/>
                    <a:stretch>
                      <a:fillRect/>
                    </a:stretch>
                  </pic:blipFill>
                  <pic:spPr bwMode="auto">
                    <a:xfrm>
                      <a:off x="0" y="0"/>
                      <a:ext cx="1662430" cy="8255"/>
                    </a:xfrm>
                    <a:prstGeom prst="rect">
                      <a:avLst/>
                    </a:prstGeom>
                    <a:noFill/>
                  </pic:spPr>
                </pic:pic>
              </a:graphicData>
            </a:graphic>
          </wp:anchor>
        </w:drawing>
      </w:r>
    </w:p>
    <w:p>
      <w:pPr>
        <w:spacing w:after="0" w:line="10" w:lineRule="exact"/>
        <w:rPr>
          <w:rFonts w:ascii="Times New Roman" w:cs="Times New Roman" w:eastAsia="Times New Roman" w:hAnsi="Times New Roman"/>
          <w:sz w:val="18"/>
          <w:szCs w:val="18"/>
          <w:color w:val="auto"/>
        </w:rPr>
      </w:pPr>
    </w:p>
    <w:p>
      <w:pPr>
        <w:sectPr>
          <w:pgSz w:w="11900" w:h="16838" w:orient="portrait"/>
          <w:cols w:equalWidth="0" w:num="2">
            <w:col w:w="520" w:space="720"/>
            <w:col w:w="10000"/>
          </w:cols>
          <w:pgMar w:left="320" w:top="985" w:right="339" w:bottom="1440" w:gutter="0" w:footer="0" w:header="0"/>
          <w:type w:val="continuous"/>
        </w:sectPr>
      </w:pPr>
    </w:p>
    <w:p>
      <w:pPr>
        <w:ind w:left="1240" w:right="160" w:hanging="1219"/>
        <w:spacing w:after="0" w:line="257" w:lineRule="auto"/>
        <w:tabs>
          <w:tab w:leader="none" w:pos="1240" w:val="left"/>
        </w:tabs>
        <w:numPr>
          <w:ilvl w:val="0"/>
          <w:numId w:val="53"/>
        </w:numPr>
        <w:rPr>
          <w:rFonts w:ascii="Times New Roman" w:cs="Times New Roman" w:eastAsia="Times New Roman" w:hAnsi="Times New Roman"/>
          <w:sz w:val="18"/>
          <w:szCs w:val="18"/>
          <w:u w:val="single" w:color="auto"/>
          <w:color w:val="0000FF"/>
        </w:rPr>
      </w:pPr>
      <w:hyperlink r:id="rId503">
        <w:r>
          <w:rPr>
            <w:rFonts w:ascii="Times New Roman" w:cs="Times New Roman" w:eastAsia="Times New Roman" w:hAnsi="Times New Roman"/>
            <w:sz w:val="18"/>
            <w:szCs w:val="18"/>
            <w:u w:val="single" w:color="auto"/>
            <w:color w:val="0000FF"/>
          </w:rPr>
          <w:t>SS&amp;C Technologies Holdings, Inc. Financial Statement Compensation Recoupment Policy, effective as of October 2, 2023 is</w:t>
        </w:r>
      </w:hyperlink>
      <w:r>
        <w:rPr>
          <w:rFonts w:ascii="Times New Roman" w:cs="Times New Roman" w:eastAsia="Times New Roman" w:hAnsi="Times New Roman"/>
          <w:sz w:val="18"/>
          <w:szCs w:val="18"/>
          <w:u w:val="single" w:color="auto"/>
          <w:color w:val="0000FF"/>
        </w:rPr>
        <w:t xml:space="preserve"> </w:t>
      </w:r>
      <w:hyperlink r:id="rId503">
        <w:r>
          <w:rPr>
            <w:rFonts w:ascii="Times New Roman" w:cs="Times New Roman" w:eastAsia="Times New Roman" w:hAnsi="Times New Roman"/>
            <w:sz w:val="18"/>
            <w:szCs w:val="18"/>
            <w:u w:val="single" w:color="auto"/>
            <w:color w:val="0000FF"/>
          </w:rPr>
          <w:t>incorporated herein by reference to Exhibit 97 to SS&amp;C Technologies, Inc.’s Annual Report on Form 10-K for the year ended December</w:t>
        </w:r>
      </w:hyperlink>
      <w:r>
        <w:rPr>
          <w:rFonts w:ascii="Times New Roman" w:cs="Times New Roman" w:eastAsia="Times New Roman" w:hAnsi="Times New Roman"/>
          <w:sz w:val="18"/>
          <w:szCs w:val="18"/>
          <w:u w:val="single" w:color="auto"/>
          <w:color w:val="0000FF"/>
        </w:rPr>
        <w:t xml:space="preserve"> </w:t>
      </w:r>
      <w:hyperlink r:id="rId503">
        <w:r>
          <w:rPr>
            <w:rFonts w:ascii="Times New Roman" w:cs="Times New Roman" w:eastAsia="Times New Roman" w:hAnsi="Times New Roman"/>
            <w:sz w:val="18"/>
            <w:szCs w:val="18"/>
            <w:u w:val="single" w:color="auto"/>
            <w:color w:val="0000FF"/>
          </w:rPr>
          <w:t>31, 2023 (File No. 001-34675)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784860</wp:posOffset>
            </wp:positionH>
            <wp:positionV relativeFrom="paragraph">
              <wp:posOffset>-298450</wp:posOffset>
            </wp:positionV>
            <wp:extent cx="57753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4">
                      <a:extLst>
                        <a:ext uri="{28A0092B-C50C-407E-A947-70E740481C1C}"/>
                      </a:extLst>
                    </a:blip>
                    <a:srcRect/>
                    <a:stretch>
                      <a:fillRect/>
                    </a:stretch>
                  </pic:blipFill>
                  <pic:spPr bwMode="auto">
                    <a:xfrm>
                      <a:off x="0" y="0"/>
                      <a:ext cx="5775325" cy="8255"/>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-161290</wp:posOffset>
            </wp:positionV>
            <wp:extent cx="62788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5">
                      <a:extLst>
                        <a:ext uri="{28A0092B-C50C-407E-A947-70E740481C1C}"/>
                      </a:extLst>
                    </a:blip>
                    <a:srcRect/>
                    <a:stretch>
                      <a:fillRect/>
                    </a:stretch>
                  </pic:blipFill>
                  <pic:spPr bwMode="auto">
                    <a:xfrm>
                      <a:off x="0" y="0"/>
                      <a:ext cx="6278880" cy="889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-24130</wp:posOffset>
            </wp:positionV>
            <wp:extent cx="14027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6">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0" w:type="dxa"/>
            <w:vAlign w:val="bottom"/>
          </w:tcPr>
          <w:p>
            <w:pPr>
              <w:spacing w:after="0"/>
              <w:rPr>
                <w:sz w:val="1"/>
                <w:szCs w:val="1"/>
                <w:color w:val="auto"/>
              </w:rPr>
            </w:pPr>
          </w:p>
        </w:tc>
      </w:tr>
      <w:tr>
        <w:trPr>
          <w:trHeight w:val="445"/>
        </w:trPr>
        <w:tc>
          <w:tcPr>
            <w:tcW w:w="1000" w:type="dxa"/>
            <w:vAlign w:val="bottom"/>
          </w:tcPr>
          <w:p>
            <w:pPr>
              <w:spacing w:after="0"/>
              <w:rPr>
                <w:sz w:val="24"/>
                <w:szCs w:val="24"/>
                <w:color w:val="auto"/>
              </w:rPr>
            </w:pPr>
          </w:p>
        </w:tc>
        <w:tc>
          <w:tcPr>
            <w:tcW w:w="102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195"/>
        </w:trPr>
        <w:tc>
          <w:tcPr>
            <w:tcW w:w="1000" w:type="dxa"/>
            <w:vAlign w:val="bottom"/>
            <w:tcBorders>
              <w:bottom w:val="single" w:sz="8" w:color="9A9A9A"/>
            </w:tcBorders>
          </w:tcPr>
          <w:p>
            <w:pPr>
              <w:spacing w:after="0"/>
              <w:rPr>
                <w:sz w:val="24"/>
                <w:szCs w:val="24"/>
                <w:color w:val="auto"/>
              </w:rPr>
            </w:pPr>
          </w:p>
        </w:tc>
        <w:tc>
          <w:tcPr>
            <w:tcW w:w="10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3" w:name="page94"/>
    <w:bookmarkEnd w:id="93"/>
    <w:tbl>
      <w:tblPr>
        <w:tblLayout w:type="fixed"/>
        <w:tblInd w:w="20" w:type="dxa"/>
        <w:tblCellMar>
          <w:top w:w="0" w:type="dxa"/>
          <w:left w:w="0" w:type="dxa"/>
          <w:bottom w:w="0" w:type="dxa"/>
          <w:right w:w="0" w:type="dxa"/>
        </w:tblCellMar>
      </w:tblPr>
      <w:tr>
        <w:trPr>
          <w:trHeight w:val="24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101.REF*</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Reference Linkbase.</w:t>
            </w:r>
          </w:p>
        </w:tc>
      </w:tr>
      <w:tr>
        <w:trPr>
          <w:trHeight w:val="24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r>
    </w:tbl>
    <w:p>
      <w:pPr>
        <w:spacing w:after="0" w:line="157" w:lineRule="exact"/>
        <w:rPr>
          <w:sz w:val="20"/>
          <w:szCs w:val="20"/>
          <w:color w:val="auto"/>
        </w:rPr>
      </w:pPr>
    </w:p>
    <w:p>
      <w:pPr>
        <w:ind w:left="140" w:hanging="132"/>
        <w:spacing w:after="0"/>
        <w:tabs>
          <w:tab w:leader="none" w:pos="1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 filed herewith in response to Item 15(a)(3) of the Instructions to the Annual Report on Form</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10-K.</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1912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 Language): (i) Consolidated Balance Sheets at December 31, 2024 and 2023, (ii) Consolidated Statements of Comprehensive Income for the years ended December 31, 2024, 2023 and 2022,</w:t>
      </w:r>
    </w:p>
    <w:p>
      <w:pPr>
        <w:ind w:right="660" w:firstLine="8"/>
        <w:spacing w:after="0" w:line="260" w:lineRule="auto"/>
        <w:tabs>
          <w:tab w:leader="none" w:pos="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2024, 2023 and 2022, (iv) Consolidated Statements of Changes in Stockholders’ Equity for the years ended December 31, 2024, 2023 and 2022 and (v) Notes to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SS&amp;C TECHNOLOGIES HOLDINGS, INC.</w:t>
      </w:r>
    </w:p>
    <w:p>
      <w:pPr>
        <w:spacing w:after="0" w:line="252" w:lineRule="exact"/>
        <w:rPr>
          <w:sz w:val="20"/>
          <w:szCs w:val="20"/>
          <w:color w:val="auto"/>
        </w:rPr>
      </w:pPr>
    </w:p>
    <w:p>
      <w:pPr>
        <w:ind w:left="6780"/>
        <w:spacing w:after="0"/>
        <w:tabs>
          <w:tab w:leader="none" w:pos="7280" w:val="left"/>
        </w:tabs>
        <w:rPr>
          <w:sz w:val="20"/>
          <w:szCs w:val="20"/>
          <w:color w:val="auto"/>
        </w:rPr>
      </w:pPr>
      <w:r>
        <w:rPr>
          <w:rFonts w:ascii="Times New Roman" w:cs="Times New Roman" w:eastAsia="Times New Roman" w:hAnsi="Times New Roman"/>
          <w:sz w:val="18"/>
          <w:szCs w:val="18"/>
          <w:color w:val="auto"/>
        </w:rPr>
        <w:t>By:</w:t>
        <w:tab/>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17145</wp:posOffset>
            </wp:positionV>
            <wp:extent cx="25114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William C. Stone</w:t>
      </w:r>
    </w:p>
    <w:p>
      <w:pPr>
        <w:spacing w:after="0" w:line="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March 3, 2025</w:t>
      </w:r>
    </w:p>
    <w:p>
      <w:pPr>
        <w:spacing w:after="0" w:line="22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981" w:right="359"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2280" w:type="dxa"/>
            <w:vAlign w:val="bottom"/>
            <w:gridSpan w:val="2"/>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980" w:type="dxa"/>
            <w:vAlign w:val="bottom"/>
            <w:gridSpan w:val="3"/>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0"/>
        </w:trPr>
        <w:tc>
          <w:tcPr>
            <w:tcW w:w="1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William C. Stone</w:t>
            </w:r>
          </w:p>
        </w:tc>
        <w:tc>
          <w:tcPr>
            <w:tcW w:w="298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Chairman of the Board and Chief</w:t>
            </w:r>
          </w:p>
        </w:tc>
      </w:tr>
      <w:tr>
        <w:trPr>
          <w:trHeight w:val="191"/>
        </w:trPr>
        <w:tc>
          <w:tcPr>
            <w:tcW w:w="394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William C. Stone</w:t>
            </w:r>
          </w:p>
        </w:tc>
        <w:tc>
          <w:tcPr>
            <w:tcW w:w="2980" w:type="dxa"/>
            <w:vAlign w:val="bottom"/>
            <w:gridSpan w:val="3"/>
          </w:tcPr>
          <w:p>
            <w:pPr>
              <w:jc w:val="center"/>
              <w:ind w:left="331"/>
              <w:spacing w:after="0" w:line="191" w:lineRule="exact"/>
              <w:rPr>
                <w:sz w:val="20"/>
                <w:szCs w:val="20"/>
                <w:color w:val="auto"/>
              </w:rPr>
            </w:pPr>
            <w:r>
              <w:rPr>
                <w:rFonts w:ascii="Times New Roman" w:cs="Times New Roman" w:eastAsia="Times New Roman" w:hAnsi="Times New Roman"/>
                <w:sz w:val="18"/>
                <w:szCs w:val="18"/>
                <w:color w:val="auto"/>
                <w:w w:val="99"/>
              </w:rPr>
              <w:t>Executive Officer</w:t>
            </w:r>
          </w:p>
        </w:tc>
      </w:tr>
      <w:tr>
        <w:trPr>
          <w:trHeight w:val="234"/>
        </w:trPr>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38"/>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Brian N. Schell</w:t>
            </w:r>
          </w:p>
        </w:tc>
        <w:tc>
          <w:tcPr>
            <w:tcW w:w="298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Executive Vice President and Chief</w:t>
            </w:r>
          </w:p>
        </w:tc>
      </w:tr>
      <w:tr>
        <w:trPr>
          <w:trHeight w:val="191"/>
        </w:trPr>
        <w:tc>
          <w:tcPr>
            <w:tcW w:w="394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rPr>
              <w:t>Brian N. Schell</w:t>
            </w:r>
          </w:p>
        </w:tc>
        <w:tc>
          <w:tcPr>
            <w:tcW w:w="2980" w:type="dxa"/>
            <w:vAlign w:val="bottom"/>
            <w:gridSpan w:val="3"/>
          </w:tcPr>
          <w:p>
            <w:pPr>
              <w:jc w:val="center"/>
              <w:ind w:left="331"/>
              <w:spacing w:after="0" w:line="191" w:lineRule="exact"/>
              <w:rPr>
                <w:sz w:val="20"/>
                <w:szCs w:val="20"/>
                <w:color w:val="auto"/>
              </w:rPr>
            </w:pPr>
            <w:r>
              <w:rPr>
                <w:rFonts w:ascii="Times New Roman" w:cs="Times New Roman" w:eastAsia="Times New Roman" w:hAnsi="Times New Roman"/>
                <w:sz w:val="18"/>
                <w:szCs w:val="18"/>
                <w:color w:val="auto"/>
              </w:rPr>
              <w:t>Financial Officer</w:t>
            </w:r>
          </w:p>
        </w:tc>
      </w:tr>
      <w:tr>
        <w:trPr>
          <w:trHeight w:val="216"/>
        </w:trPr>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98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(Principal Financial and</w:t>
            </w:r>
          </w:p>
        </w:tc>
      </w:tr>
      <w:tr>
        <w:trPr>
          <w:trHeight w:val="234"/>
        </w:trPr>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9"/>
              </w:rPr>
              <w:t>Accounting Officer)</w:t>
            </w:r>
          </w:p>
        </w:tc>
      </w:tr>
      <w:tr>
        <w:trPr>
          <w:trHeight w:val="337"/>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Normand A. Boulanger</w:t>
            </w:r>
          </w:p>
        </w:tc>
        <w:tc>
          <w:tcPr>
            <w:tcW w:w="298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Normand A. Boulanger</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1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Smita Conjeevaram</w:t>
            </w:r>
          </w:p>
        </w:tc>
        <w:tc>
          <w:tcPr>
            <w:tcW w:w="298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Smita Conjeevaram</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1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Jonathan E. Michael</w:t>
            </w:r>
          </w:p>
        </w:tc>
        <w:tc>
          <w:tcPr>
            <w:tcW w:w="298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Jonathan E. Michael</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1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David A. Varsano</w:t>
            </w:r>
          </w:p>
        </w:tc>
        <w:tc>
          <w:tcPr>
            <w:tcW w:w="298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David A. Varsano</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1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Debra Walton-Ruskin</w:t>
            </w:r>
          </w:p>
        </w:tc>
        <w:tc>
          <w:tcPr>
            <w:tcW w:w="298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Debra Walton-Ruskin</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19"/>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J. Zamkow</w:t>
            </w:r>
          </w:p>
        </w:tc>
        <w:tc>
          <w:tcPr>
            <w:tcW w:w="298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J. Zamkow</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461" w:lineRule="exact"/>
        <w:rPr>
          <w:sz w:val="20"/>
          <w:szCs w:val="20"/>
          <w:color w:val="auto"/>
        </w:rPr>
      </w:pPr>
    </w:p>
    <w:p>
      <w:pPr>
        <w:sectPr>
          <w:pgSz w:w="11900" w:h="16838" w:orient="portrait"/>
          <w:cols w:equalWidth="0" w:num="2">
            <w:col w:w="8020" w:space="720"/>
            <w:col w:w="2480"/>
          </w:cols>
          <w:pgMar w:left="320" w:top="981" w:right="35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62"/>
        </w:trPr>
        <w:tc>
          <w:tcPr>
            <w:tcW w:w="5940" w:type="dxa"/>
            <w:vAlign w:val="bottom"/>
          </w:tcPr>
          <w:p>
            <w:pPr>
              <w:spacing w:after="0"/>
              <w:rPr>
                <w:sz w:val="22"/>
                <w:szCs w:val="22"/>
                <w:color w:val="auto"/>
              </w:rPr>
            </w:pPr>
          </w:p>
        </w:tc>
        <w:tc>
          <w:tcPr>
            <w:tcW w:w="5300" w:type="dxa"/>
            <w:vAlign w:val="bottom"/>
          </w:tcPr>
          <w:p>
            <w:pPr>
              <w:ind w:left="4420"/>
              <w:spacing w:after="0"/>
              <w:rPr>
                <w:sz w:val="20"/>
                <w:szCs w:val="20"/>
                <w:color w:val="auto"/>
              </w:rPr>
            </w:pPr>
            <w:r>
              <w:rPr>
                <w:rFonts w:ascii="Times New Roman" w:cs="Times New Roman" w:eastAsia="Times New Roman" w:hAnsi="Times New Roman"/>
                <w:sz w:val="20"/>
                <w:szCs w:val="20"/>
                <w:b w:val="1"/>
                <w:bCs w:val="1"/>
                <w:color w:val="auto"/>
                <w:w w:val="97"/>
              </w:rPr>
              <w:t>Exhibit 21</w:t>
            </w:r>
          </w:p>
        </w:tc>
      </w:tr>
      <w:tr>
        <w:trPr>
          <w:trHeight w:val="372"/>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Advent Software, Inc.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ALPS Advisors,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ALPS Alternative Investment Services,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ALPS Distributors,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ALPS Fund Services, Inc.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ALPS Holdings,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ALPS Portfolio Solutions Distributor, Inc.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Battea Class Action Services, LLC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Battea FX Derivatives Group,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Battea Global Litigation Research,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Battea Litigation Monitoring Exchange,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Broadway Development, L.L.C.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Complete Financial Ops, Inc.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DomaniRx, LLC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DST Asset Manager Solutions, Inc.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DST Global Solutions LLC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DST Health Solutions,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DST Healthcare Holdings,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DST Output Summit Development Corporation</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DST Pershing Realty,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DST Pharmacy Solutions, Inc.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DST Realty Masskan, LLC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DST Realty, Inc.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DST Technologies,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DST UK Leasing I,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DST UK Leasing II, LLC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DST UK Realty,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DSTi US, LLC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Eleventh Street Corridor Development Corporation</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Eze Castle Software LLC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Eze Castle Transaction Services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Models Company Ltd.</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Hillside Properties Corporation</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IFDS GP,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Innovest Systems,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Intralinks,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Millennium Consulting Services,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Millennium Seminar Services, LLC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PDS Systems, Inc.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Street Securities,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Brokerage Solutions,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Financial Services LLC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Financing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GIDS,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Market Services,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Retirement Solutions, LLC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Technologies Connecticut LLC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rPr>
              <w:t>Connecticut</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Technologies,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Vermont Western Assurance, Inc.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Side Investment Management, Inc.</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Winchester Business Center, Inc.</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(Canada) Limited</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New Brunswick</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Fund Administration Company</w:t>
            </w:r>
          </w:p>
        </w:tc>
        <w:tc>
          <w:tcPr>
            <w:tcW w:w="5300" w:type="dxa"/>
            <w:vAlign w:val="bottom"/>
            <w:shd w:val="clear" w:color="auto" w:fill="CFF0FC"/>
          </w:tcPr>
          <w:p>
            <w:pPr>
              <w:jc w:val="center"/>
              <w:ind w:left="1530"/>
              <w:spacing w:after="0"/>
              <w:rPr>
                <w:sz w:val="20"/>
                <w:szCs w:val="20"/>
                <w:color w:val="auto"/>
              </w:rPr>
            </w:pPr>
            <w:r>
              <w:rPr>
                <w:rFonts w:ascii="Times New Roman" w:cs="Times New Roman" w:eastAsia="Times New Roman" w:hAnsi="Times New Roman"/>
                <w:sz w:val="18"/>
                <w:szCs w:val="18"/>
                <w:color w:val="auto"/>
                <w:w w:val="99"/>
              </w:rPr>
              <w:t>Nova Scotia</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Technologies Canada Corp.</w:t>
            </w:r>
          </w:p>
        </w:tc>
        <w:tc>
          <w:tcPr>
            <w:tcW w:w="53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Nova Scotia</w:t>
            </w:r>
          </w:p>
        </w:tc>
      </w:tr>
      <w:tr>
        <w:trPr>
          <w:trHeight w:val="24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Blue Prism Pty. Ltd.</w:t>
            </w:r>
          </w:p>
        </w:tc>
        <w:tc>
          <w:tcPr>
            <w:tcW w:w="5300" w:type="dxa"/>
            <w:vAlign w:val="bottom"/>
            <w:shd w:val="clear" w:color="auto" w:fill="CFF0FC"/>
          </w:tcPr>
          <w:p>
            <w:pPr>
              <w:jc w:val="center"/>
              <w:ind w:left="155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979"/>
        </w:trPr>
        <w:tc>
          <w:tcPr>
            <w:tcW w:w="59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Eze Software Group Pty Limited</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Intralinks Pty Limited</w:t>
            </w:r>
          </w:p>
        </w:tc>
        <w:tc>
          <w:tcPr>
            <w:tcW w:w="4480" w:type="dxa"/>
            <w:vAlign w:val="bottom"/>
            <w:shd w:val="clear" w:color="auto" w:fill="CFF0FC"/>
          </w:tcPr>
          <w:p>
            <w:pPr>
              <w:jc w:val="center"/>
              <w:ind w:left="7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Administration Services (Australia) Pty Limited</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Bluedoor Holdings Pty Limited</w:t>
            </w:r>
          </w:p>
        </w:tc>
        <w:tc>
          <w:tcPr>
            <w:tcW w:w="4480" w:type="dxa"/>
            <w:vAlign w:val="bottom"/>
            <w:shd w:val="clear" w:color="auto" w:fill="CFF0FC"/>
          </w:tcPr>
          <w:p>
            <w:pPr>
              <w:jc w:val="center"/>
              <w:ind w:left="7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Bluedoor Pty Limited</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Bluedoor Technologies Pty Limited</w:t>
            </w:r>
          </w:p>
        </w:tc>
        <w:tc>
          <w:tcPr>
            <w:tcW w:w="4480" w:type="dxa"/>
            <w:vAlign w:val="bottom"/>
            <w:shd w:val="clear" w:color="auto" w:fill="CFF0FC"/>
          </w:tcPr>
          <w:p>
            <w:pPr>
              <w:jc w:val="center"/>
              <w:ind w:left="7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GIDS Transfer Agency (Australia) Pty Ltd</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Process Solutions (Australia) Pty Limited</w:t>
            </w:r>
          </w:p>
        </w:tc>
        <w:tc>
          <w:tcPr>
            <w:tcW w:w="4480" w:type="dxa"/>
            <w:vAlign w:val="bottom"/>
            <w:shd w:val="clear" w:color="auto" w:fill="CFF0FC"/>
          </w:tcPr>
          <w:p>
            <w:pPr>
              <w:jc w:val="center"/>
              <w:ind w:left="7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Solutions Pty Limited</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Technologies Australia Pty Ltd</w:t>
            </w:r>
          </w:p>
        </w:tc>
        <w:tc>
          <w:tcPr>
            <w:tcW w:w="4480" w:type="dxa"/>
            <w:vAlign w:val="bottom"/>
            <w:shd w:val="clear" w:color="auto" w:fill="CFF0FC"/>
          </w:tcPr>
          <w:p>
            <w:pPr>
              <w:jc w:val="center"/>
              <w:ind w:left="7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Technologies Austria GmbH</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Austria</w:t>
            </w:r>
          </w:p>
        </w:tc>
      </w:tr>
      <w:tr>
        <w:trPr>
          <w:trHeight w:val="22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Fund Services (Bermuda) Ltd.</w:t>
            </w:r>
          </w:p>
        </w:tc>
        <w:tc>
          <w:tcPr>
            <w:tcW w:w="4480" w:type="dxa"/>
            <w:vAlign w:val="bottom"/>
            <w:shd w:val="clear" w:color="auto" w:fill="CFF0FC"/>
          </w:tcPr>
          <w:p>
            <w:pPr>
              <w:jc w:val="center"/>
              <w:ind w:left="73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Intralinks Servicos de Informatica Ltda.</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Intelligent Solutions Ltd.</w:t>
            </w:r>
          </w:p>
        </w:tc>
        <w:tc>
          <w:tcPr>
            <w:tcW w:w="4480" w:type="dxa"/>
            <w:vAlign w:val="bottom"/>
            <w:shd w:val="clear" w:color="auto" w:fill="CFF0FC"/>
          </w:tcPr>
          <w:p>
            <w:pPr>
              <w:jc w:val="center"/>
              <w:ind w:left="730"/>
              <w:spacing w:after="0"/>
              <w:rPr>
                <w:sz w:val="20"/>
                <w:szCs w:val="20"/>
                <w:color w:val="auto"/>
              </w:rPr>
            </w:pPr>
            <w:r>
              <w:rPr>
                <w:rFonts w:ascii="Times New Roman" w:cs="Times New Roman" w:eastAsia="Times New Roman" w:hAnsi="Times New Roman"/>
                <w:sz w:val="18"/>
                <w:szCs w:val="18"/>
                <w:color w:val="auto"/>
                <w:w w:val="99"/>
              </w:rPr>
              <w:t>Bulgaria</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Fund Services (Cayman) Ltd.</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Advent Software (Beijing) Co. Ltd.</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China</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Prism Software (Shanghai) Co. Ltd.</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China</w:t>
            </w:r>
          </w:p>
        </w:tc>
      </w:tr>
      <w:tr>
        <w:trPr>
          <w:trHeight w:val="22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Technologies Shanghai Limited</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Advent Software APS</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Denmark</w:t>
            </w:r>
          </w:p>
        </w:tc>
      </w:tr>
      <w:tr>
        <w:trPr>
          <w:trHeight w:val="24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Blue Prism S.A.R.L.</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Intralinks EMEA France SARL</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4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Blue Prism GmbH</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Intralinks GmbH</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Guernsey Limited</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8"/>
              </w:rPr>
              <w:t>Guernsey</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Prism HK Ltd.</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Eze Software Asia Pacific Limited</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Fund Services (Asia) Limited</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Technologies (Asia) Limited</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Prism India Pvt. Ltd.</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2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Fintech Services India Private Limited</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EzeSoftware India Private Limited</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GlobeOp Financial Services (India) Private Limited</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Intralinks India Solutions Private Limited</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PT DST Global Solutions Indonesia</w:t>
            </w:r>
          </w:p>
        </w:tc>
        <w:tc>
          <w:tcPr>
            <w:tcW w:w="4480" w:type="dxa"/>
            <w:vAlign w:val="bottom"/>
            <w:shd w:val="clear" w:color="auto" w:fill="CFF0FC"/>
          </w:tcPr>
          <w:p>
            <w:pPr>
              <w:jc w:val="center"/>
              <w:ind w:left="73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Financial Services (Ireland) Limited</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Technologies Ireland Limited</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Wealth and Insurance Ireland Limited</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International Managed Services Limited</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Ireland</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Life and Pensions Services Limited</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Technologies Israel (Process Solutions) Ltd.</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Technologies Italy S.r.l.</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4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Blue Prism KK</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Intralinks Goudou Kaisha</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European Holdings S.a.r.l.</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Luxembourg S.a.r.l.</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Technologies Sdn. Bhd.</w:t>
            </w:r>
          </w:p>
        </w:tc>
        <w:tc>
          <w:tcPr>
            <w:tcW w:w="4480" w:type="dxa"/>
            <w:vAlign w:val="bottom"/>
            <w:shd w:val="clear" w:color="auto" w:fill="CFF0FC"/>
          </w:tcPr>
          <w:p>
            <w:pPr>
              <w:jc w:val="center"/>
              <w:ind w:left="73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Holdings Malta Limited</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Malta</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GlobeOp Holding Company (Mauritius) Private Limited</w:t>
            </w:r>
          </w:p>
        </w:tc>
        <w:tc>
          <w:tcPr>
            <w:tcW w:w="4480" w:type="dxa"/>
            <w:vAlign w:val="bottom"/>
            <w:shd w:val="clear" w:color="auto" w:fill="CFF0FC"/>
          </w:tcPr>
          <w:p>
            <w:pPr>
              <w:jc w:val="center"/>
              <w:ind w:left="730"/>
              <w:spacing w:after="0"/>
              <w:rPr>
                <w:sz w:val="20"/>
                <w:szCs w:val="20"/>
                <w:color w:val="auto"/>
              </w:rPr>
            </w:pPr>
            <w:r>
              <w:rPr>
                <w:rFonts w:ascii="Times New Roman" w:cs="Times New Roman" w:eastAsia="Times New Roman" w:hAnsi="Times New Roman"/>
                <w:sz w:val="18"/>
                <w:szCs w:val="18"/>
                <w:color w:val="auto"/>
                <w:w w:val="99"/>
              </w:rPr>
              <w:t>Mauritius</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Pacific Ventures</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Mauritius</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Intralinks Servicios de Tecnologia de Mexico, S de R.L. de C.V.</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Intralinks EMEA Holdings B.V.</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Technologies B.V.</w:t>
            </w:r>
          </w:p>
        </w:tc>
        <w:tc>
          <w:tcPr>
            <w:tcW w:w="448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Solutions NZ Limited</w:t>
            </w:r>
          </w:p>
        </w:tc>
        <w:tc>
          <w:tcPr>
            <w:tcW w:w="4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Advent Norway AS</w:t>
            </w:r>
          </w:p>
        </w:tc>
        <w:tc>
          <w:tcPr>
            <w:tcW w:w="4480" w:type="dxa"/>
            <w:vAlign w:val="bottom"/>
            <w:shd w:val="clear" w:color="auto" w:fill="CFF0FC"/>
          </w:tcPr>
          <w:p>
            <w:pPr>
              <w:jc w:val="center"/>
              <w:ind w:left="730"/>
              <w:spacing w:after="0"/>
              <w:rPr>
                <w:sz w:val="20"/>
                <w:szCs w:val="20"/>
                <w:color w:val="auto"/>
              </w:rPr>
            </w:pPr>
            <w:r>
              <w:rPr>
                <w:rFonts w:ascii="Times New Roman" w:cs="Times New Roman" w:eastAsia="Times New Roman" w:hAnsi="Times New Roman"/>
                <w:sz w:val="18"/>
                <w:szCs w:val="18"/>
                <w:color w:val="auto"/>
                <w:w w:val="99"/>
              </w:rPr>
              <w:t>Norway</w:t>
            </w:r>
          </w:p>
        </w:tc>
      </w:tr>
      <w:tr>
        <w:trPr>
          <w:trHeight w:val="1195"/>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Primatics Financial (Pvt) Ltd.</w:t>
            </w:r>
          </w:p>
        </w:tc>
        <w:tc>
          <w:tcPr>
            <w:tcW w:w="44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Pakistan</w:t>
            </w:r>
          </w:p>
        </w:tc>
      </w:tr>
      <w:tr>
        <w:trPr>
          <w:trHeight w:val="243"/>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Technologies Poland sp. z.o.o</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Prism Korea Ltd.</w:t>
            </w:r>
          </w:p>
        </w:tc>
        <w:tc>
          <w:tcPr>
            <w:tcW w:w="44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Republic of Korea</w:t>
            </w:r>
          </w:p>
        </w:tc>
      </w:tr>
      <w:tr>
        <w:trPr>
          <w:trHeight w:val="220"/>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Intralinks SRL</w:t>
            </w:r>
          </w:p>
        </w:tc>
        <w:tc>
          <w:tcPr>
            <w:tcW w:w="444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8"/>
              </w:rPr>
              <w:t>Romania</w:t>
            </w: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Intralinks Arabia Limited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Saudi Arabia</w:t>
            </w:r>
          </w:p>
        </w:tc>
      </w:tr>
      <w:tr>
        <w:trPr>
          <w:trHeight w:val="24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Blue Prism Pte. Ltd.</w:t>
            </w:r>
          </w:p>
        </w:tc>
        <w:tc>
          <w:tcPr>
            <w:tcW w:w="444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Intralinks Asia Pacific Pte. Ltd.</w:t>
            </w:r>
          </w:p>
        </w:tc>
        <w:tc>
          <w:tcPr>
            <w:tcW w:w="44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Fund Services (Asia) Pte Ltd.</w:t>
            </w:r>
          </w:p>
        </w:tc>
        <w:tc>
          <w:tcPr>
            <w:tcW w:w="444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Technologies (s) Pte Ltd.</w:t>
            </w:r>
          </w:p>
        </w:tc>
        <w:tc>
          <w:tcPr>
            <w:tcW w:w="44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43"/>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Blue Prism Software SA (Pty.) Ltd.</w:t>
            </w:r>
          </w:p>
        </w:tc>
        <w:tc>
          <w:tcPr>
            <w:tcW w:w="444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DST Process Solutions SA (Pty) Ltd</w:t>
            </w:r>
          </w:p>
        </w:tc>
        <w:tc>
          <w:tcPr>
            <w:tcW w:w="44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 and C Technologies South Africa (Pty) Ltd</w:t>
            </w:r>
          </w:p>
        </w:tc>
        <w:tc>
          <w:tcPr>
            <w:tcW w:w="444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Technologies Korea Limited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South Korea</w:t>
            </w:r>
          </w:p>
        </w:tc>
      </w:tr>
      <w:tr>
        <w:trPr>
          <w:trHeight w:val="24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Blue Prism S.L.U.</w:t>
            </w:r>
          </w:p>
        </w:tc>
        <w:tc>
          <w:tcPr>
            <w:tcW w:w="444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Intralinks Spain SLU</w:t>
            </w:r>
          </w:p>
        </w:tc>
        <w:tc>
          <w:tcPr>
            <w:tcW w:w="44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Advent Sweden AB</w:t>
            </w:r>
          </w:p>
        </w:tc>
        <w:tc>
          <w:tcPr>
            <w:tcW w:w="444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Prism AB</w:t>
            </w:r>
          </w:p>
        </w:tc>
        <w:tc>
          <w:tcPr>
            <w:tcW w:w="44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4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Blue Prism Switzerland GmbH</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GlobeOp Financial Services (Switzerland) GmbH</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43"/>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Software Taiwan Co., Ltd.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w w:val="99"/>
              </w:rPr>
              <w:t>Taiwan</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FinTech Services (Thailand) Limited</w:t>
            </w:r>
          </w:p>
        </w:tc>
        <w:tc>
          <w:tcPr>
            <w:tcW w:w="44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Global Solutions (Thailand) Limited</w:t>
            </w:r>
          </w:p>
        </w:tc>
        <w:tc>
          <w:tcPr>
            <w:tcW w:w="4440" w:type="dxa"/>
            <w:vAlign w:val="bottom"/>
            <w:shd w:val="clear" w:color="auto" w:fill="CFF0FC"/>
          </w:tcPr>
          <w:p>
            <w:pPr>
              <w:jc w:val="center"/>
              <w:ind w:left="67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TURKEY YAZILIM TEKNOLOJILERI LIMITED SIRKETI</w:t>
            </w:r>
          </w:p>
        </w:tc>
        <w:tc>
          <w:tcPr>
            <w:tcW w:w="44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Turkey</w:t>
            </w:r>
          </w:p>
        </w:tc>
      </w:tr>
      <w:tr>
        <w:trPr>
          <w:trHeight w:val="220"/>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Advent Software (Middle East)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Prism FZ-LLC</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4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Financial Services Middle East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Prism Group Limited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Blue Prism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DST Global Solutions (Realty) Limited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DST Process Solutions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DSTi Group LLP</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DSTi Holdings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Eze Software EMEA Limited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Models Corporation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Hubwise Holdings Limited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Hubwise Nominees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Hubwise Securities Limited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Hubwise Services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Intralinks Ltd.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Pensions and Actuarial Services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Depositary Services Limited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DST Holdings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Financial Services Europe Limited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Financial Services International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Financial Services Limited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Fund Services (UK)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SS&amp;C Solutions Limited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SS&amp;C Trustees Limited</w:t>
            </w:r>
          </w:p>
        </w:tc>
        <w:tc>
          <w:tcPr>
            <w:tcW w:w="44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SSC Jersey Limited</w:t>
            </w:r>
          </w:p>
        </w:tc>
        <w:tc>
          <w:tcPr>
            <w:tcW w:w="4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1177"/>
        </w:trPr>
        <w:tc>
          <w:tcPr>
            <w:tcW w:w="68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184"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333-281105, 333-272295, 333-232978, 333-224390, 333-205705, 333-197943, 333-187599, 333-167796 and 333-165810) of SS&amp;C Technologies Holdings, Inc. of our report dated March 3, 2025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 Stone, certify that:</w:t>
      </w:r>
    </w:p>
    <w:p>
      <w:pPr>
        <w:spacing w:after="0" w:line="117"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SS&amp;C Technologies Holdings,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540" w:right="220" w:hanging="514"/>
        <w:spacing w:after="0" w:line="282"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C. Stone</w:t>
            </w:r>
          </w:p>
        </w:tc>
      </w:tr>
      <w:tr>
        <w:trPr>
          <w:trHeight w:val="191"/>
        </w:trPr>
        <w:tc>
          <w:tcPr>
            <w:tcW w:w="6760" w:type="dxa"/>
            <w:vAlign w:val="bottom"/>
          </w:tcPr>
          <w:p>
            <w:pPr>
              <w:spacing w:after="0"/>
              <w:rPr>
                <w:sz w:val="16"/>
                <w:szCs w:val="16"/>
                <w:color w:val="auto"/>
              </w:rPr>
            </w:pP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William C. Stone</w:t>
            </w:r>
          </w:p>
        </w:tc>
      </w:tr>
      <w:tr>
        <w:trPr>
          <w:trHeight w:val="216"/>
        </w:trPr>
        <w:tc>
          <w:tcPr>
            <w:tcW w:w="67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67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N. Schell, certify that:</w:t>
      </w:r>
    </w:p>
    <w:p>
      <w:pPr>
        <w:spacing w:after="0" w:line="117"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SS&amp;C Technologies Holdings,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540" w:right="220" w:hanging="514"/>
        <w:spacing w:after="0" w:line="282"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N. Schell</w:t>
            </w:r>
          </w:p>
        </w:tc>
      </w:tr>
      <w:tr>
        <w:trPr>
          <w:trHeight w:val="191"/>
        </w:trPr>
        <w:tc>
          <w:tcPr>
            <w:tcW w:w="6760" w:type="dxa"/>
            <w:vAlign w:val="bottom"/>
          </w:tcPr>
          <w:p>
            <w:pPr>
              <w:spacing w:after="0"/>
              <w:rPr>
                <w:sz w:val="16"/>
                <w:szCs w:val="16"/>
                <w:color w:val="auto"/>
              </w:rPr>
            </w:pP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Brian N. Schell</w:t>
            </w:r>
          </w:p>
        </w:tc>
      </w:tr>
      <w:tr>
        <w:trPr>
          <w:trHeight w:val="216"/>
        </w:trPr>
        <w:tc>
          <w:tcPr>
            <w:tcW w:w="67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67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SS&amp;C Technologies Holdings, Inc. (the “Company”) for the year ended December 31, 2024 as filed with the Securities and Exchange Commission on the date hereof (the “Report”), the undersigned officers of the Company hereby certify to their knowledge, pursuant to 18 U.S.C. Section 1350, that:</w:t>
      </w:r>
    </w:p>
    <w:p>
      <w:pPr>
        <w:spacing w:after="0" w:line="68"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30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C. Stone</w:t>
            </w:r>
          </w:p>
        </w:tc>
      </w:tr>
      <w:tr>
        <w:trPr>
          <w:trHeight w:val="191"/>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William C. Stone</w:t>
            </w:r>
          </w:p>
        </w:tc>
      </w:tr>
      <w:tr>
        <w:trPr>
          <w:trHeight w:val="216"/>
        </w:trPr>
        <w:tc>
          <w:tcPr>
            <w:tcW w:w="4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w:t>
            </w:r>
          </w:p>
        </w:tc>
      </w:tr>
      <w:tr>
        <w:trPr>
          <w:trHeight w:val="216"/>
        </w:trPr>
        <w:tc>
          <w:tcPr>
            <w:tcW w:w="4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3, 2025</w:t>
            </w:r>
          </w:p>
        </w:tc>
        <w:tc>
          <w:tcPr>
            <w:tcW w:w="30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N. Schell</w:t>
            </w:r>
          </w:p>
        </w:tc>
      </w:tr>
      <w:tr>
        <w:trPr>
          <w:trHeight w:val="191"/>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Brian N. Schell</w:t>
            </w:r>
          </w:p>
        </w:tc>
      </w:tr>
      <w:tr>
        <w:trPr>
          <w:trHeight w:val="216"/>
        </w:trPr>
        <w:tc>
          <w:tcPr>
            <w:tcW w:w="4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16"/>
        </w:trPr>
        <w:tc>
          <w:tcPr>
            <w:tcW w:w="4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79"/>
        </w:trPr>
        <w:tc>
          <w:tcPr>
            <w:tcW w:w="41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2" w:name="page103"/>
    <w:bookmarkEnd w:id="1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lvl w:ilvl="1">
      <w:lvlJc w:val="left"/>
      <w:lvlText w:val="o"/>
      <w:numFmt w:val="bullet"/>
      <w:start w:val="1"/>
    </w:lvl>
  </w:abstractNum>
  <w:abstractNum w:abstractNumId="7">
    <w:nsid w:val="4516DDE9"/>
    <w:multiLevelType w:val="hybridMultilevel"/>
    <w:lvl w:ilvl="0">
      <w:lvlJc w:val="left"/>
      <w:lvlText w:val="o"/>
      <w:numFmt w:val="bullet"/>
      <w:start w:val="1"/>
    </w:lvl>
    <w:lvl w:ilvl="1">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o"/>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lvl w:ilvl="1">
      <w:lvlJc w:val="left"/>
      <w:lvlText w:val="o"/>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lvl w:ilvl="1">
      <w:lvlJc w:val="left"/>
      <w:lvlText w:val="o"/>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2"/>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4"/>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lowerLetter"/>
      <w:start w:val="1"/>
    </w:lvl>
    <w:lvl w:ilvl="1">
      <w:lvlJc w:val="left"/>
      <w:lvlText w:val="(%2)"/>
      <w:numFmt w:val="decimal"/>
      <w:start w:val="1"/>
    </w:lvl>
  </w:abstractNum>
  <w:abstractNum w:abstractNumId="51">
    <w:nsid w:val="23F9C13C"/>
    <w:multiLevelType w:val="hybridMultilevel"/>
    <w:lvl w:ilvl="0">
      <w:lvlJc w:val="left"/>
      <w:lvlText w:val="%1"/>
      <w:numFmt w:val="decimal"/>
      <w:start w:val="19"/>
    </w:lvl>
  </w:abstractNum>
  <w:abstractNum w:abstractNumId="52">
    <w:nsid w:val="649BB77C"/>
    <w:multiLevelType w:val="hybridMultilevel"/>
    <w:lvl w:ilvl="0">
      <w:lvlJc w:val="left"/>
      <w:lvlText w:val="%1"/>
      <w:numFmt w:val="decimal"/>
      <w:start w:val="97"/>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lowerRoman"/>
      <w:start w:val="3"/>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6" Type="http://schemas.openxmlformats.org/officeDocument/2006/relationships/image" Target="media/image426.png"/><Relationship Id="rId457" Type="http://schemas.openxmlformats.org/officeDocument/2006/relationships/image" Target="media/image427.png"/><Relationship Id="rId459" Type="http://schemas.openxmlformats.org/officeDocument/2006/relationships/image" Target="media/image428.png"/><Relationship Id="rId460"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7" Type="http://schemas.openxmlformats.org/officeDocument/2006/relationships/image" Target="media/image432.png"/><Relationship Id="rId468" Type="http://schemas.openxmlformats.org/officeDocument/2006/relationships/image" Target="media/image433.png"/><Relationship Id="rId469" Type="http://schemas.openxmlformats.org/officeDocument/2006/relationships/image" Target="media/image434.png"/><Relationship Id="rId473" Type="http://schemas.openxmlformats.org/officeDocument/2006/relationships/image" Target="media/image435.png"/><Relationship Id="rId474" Type="http://schemas.openxmlformats.org/officeDocument/2006/relationships/image" Target="media/image436.png"/><Relationship Id="rId475" Type="http://schemas.openxmlformats.org/officeDocument/2006/relationships/image" Target="media/image437.png"/><Relationship Id="rId477" Type="http://schemas.openxmlformats.org/officeDocument/2006/relationships/image" Target="media/image438.png"/><Relationship Id="rId478" Type="http://schemas.openxmlformats.org/officeDocument/2006/relationships/image" Target="media/image439.png"/><Relationship Id="rId479" Type="http://schemas.openxmlformats.org/officeDocument/2006/relationships/image" Target="media/image440.png"/><Relationship Id="rId485" Type="http://schemas.openxmlformats.org/officeDocument/2006/relationships/image" Target="media/image441.png"/><Relationship Id="rId486" Type="http://schemas.openxmlformats.org/officeDocument/2006/relationships/image" Target="media/image442.png"/><Relationship Id="rId494" Type="http://schemas.openxmlformats.org/officeDocument/2006/relationships/image" Target="media/image443.png"/><Relationship Id="rId495" Type="http://schemas.openxmlformats.org/officeDocument/2006/relationships/image" Target="media/image444.png"/><Relationship Id="rId496" Type="http://schemas.openxmlformats.org/officeDocument/2006/relationships/image" Target="media/image445.png"/><Relationship Id="rId497" Type="http://schemas.openxmlformats.org/officeDocument/2006/relationships/image" Target="media/image446.png"/><Relationship Id="rId498" Type="http://schemas.openxmlformats.org/officeDocument/2006/relationships/image" Target="media/image447.png"/><Relationship Id="rId499" Type="http://schemas.openxmlformats.org/officeDocument/2006/relationships/image" Target="media/image448.png"/><Relationship Id="rId500" Type="http://schemas.openxmlformats.org/officeDocument/2006/relationships/image" Target="media/image449.png"/><Relationship Id="rId501" Type="http://schemas.openxmlformats.org/officeDocument/2006/relationships/image" Target="media/image450.png"/><Relationship Id="rId502" Type="http://schemas.openxmlformats.org/officeDocument/2006/relationships/image" Target="media/image451.png"/><Relationship Id="rId504" Type="http://schemas.openxmlformats.org/officeDocument/2006/relationships/image" Target="media/image452.png"/><Relationship Id="rId505" Type="http://schemas.openxmlformats.org/officeDocument/2006/relationships/image" Target="media/image453.png"/><Relationship Id="rId506" Type="http://schemas.openxmlformats.org/officeDocument/2006/relationships/image" Target="media/image454.png"/><Relationship Id="rId507" Type="http://schemas.openxmlformats.org/officeDocument/2006/relationships/image" Target="media/image455.png"/><Relationship Id="rId508" Type="http://schemas.openxmlformats.org/officeDocument/2006/relationships/image" Target="media/image456.png"/><Relationship Id="rId509" Type="http://schemas.openxmlformats.org/officeDocument/2006/relationships/image" Target="media/image457.png"/><Relationship Id="rId510" Type="http://schemas.openxmlformats.org/officeDocument/2006/relationships/image" Target="media/image458.png"/><Relationship Id="rId511" Type="http://schemas.openxmlformats.org/officeDocument/2006/relationships/image" Target="media/image459.png"/><Relationship Id="rId512" Type="http://schemas.openxmlformats.org/officeDocument/2006/relationships/image" Target="media/image460.png"/><Relationship Id="rId513" Type="http://schemas.openxmlformats.org/officeDocument/2006/relationships/image" Target="media/image461.png"/><Relationship Id="rId514" Type="http://schemas.openxmlformats.org/officeDocument/2006/relationships/image" Target="media/image462.png"/><Relationship Id="rId515" Type="http://schemas.openxmlformats.org/officeDocument/2006/relationships/image" Target="media/image463.png"/><Relationship Id="rId516" Type="http://schemas.openxmlformats.org/officeDocument/2006/relationships/image" Target="media/image464.png"/><Relationship Id="rId517" Type="http://schemas.openxmlformats.org/officeDocument/2006/relationships/image" Target="media/image465.png"/><Relationship Id="rId518" Type="http://schemas.openxmlformats.org/officeDocument/2006/relationships/image" Target="media/image466.png"/><Relationship Id="rId519" Type="http://schemas.openxmlformats.org/officeDocument/2006/relationships/image" Target="media/image467.png"/><Relationship Id="rId520" Type="http://schemas.openxmlformats.org/officeDocument/2006/relationships/image" Target="media/image468.png"/><Relationship Id="rId521" Type="http://schemas.openxmlformats.org/officeDocument/2006/relationships/image" Target="media/image469.png"/><Relationship Id="rId522" Type="http://schemas.openxmlformats.org/officeDocument/2006/relationships/image" Target="media/image470.png"/><Relationship Id="rId523" Type="http://schemas.openxmlformats.org/officeDocument/2006/relationships/image" Target="media/image471.png"/><Relationship Id="rId524" Type="http://schemas.openxmlformats.org/officeDocument/2006/relationships/image" Target="media/image472.png"/><Relationship Id="rId525" Type="http://schemas.openxmlformats.org/officeDocument/2006/relationships/image" Target="media/image473.png"/><Relationship Id="rId417" Type="http://schemas.openxmlformats.org/officeDocument/2006/relationships/hyperlink" Target="https://www.sec.gov/Archives/edgar/data/1402436/000156459016023009/ssnc-ex31_283.htm" TargetMode="External"/><Relationship Id="rId420" Type="http://schemas.openxmlformats.org/officeDocument/2006/relationships/hyperlink" Target="https://www.sec.gov/Archives/edgar/data/1402436/000095017022025610/ssnc-ex3_1.htm" TargetMode="External"/><Relationship Id="rId423" Type="http://schemas.openxmlformats.org/officeDocument/2006/relationships/hyperlink" Target="https://www.sec.gov/Archives/edgar/data/1402436/000156459019009842/ssnc-ex41_6.htm" TargetMode="External"/><Relationship Id="rId429" Type="http://schemas.openxmlformats.org/officeDocument/2006/relationships/hyperlink" Target="https://www.sec.gov/Archives/edgar/data/1402436/000156459020007695/ssnc-ex43_12.htm" TargetMode="External"/><Relationship Id="rId432" Type="http://schemas.openxmlformats.org/officeDocument/2006/relationships/hyperlink" Target="https://www.sec.gov/Archives/edgar/data/1402436/000095010315005520/dp57791_ex1002.htm" TargetMode="External"/><Relationship Id="rId436" Type="http://schemas.openxmlformats.org/officeDocument/2006/relationships/hyperlink" Target="https://www.sec.gov/Archives/edgar/data/1402436/000119312517070043/d358676dex101.htm" TargetMode="External"/><Relationship Id="rId437" Type="http://schemas.openxmlformats.org/officeDocument/2006/relationships/hyperlink" Target="https://www.sec.gov/Archives/edgar/data/1402436/000156459018012803/ssnc-ex101_50.htm" TargetMode="External"/><Relationship Id="rId438" Type="http://schemas.openxmlformats.org/officeDocument/2006/relationships/hyperlink" Target="https://www.sec.gov/Archives/edgar/data/1402436/000156459018024003/ssnc-ex101_10.htm" TargetMode="External"/><Relationship Id="rId439" Type="http://schemas.openxmlformats.org/officeDocument/2006/relationships/hyperlink" Target="https://www.sec.gov/Archives/edgar/data/1402436/000156459018029767/ssnc-ex102_10.htm" TargetMode="External"/><Relationship Id="rId440" Type="http://schemas.openxmlformats.org/officeDocument/2006/relationships/hyperlink" Target="https://www.sec.gov/Archives/edgar/data/1011661/000095013506003985/b60336s4exv10w5.txt" TargetMode="External"/><Relationship Id="rId441" Type="http://schemas.openxmlformats.org/officeDocument/2006/relationships/hyperlink" Target="https://www.sec.gov/Archives/edgar/data/1402436/000095013508002763/b65660b6exv10w28.htm" TargetMode="External"/><Relationship Id="rId442" Type="http://schemas.openxmlformats.org/officeDocument/2006/relationships/hyperlink" Target="https://www.sec.gov/Archives/edgar/data/1011661/000095012310020064/b79889exv10w1.htm" TargetMode="External"/><Relationship Id="rId443" Type="http://schemas.openxmlformats.org/officeDocument/2006/relationships/hyperlink" Target="https://www.sec.gov/Archives/edgar/data/1011661/000095012311024859/b82745exv10w35.htm" TargetMode="External"/><Relationship Id="rId444" Type="http://schemas.openxmlformats.org/officeDocument/2006/relationships/hyperlink" Target="https://www.sec.gov/Archives/edgar/data/1011661/000095013506003985/b60336s4exv10w6.txt" TargetMode="External"/><Relationship Id="rId445" Type="http://schemas.openxmlformats.org/officeDocument/2006/relationships/hyperlink" Target="https://www.sec.gov/Archives/edgar/data/1402436/000156459018029767/ssnc-ex101_9.htm" TargetMode="External"/><Relationship Id="rId446" Type="http://schemas.openxmlformats.org/officeDocument/2006/relationships/hyperlink" Target="https://www.sec.gov/Archives/edgar/data/1402436/000095012310024251/b78402a3exv10w27.htm" TargetMode="External"/><Relationship Id="rId447" Type="http://schemas.openxmlformats.org/officeDocument/2006/relationships/hyperlink" Target="https://www.sec.gov/Archives/edgar/data/1402436/000119312515116192/d902237dex991.htm" TargetMode="External"/><Relationship Id="rId448" Type="http://schemas.openxmlformats.org/officeDocument/2006/relationships/hyperlink" Target="https://www.sec.gov/Archives/edgar/data/1402436/000095017023057447/ssnc-ex10_1.htm" TargetMode="External"/><Relationship Id="rId449" Type="http://schemas.openxmlformats.org/officeDocument/2006/relationships/hyperlink" Target="https://www.sec.gov/Archives/edgar/data/1402436/000095012310024251/b78402a3exv10w35.htm" TargetMode="External"/><Relationship Id="rId452" Type="http://schemas.openxmlformats.org/officeDocument/2006/relationships/hyperlink" Target="https://www.sec.gov/Archives/edgar/data/1011661/000095013506005143/b61996ssexv10w1.txt" TargetMode="External"/><Relationship Id="rId453" Type="http://schemas.openxmlformats.org/officeDocument/2006/relationships/hyperlink" Target="https://www.sec.gov/Archives/edgar/data/1011661/000095013506005143/b61996ssexv10w2.txt" TargetMode="External"/><Relationship Id="rId454" Type="http://schemas.openxmlformats.org/officeDocument/2006/relationships/hyperlink" Target="https://www.sec.gov/Archives/edgar/data/1011661/000095013506005143/b61996ssexv10w4.txt" TargetMode="External"/><Relationship Id="rId455" Type="http://schemas.openxmlformats.org/officeDocument/2006/relationships/hyperlink" Target="https://www.sec.gov/Archives/edgar/data/1402436/000095013508002763/b65660b6exv10w26.htm" TargetMode="External"/><Relationship Id="rId458" Type="http://schemas.openxmlformats.org/officeDocument/2006/relationships/hyperlink" Target="https://www.sec.gov/Archives/edgar/data/1402436/000095012310024251/b78402a3exv10w26.htm" TargetMode="External"/><Relationship Id="rId461" Type="http://schemas.openxmlformats.org/officeDocument/2006/relationships/hyperlink" Target="https://www.sec.gov/Archives/edgar/data/1402436/000119312513329154/d555524dex102.htm" TargetMode="External"/><Relationship Id="rId462" Type="http://schemas.openxmlformats.org/officeDocument/2006/relationships/hyperlink" Target="https://www.sec.gov/Archives/edgar/data/1402436/000156459019028303/ssnc-ex991_21.htm" TargetMode="External"/><Relationship Id="rId463" Type="http://schemas.openxmlformats.org/officeDocument/2006/relationships/hyperlink" Target="https://www.sec.gov/Archives/edgar/data/1402436/000119312514145838/d693605ddef14a.htm" TargetMode="External"/><Relationship Id="rId466" Type="http://schemas.openxmlformats.org/officeDocument/2006/relationships/hyperlink" Target="https://www.sec.gov/Archives/edgar/data/1402436/000156459019029931/ssnc-ex102_109.htm" TargetMode="External"/><Relationship Id="rId470" Type="http://schemas.openxmlformats.org/officeDocument/2006/relationships/hyperlink" Target="https://www.sec.gov/Archives/edgar/data/1402436/000156459019029931/ssnc-ex103_110.htm" TargetMode="External"/><Relationship Id="rId471" Type="http://schemas.openxmlformats.org/officeDocument/2006/relationships/hyperlink" Target="https://www.sec.gov/Archives/edgar/data/1402436/000095017023016908/ssnc-ex10_1.htm" TargetMode="External"/><Relationship Id="rId472" Type="http://schemas.openxmlformats.org/officeDocument/2006/relationships/hyperlink" Target="https://www.sec.gov/Archives/edgar/data/1402436/000095017023016908/ssnc-ex10_2.htm" TargetMode="External"/><Relationship Id="rId476" Type="http://schemas.openxmlformats.org/officeDocument/2006/relationships/hyperlink" Target="https://www.sec.gov/Archives/edgar/data/1402436/000095017023016908/ssnc-ex10_3.htm" TargetMode="External"/><Relationship Id="rId480" Type="http://schemas.openxmlformats.org/officeDocument/2006/relationships/hyperlink" Target="https://www.sec.gov/Archives/edgar/data/1402436/000095017023025347/ssnc-ex99_1.htm" TargetMode="External"/><Relationship Id="rId481" Type="http://schemas.openxmlformats.org/officeDocument/2006/relationships/hyperlink" Target="https://www.sec.gov/Archives/edgar/data/1402436/000095017024022080/ssnc-ex10_30.htm" TargetMode="External"/><Relationship Id="rId482" Type="http://schemas.openxmlformats.org/officeDocument/2006/relationships/hyperlink" Target="https://www.sec.gov/Archives/edgar/data/1402436/000095017024022080/ssnc-ex10_31.htm" TargetMode="External"/><Relationship Id="rId483" Type="http://schemas.openxmlformats.org/officeDocument/2006/relationships/hyperlink" Target="https://www.sec.gov/Archives/edgar/data/1402436/000095017024022080/ssnc-ex10_32.htm" TargetMode="External"/><Relationship Id="rId484" Type="http://schemas.openxmlformats.org/officeDocument/2006/relationships/hyperlink" Target="https://www.sec.gov/Archives/edgar/data/1402436/000156459020022479/ssnc-ex101_126.htm" TargetMode="External"/><Relationship Id="rId487" Type="http://schemas.openxmlformats.org/officeDocument/2006/relationships/hyperlink" Target="https://www.sec.gov/Archives/edgar/data/1402436/000095017022004309/ssnc-ex10_1.htm" TargetMode="External"/><Relationship Id="rId488" Type="http://schemas.openxmlformats.org/officeDocument/2006/relationships/hyperlink" Target="https://www.sec.gov/Archives/edgar/data/1402436/000095017023000122/ssnc-ex10_1.htm" TargetMode="External"/><Relationship Id="rId489" Type="http://schemas.openxmlformats.org/officeDocument/2006/relationships/hyperlink" Target="https://www.sec.gov/Archives/edgar/data/1402436/000095017023036455/ssnc-ex10_1.htm" TargetMode="External"/><Relationship Id="rId490" Type="http://schemas.openxmlformats.org/officeDocument/2006/relationships/hyperlink" Target="https://www.sec.gov/Archives/edgar/data/1402436/000095017024057140/ssnc-ex10_1.htm" TargetMode="External"/><Relationship Id="rId491" Type="http://schemas.openxmlformats.org/officeDocument/2006/relationships/hyperlink" Target="https://www.sec.gov/Archives/edgar/data/1402436/000095017024087998/ssnc-ex99_1.htm" TargetMode="External"/><Relationship Id="rId492" Type="http://schemas.openxmlformats.org/officeDocument/2006/relationships/hyperlink" Target="https://www.sec.gov/Archives/edgar/data/1402436/000095017024110813/ssnc-ex10_1.htm" TargetMode="External"/><Relationship Id="rId493" Type="http://schemas.openxmlformats.org/officeDocument/2006/relationships/hyperlink" Target="https://www.sec.gov/Archives/edgar/data/1402436/000095017024022080/ssnc-ex19.htm" TargetMode="External"/><Relationship Id="rId503" Type="http://schemas.openxmlformats.org/officeDocument/2006/relationships/hyperlink" Target="https://www.sec.gov/Archives/edgar/data/1402436/000095017024022080/ssnc-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2025-03-03T08:17:13Z</dcterms:created>
  <dcterms:modified xsi:type="dcterms:W3CDTF">2025-03-03T08:17:13Z</dcterms:modified>
</cp:coreProperties>
</file>