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snc-20230930.htm"/>
      <w:bookmarkStart w:id="1" w:name="ksssnc20230930"/>
      <w:bookmarkEnd w:id="0"/>
      <w:bookmarkEnd w:id="1"/>
      <w:r>
        <w:rPr/>
        <w:t> </w:t>
      </w:r>
    </w:p>
    <w:p>
      <w:pPr>
        <w:pStyle w:val="TextBody"/>
        <w:bidi w:val="0"/>
        <w:jc w:val="left"/>
        <w:rPr/>
      </w:pPr>
      <w:r>
        <w:rPr/>
        <w:t> </w:t>
      </w:r>
    </w:p>
    <w:p>
      <w:pPr>
        <w:pStyle w:val="TextBody"/>
        <w:pBdr>
          <w:bottom w:val="double" w:sz="6"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001-34675</w:t>
      </w:r>
    </w:p>
    <w:p>
      <w:pPr>
        <w:pStyle w:val="TextBody"/>
        <w:pBdr>
          <w:bottom w:val="single" w:sz="4" w:space="1" w:color="000000"/>
        </w:pBdr>
        <w:bidi w:val="0"/>
        <w:jc w:val="center"/>
        <w:rPr/>
      </w:pPr>
      <w:r>
        <w:rPr/>
        <w:t> </w:t>
      </w:r>
    </w:p>
    <w:p>
      <w:pPr>
        <w:pStyle w:val="TextBody"/>
        <w:bidi w:val="0"/>
        <w:spacing w:before="120" w:after="283"/>
        <w:jc w:val="center"/>
        <w:rPr/>
      </w:pPr>
      <w:r>
        <w:rPr/>
        <w:drawing>
          <wp:inline distT="0" distB="0" distL="0" distR="0">
            <wp:extent cx="2095500"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1133475"/>
                    </a:xfrm>
                    <a:prstGeom prst="rect">
                      <a:avLst/>
                    </a:prstGeom>
                  </pic:spPr>
                </pic:pic>
              </a:graphicData>
            </a:graphic>
          </wp:inline>
        </w:drawing>
      </w:r>
      <w:r>
        <w:rPr/>
        <w:t> </w:t>
      </w:r>
    </w:p>
    <w:p>
      <w:pPr>
        <w:pStyle w:val="TextBody"/>
        <w:bidi w:val="0"/>
        <w:spacing w:before="120" w:after="283"/>
        <w:jc w:val="center"/>
        <w:rPr>
          <w:rFonts w:ascii="Times New Roman" w:hAnsi="Times New Roman"/>
          <w:b/>
          <w:color w:val="000000"/>
          <w:sz w:val="47"/>
        </w:rPr>
      </w:pPr>
      <w:r>
        <w:rPr>
          <w:rFonts w:ascii="Times New Roman" w:hAnsi="Times New Roman"/>
          <w:b/>
          <w:color w:val="000000"/>
          <w:sz w:val="47"/>
        </w:rPr>
        <w:t>SS&amp;C TECHNOLOGIES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2961" w:type="dxa"/>
        <w:jc w:val="left"/>
        <w:tblInd w:w="0" w:type="dxa"/>
        <w:tblLayout w:type="fixed"/>
        <w:tblCellMar>
          <w:top w:w="28" w:type="dxa"/>
          <w:left w:w="28" w:type="dxa"/>
          <w:bottom w:w="28" w:type="dxa"/>
          <w:right w:w="28" w:type="dxa"/>
        </w:tblCellMar>
      </w:tblPr>
      <w:tblGrid>
        <w:gridCol w:w="1696"/>
        <w:gridCol w:w="109"/>
        <w:gridCol w:w="1156"/>
      </w:tblGrid>
      <w:tr>
        <w:trPr/>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69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115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71-0987913</w:t>
            </w:r>
          </w:p>
        </w:tc>
      </w:tr>
      <w:tr>
        <w:trPr/>
        <w:tc>
          <w:tcPr>
            <w:tcW w:w="1696" w:type="dxa"/>
            <w:tcBorders/>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incorporation or organization)</w:t>
            </w:r>
          </w:p>
        </w:tc>
        <w:tc>
          <w:tcPr>
            <w:tcW w:w="109" w:type="dxa"/>
            <w:tcBorders/>
            <w:vAlign w:val="center"/>
          </w:tcPr>
          <w:p>
            <w:pPr>
              <w:pStyle w:val="TableContents"/>
              <w:bidi w:val="0"/>
              <w:spacing w:before="0" w:after="283"/>
              <w:ind w:left="0" w:right="16" w:hanging="0"/>
              <w:jc w:val="left"/>
              <w:rPr>
                <w:sz w:val="4"/>
                <w:szCs w:val="4"/>
              </w:rPr>
            </w:pPr>
            <w:r>
              <w:rPr>
                <w:sz w:val="4"/>
                <w:szCs w:val="4"/>
              </w:rPr>
            </w:r>
          </w:p>
        </w:tc>
        <w:tc>
          <w:tcPr>
            <w:tcW w:w="1156" w:type="dxa"/>
            <w:tcBorders/>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(I.R.S. Employer</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Identification No.)</w:t>
            </w:r>
          </w:p>
        </w:tc>
      </w:tr>
    </w:tbl>
    <w:p>
      <w:pPr>
        <w:pStyle w:val="TextBody"/>
        <w:bidi w:val="0"/>
        <w:jc w:val="center"/>
        <w:rPr>
          <w:rFonts w:ascii="Times New Roman" w:hAnsi="Times New Roman"/>
          <w:b/>
          <w:color w:val="000000"/>
          <w:sz w:val="16"/>
        </w:rPr>
      </w:pPr>
      <w:r>
        <w:rPr>
          <w:rFonts w:ascii="Times New Roman" w:hAnsi="Times New Roman"/>
          <w:b/>
          <w:color w:val="000000"/>
          <w:sz w:val="16"/>
        </w:rPr>
        <w:t>80 Lamberton Road</w:t>
      </w:r>
    </w:p>
    <w:p>
      <w:pPr>
        <w:pStyle w:val="TextBody"/>
        <w:bidi w:val="0"/>
        <w:jc w:val="center"/>
        <w:rPr>
          <w:rFonts w:ascii="Times New Roman" w:hAnsi="Times New Roman"/>
          <w:sz w:val="20"/>
        </w:rPr>
      </w:pPr>
      <w:r>
        <w:rPr>
          <w:rFonts w:ascii="Times New Roman" w:hAnsi="Times New Roman"/>
          <w:b/>
          <w:color w:val="000000"/>
          <w:sz w:val="16"/>
        </w:rPr>
        <w:t>Windsor, CT</w:t>
      </w:r>
      <w:r>
        <w:rPr>
          <w:rFonts w:ascii="Times New Roman" w:hAnsi="Times New Roman"/>
          <w:color w:val="000000"/>
          <w:sz w:val="20"/>
        </w:rPr>
        <w:t xml:space="preserve"> </w:t>
      </w:r>
      <w:r>
        <w:rPr>
          <w:rFonts w:ascii="Times New Roman" w:hAnsi="Times New Roman"/>
          <w:b/>
          <w:color w:val="000000"/>
          <w:sz w:val="16"/>
        </w:rPr>
        <w:t>06095</w:t>
      </w:r>
    </w:p>
    <w:p>
      <w:pPr>
        <w:pStyle w:val="TextBody"/>
        <w:bidi w:val="0"/>
        <w:jc w:val="center"/>
        <w:rPr>
          <w:rFonts w:ascii="Times New Roman" w:hAnsi="Times New Roman"/>
          <w:b/>
          <w:color w:val="000000"/>
          <w:sz w:val="12"/>
        </w:rPr>
      </w:pPr>
      <w:r>
        <w:rPr>
          <w:rFonts w:ascii="Times New Roman" w:hAnsi="Times New Roman"/>
          <w:b/>
          <w:color w:val="000000"/>
          <w:sz w:val="12"/>
        </w:rPr>
        <w:t>(Address of principal executive offices, including zip code)</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860-298-4500</w:t>
      </w:r>
    </w:p>
    <w:p>
      <w:pPr>
        <w:pStyle w:val="TextBody"/>
        <w:bidi w:val="0"/>
        <w:jc w:val="center"/>
        <w:rPr>
          <w:rFonts w:ascii="Times New Roman" w:hAnsi="Times New Roman"/>
          <w:b/>
          <w:color w:val="000000"/>
          <w:sz w:val="12"/>
        </w:rPr>
      </w:pPr>
      <w:r>
        <w:rPr>
          <w:rFonts w:ascii="Times New Roman" w:hAnsi="Times New Roman"/>
          <w:b/>
          <w:color w:val="000000"/>
          <w:sz w:val="12"/>
        </w:rPr>
        <w:t>(Registrant’s telephone number, including area code)</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6"/>
        </w:rPr>
        <w:t>No ☐</w:t>
      </w:r>
    </w:p>
    <w:p>
      <w:pPr>
        <w:pStyle w:val="TextBody"/>
        <w:bidi w:val="0"/>
        <w:spacing w:before="120" w:after="283"/>
        <w:jc w:val="left"/>
        <w:rPr>
          <w:rFonts w:ascii="Times New Roman" w:hAnsi="Times New Roman"/>
          <w:sz w:val="20"/>
        </w:rPr>
      </w:pPr>
      <w:r>
        <w:rPr>
          <w:rFonts w:ascii="Times New Roman" w:hAnsi="Times New Roman"/>
          <w:b w:val="false"/>
          <w:color w:val="000000"/>
          <w:sz w:val="16"/>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r>
        <w:rPr>
          <w:rFonts w:ascii="Times New Roman" w:hAnsi="Times New Roman"/>
          <w:color w:val="000000"/>
          <w:sz w:val="20"/>
        </w:rPr>
        <w:t xml:space="preserve"> ☒ </w:t>
      </w:r>
      <w:r>
        <w:rPr>
          <w:rFonts w:ascii="Times New Roman" w:hAnsi="Times New Roman"/>
          <w:b w:val="false"/>
          <w:color w:val="000000"/>
          <w:sz w:val="16"/>
        </w:rPr>
        <w:t>No ☐</w:t>
      </w:r>
    </w:p>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jc w:val="left"/>
        <w:rPr/>
      </w:pPr>
      <w:r>
        <w:rPr/>
        <w:t> </w:t>
      </w:r>
    </w:p>
    <w:tbl>
      <w:tblPr>
        <w:tblW w:w="4979" w:type="dxa"/>
        <w:jc w:val="left"/>
        <w:tblInd w:w="0" w:type="dxa"/>
        <w:tblLayout w:type="fixed"/>
        <w:tblCellMar>
          <w:top w:w="28" w:type="dxa"/>
          <w:left w:w="28" w:type="dxa"/>
          <w:bottom w:w="28" w:type="dxa"/>
          <w:right w:w="28" w:type="dxa"/>
        </w:tblCellMar>
      </w:tblPr>
      <w:tblGrid>
        <w:gridCol w:w="1682"/>
        <w:gridCol w:w="162"/>
        <w:gridCol w:w="392"/>
        <w:gridCol w:w="162"/>
        <w:gridCol w:w="2042"/>
        <w:gridCol w:w="162"/>
        <w:gridCol w:w="377"/>
      </w:tblGrid>
      <w:tr>
        <w:trPr/>
        <w:tc>
          <w:tcPr>
            <w:tcW w:w="168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1682" w:type="dxa"/>
            <w:tcBorders/>
            <w:vAlign w:val="center"/>
          </w:tcPr>
          <w:p>
            <w:pPr>
              <w:pStyle w:val="TableContents"/>
              <w:bidi w:val="0"/>
              <w:spacing w:before="0" w:after="283"/>
              <w:ind w:left="0" w:right="16" w:hanging="0"/>
              <w:jc w:val="left"/>
              <w:rPr>
                <w:rFonts w:ascii="Times New Roman" w:hAnsi="Times New Roman"/>
                <w:b w:val="false"/>
                <w:color w:val="000000"/>
                <w:sz w:val="16"/>
              </w:rPr>
            </w:pPr>
            <w:r>
              <w:rPr>
                <w:rFonts w:ascii="Times New Roman" w:hAnsi="Times New Roman"/>
                <w:b w:val="false"/>
                <w:color w:val="000000"/>
                <w:sz w:val="16"/>
              </w:rPr>
              <w:t>Large accelerated filer</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left"/>
              <w:rPr>
                <w:color w:val="000000"/>
              </w:rPr>
            </w:pPr>
            <w:r>
              <w:rPr>
                <w:color w:val="000000"/>
              </w:rPr>
              <w:t>☒</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2042" w:type="dxa"/>
            <w:tcBorders/>
            <w:vAlign w:val="center"/>
          </w:tcPr>
          <w:p>
            <w:pPr>
              <w:pStyle w:val="TableContents"/>
              <w:bidi w:val="0"/>
              <w:spacing w:before="0" w:after="283"/>
              <w:ind w:left="0" w:right="16" w:hanging="0"/>
              <w:jc w:val="left"/>
              <w:rPr>
                <w:rFonts w:ascii="Times New Roman" w:hAnsi="Times New Roman"/>
                <w:b w:val="false"/>
                <w:color w:val="000000"/>
                <w:sz w:val="16"/>
              </w:rPr>
            </w:pPr>
            <w:r>
              <w:rPr>
                <w:rFonts w:ascii="Times New Roman" w:hAnsi="Times New Roman"/>
                <w:b w:val="false"/>
                <w:color w:val="000000"/>
                <w:sz w:val="16"/>
              </w:rPr>
              <w:t>Accelerated filer</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77" w:type="dxa"/>
            <w:tcBorders/>
            <w:vAlign w:val="center"/>
          </w:tcPr>
          <w:p>
            <w:pPr>
              <w:pStyle w:val="TableContents"/>
              <w:bidi w:val="0"/>
              <w:spacing w:before="0" w:after="283"/>
              <w:ind w:left="0" w:right="16" w:hanging="0"/>
              <w:jc w:val="left"/>
              <w:rPr>
                <w:color w:val="000000"/>
              </w:rPr>
            </w:pPr>
            <w:r>
              <w:rPr>
                <w:color w:val="000000"/>
              </w:rPr>
              <w:t>☐</w:t>
            </w:r>
          </w:p>
        </w:tc>
      </w:tr>
      <w:tr>
        <w:trPr/>
        <w:tc>
          <w:tcPr>
            <w:tcW w:w="1682" w:type="dxa"/>
            <w:tcBorders/>
            <w:vAlign w:val="center"/>
          </w:tcPr>
          <w:p>
            <w:pPr>
              <w:pStyle w:val="TableContents"/>
              <w:bidi w:val="0"/>
              <w:spacing w:before="0" w:after="283"/>
              <w:ind w:left="0" w:right="16" w:hanging="0"/>
              <w:jc w:val="left"/>
              <w:rPr>
                <w:rFonts w:ascii="Times New Roman" w:hAnsi="Times New Roman"/>
                <w:b w:val="false"/>
                <w:color w:val="000000"/>
                <w:sz w:val="16"/>
              </w:rPr>
            </w:pPr>
            <w:r>
              <w:rPr>
                <w:rFonts w:ascii="Times New Roman" w:hAnsi="Times New Roman"/>
                <w:b w:val="false"/>
                <w:color w:val="000000"/>
                <w:sz w:val="16"/>
              </w:rPr>
              <w:t>Non-accelerated filer</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92" w:type="dxa"/>
            <w:tcBorders/>
            <w:vAlign w:val="center"/>
          </w:tcPr>
          <w:p>
            <w:pPr>
              <w:pStyle w:val="TableContents"/>
              <w:bidi w:val="0"/>
              <w:spacing w:before="0" w:after="283"/>
              <w:ind w:left="0" w:right="16" w:hanging="0"/>
              <w:jc w:val="left"/>
              <w:rPr>
                <w:color w:val="000000"/>
              </w:rPr>
            </w:pPr>
            <w:r>
              <w:rPr>
                <w:color w:val="000000"/>
              </w:rPr>
              <w:t xml:space="preserve">☐ </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2042" w:type="dxa"/>
            <w:tcBorders/>
            <w:vAlign w:val="center"/>
          </w:tcPr>
          <w:p>
            <w:pPr>
              <w:pStyle w:val="TableContents"/>
              <w:bidi w:val="0"/>
              <w:spacing w:before="0" w:after="283"/>
              <w:ind w:left="0" w:right="16" w:hanging="0"/>
              <w:jc w:val="left"/>
              <w:rPr>
                <w:rFonts w:ascii="Times New Roman" w:hAnsi="Times New Roman"/>
                <w:b w:val="false"/>
                <w:color w:val="000000"/>
                <w:sz w:val="16"/>
              </w:rPr>
            </w:pPr>
            <w:r>
              <w:rPr>
                <w:rFonts w:ascii="Times New Roman" w:hAnsi="Times New Roman"/>
                <w:b w:val="false"/>
                <w:color w:val="000000"/>
                <w:sz w:val="16"/>
              </w:rPr>
              <w:t>Smaller reporting company</w:t>
            </w:r>
          </w:p>
        </w:tc>
        <w:tc>
          <w:tcPr>
            <w:tcW w:w="162" w:type="dxa"/>
            <w:tcBorders/>
            <w:vAlign w:val="center"/>
          </w:tcPr>
          <w:p>
            <w:pPr>
              <w:pStyle w:val="TableContents"/>
              <w:bidi w:val="0"/>
              <w:spacing w:before="0" w:after="283"/>
              <w:ind w:left="0" w:right="16" w:hanging="0"/>
              <w:jc w:val="left"/>
              <w:rPr>
                <w:sz w:val="4"/>
                <w:szCs w:val="4"/>
              </w:rPr>
            </w:pPr>
            <w:r>
              <w:rPr>
                <w:sz w:val="4"/>
                <w:szCs w:val="4"/>
              </w:rPr>
            </w:r>
          </w:p>
        </w:tc>
        <w:tc>
          <w:tcPr>
            <w:tcW w:w="377" w:type="dxa"/>
            <w:tcBorders/>
            <w:vAlign w:val="center"/>
          </w:tcPr>
          <w:p>
            <w:pPr>
              <w:pStyle w:val="TableContents"/>
              <w:bidi w:val="0"/>
              <w:spacing w:before="0" w:after="283"/>
              <w:ind w:left="0" w:right="16" w:hanging="0"/>
              <w:jc w:val="left"/>
              <w:rPr>
                <w:color w:val="000000"/>
              </w:rPr>
            </w:pPr>
            <w:r>
              <w:rPr>
                <w:color w:val="000000"/>
              </w:rPr>
              <w:t>☐</w:t>
            </w:r>
          </w:p>
        </w:tc>
      </w:tr>
      <w:tr>
        <w:trPr/>
        <w:tc>
          <w:tcPr>
            <w:tcW w:w="1682" w:type="dxa"/>
            <w:tcBorders/>
            <w:vAlign w:val="center"/>
          </w:tcPr>
          <w:p>
            <w:pPr>
              <w:pStyle w:val="TableContents"/>
              <w:bidi w:val="0"/>
              <w:spacing w:before="0" w:after="283"/>
              <w:ind w:left="0" w:right="16" w:hanging="0"/>
              <w:jc w:val="left"/>
              <w:rPr/>
            </w:pPr>
            <w:r>
              <w:rPr/>
              <w:t> </w:t>
            </w:r>
          </w:p>
        </w:tc>
        <w:tc>
          <w:tcPr>
            <w:tcW w:w="162" w:type="dxa"/>
            <w:tcBorders/>
            <w:vAlign w:val="center"/>
          </w:tcPr>
          <w:p>
            <w:pPr>
              <w:pStyle w:val="TableContents"/>
              <w:bidi w:val="0"/>
              <w:spacing w:before="0" w:after="283"/>
              <w:ind w:left="0" w:right="16" w:hanging="0"/>
              <w:jc w:val="left"/>
              <w:rPr/>
            </w:pPr>
            <w:r>
              <w:rPr/>
              <w:t> </w:t>
            </w:r>
          </w:p>
        </w:tc>
        <w:tc>
          <w:tcPr>
            <w:tcW w:w="392" w:type="dxa"/>
            <w:tcBorders/>
            <w:vAlign w:val="center"/>
          </w:tcPr>
          <w:p>
            <w:pPr>
              <w:pStyle w:val="TableContents"/>
              <w:bidi w:val="0"/>
              <w:spacing w:before="0" w:after="283"/>
              <w:ind w:left="0" w:right="16" w:hanging="0"/>
              <w:jc w:val="left"/>
              <w:rPr/>
            </w:pPr>
            <w:r>
              <w:rPr/>
              <w:t> </w:t>
            </w:r>
          </w:p>
        </w:tc>
        <w:tc>
          <w:tcPr>
            <w:tcW w:w="162" w:type="dxa"/>
            <w:tcBorders/>
            <w:vAlign w:val="center"/>
          </w:tcPr>
          <w:p>
            <w:pPr>
              <w:pStyle w:val="TableContents"/>
              <w:bidi w:val="0"/>
              <w:spacing w:before="0" w:after="283"/>
              <w:ind w:left="0" w:right="16" w:hanging="0"/>
              <w:jc w:val="left"/>
              <w:rPr/>
            </w:pPr>
            <w:r>
              <w:rPr/>
              <w:t> </w:t>
            </w:r>
          </w:p>
        </w:tc>
        <w:tc>
          <w:tcPr>
            <w:tcW w:w="2042" w:type="dxa"/>
            <w:tcBorders/>
            <w:vAlign w:val="center"/>
          </w:tcPr>
          <w:p>
            <w:pPr>
              <w:pStyle w:val="TableContents"/>
              <w:bidi w:val="0"/>
              <w:spacing w:before="0" w:after="283"/>
              <w:ind w:left="0" w:right="16" w:hanging="0"/>
              <w:jc w:val="left"/>
              <w:rPr>
                <w:rFonts w:ascii="Times New Roman" w:hAnsi="Times New Roman"/>
                <w:b w:val="false"/>
                <w:color w:val="000000"/>
                <w:sz w:val="16"/>
              </w:rPr>
            </w:pPr>
            <w:r>
              <w:rPr>
                <w:rFonts w:ascii="Times New Roman" w:hAnsi="Times New Roman"/>
                <w:b w:val="false"/>
                <w:color w:val="000000"/>
                <w:sz w:val="16"/>
              </w:rPr>
              <w:t>Emerging growth company</w:t>
            </w:r>
          </w:p>
        </w:tc>
        <w:tc>
          <w:tcPr>
            <w:tcW w:w="162" w:type="dxa"/>
            <w:tcBorders/>
            <w:vAlign w:val="center"/>
          </w:tcPr>
          <w:p>
            <w:pPr>
              <w:pStyle w:val="TableContents"/>
              <w:bidi w:val="0"/>
              <w:spacing w:before="0" w:after="283"/>
              <w:ind w:left="0" w:right="16" w:hanging="0"/>
              <w:jc w:val="left"/>
              <w:rPr/>
            </w:pPr>
            <w:r>
              <w:rPr/>
              <w:t> </w:t>
            </w:r>
          </w:p>
        </w:tc>
        <w:tc>
          <w:tcPr>
            <w:tcW w:w="377" w:type="dxa"/>
            <w:tcBorders/>
            <w:vAlign w:val="center"/>
          </w:tcPr>
          <w:p>
            <w:pPr>
              <w:pStyle w:val="TableContents"/>
              <w:bidi w:val="0"/>
              <w:spacing w:before="0" w:after="283"/>
              <w:ind w:left="0" w:right="16" w:hanging="0"/>
              <w:jc w:val="left"/>
              <w:rPr>
                <w:color w:val="000000"/>
              </w:rPr>
            </w:pPr>
            <w:r>
              <w:rPr>
                <w:color w:val="000000"/>
              </w:rPr>
              <w:t>☐</w:t>
            </w:r>
          </w:p>
        </w:tc>
      </w:tr>
    </w:tbl>
    <w:p>
      <w:pPr>
        <w:pStyle w:val="TextBody"/>
        <w:bidi w:val="0"/>
        <w:spacing w:before="80" w:after="283"/>
        <w:jc w:val="left"/>
        <w:rPr>
          <w:rFonts w:ascii="Times New Roman" w:hAnsi="Times New Roman"/>
          <w:b w:val="false"/>
          <w:color w:val="000000"/>
          <w:sz w:val="16"/>
        </w:rPr>
      </w:pPr>
      <w:r>
        <w:rPr>
          <w:rFonts w:ascii="Times New Roman" w:hAnsi="Times New Roman"/>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b w:val="false"/>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center"/>
        <w:rPr>
          <w:rFonts w:ascii="Times New Roman" w:hAnsi="Times New Roman"/>
          <w:b w:val="false"/>
          <w:color w:val="000000"/>
          <w:sz w:val="16"/>
        </w:rPr>
      </w:pPr>
      <w:r>
        <w:rPr>
          <w:rFonts w:ascii="Times New Roman" w:hAnsi="Times New Roman"/>
          <w:b w:val="false"/>
          <w:color w:val="000000"/>
          <w:sz w:val="16"/>
        </w:rPr>
        <w:t>Securities registered pursuant to Section 12(b) of the Act:</w:t>
      </w:r>
    </w:p>
    <w:tbl>
      <w:tblPr>
        <w:tblW w:w="7503" w:type="dxa"/>
        <w:jc w:val="left"/>
        <w:tblInd w:w="0" w:type="dxa"/>
        <w:tblLayout w:type="fixed"/>
        <w:tblCellMar>
          <w:top w:w="28" w:type="dxa"/>
          <w:left w:w="28" w:type="dxa"/>
          <w:bottom w:w="28" w:type="dxa"/>
          <w:right w:w="28" w:type="dxa"/>
        </w:tblCellMar>
      </w:tblPr>
      <w:tblGrid>
        <w:gridCol w:w="3031"/>
        <w:gridCol w:w="1246"/>
        <w:gridCol w:w="3226"/>
      </w:tblGrid>
      <w:tr>
        <w:trPr/>
        <w:tc>
          <w:tcPr>
            <w:tcW w:w="30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val="false"/>
                <w:color w:val="000000"/>
                <w:sz w:val="16"/>
                <w:u w:val="single"/>
              </w:rPr>
            </w:pPr>
            <w:r>
              <w:rPr>
                <w:rFonts w:ascii="Times New Roman" w:hAnsi="Times New Roman"/>
                <w:b w:val="false"/>
                <w:color w:val="000000"/>
                <w:sz w:val="16"/>
                <w:u w:val="single"/>
              </w:rPr>
              <w:t>Title of each class</w:t>
            </w:r>
          </w:p>
        </w:tc>
        <w:tc>
          <w:tcPr>
            <w:tcW w:w="1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val="false"/>
                <w:color w:val="000000"/>
                <w:sz w:val="16"/>
                <w:u w:val="single"/>
              </w:rPr>
            </w:pPr>
            <w:r>
              <w:rPr>
                <w:rFonts w:ascii="Times New Roman" w:hAnsi="Times New Roman"/>
                <w:b w:val="false"/>
                <w:color w:val="000000"/>
                <w:sz w:val="16"/>
                <w:u w:val="single"/>
              </w:rPr>
              <w:t>Trading Symbol</w:t>
            </w:r>
          </w:p>
        </w:tc>
        <w:tc>
          <w:tcPr>
            <w:tcW w:w="3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val="false"/>
                <w:color w:val="000000"/>
                <w:sz w:val="16"/>
                <w:u w:val="single"/>
              </w:rPr>
            </w:pPr>
            <w:r>
              <w:rPr>
                <w:rFonts w:ascii="Times New Roman" w:hAnsi="Times New Roman"/>
                <w:b w:val="false"/>
                <w:color w:val="000000"/>
                <w:sz w:val="16"/>
                <w:u w:val="single"/>
              </w:rPr>
              <w:t>Name of each exchange on which registered</w:t>
            </w:r>
          </w:p>
        </w:tc>
      </w:tr>
      <w:tr>
        <w:trPr/>
        <w:tc>
          <w:tcPr>
            <w:tcW w:w="30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val="false"/>
                <w:color w:val="000000"/>
                <w:sz w:val="16"/>
              </w:rPr>
            </w:pPr>
            <w:r>
              <w:rPr>
                <w:rFonts w:ascii="Times New Roman" w:hAnsi="Times New Roman"/>
                <w:b w:val="false"/>
                <w:color w:val="000000"/>
                <w:sz w:val="16"/>
              </w:rPr>
              <w:t>Common stock, par value $0.01 per share</w:t>
            </w:r>
          </w:p>
        </w:tc>
        <w:tc>
          <w:tcPr>
            <w:tcW w:w="1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val="false"/>
                <w:color w:val="000000"/>
                <w:sz w:val="16"/>
              </w:rPr>
            </w:pPr>
            <w:r>
              <w:rPr>
                <w:rFonts w:ascii="Times New Roman" w:hAnsi="Times New Roman"/>
                <w:b w:val="false"/>
                <w:color w:val="000000"/>
                <w:sz w:val="16"/>
              </w:rPr>
              <w:t>SSNC</w:t>
            </w:r>
          </w:p>
        </w:tc>
        <w:tc>
          <w:tcPr>
            <w:tcW w:w="3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b w:val="false"/>
                <w:color w:val="000000"/>
                <w:sz w:val="16"/>
              </w:rPr>
            </w:pPr>
            <w:r>
              <w:rPr>
                <w:rFonts w:ascii="Times New Roman" w:hAnsi="Times New Roman"/>
                <w:b w:val="false"/>
                <w:color w:val="000000"/>
                <w:sz w:val="16"/>
              </w:rPr>
              <w:t>The Nasdaq Global Select Market</w:t>
            </w:r>
          </w:p>
        </w:tc>
      </w:tr>
    </w:tbl>
    <w:p>
      <w:pPr>
        <w:pStyle w:val="TextBody"/>
        <w:bidi w:val="0"/>
        <w:spacing w:before="100" w:after="283"/>
        <w:jc w:val="left"/>
        <w:rPr>
          <w:rFonts w:ascii="Times New Roman" w:hAnsi="Times New Roman"/>
          <w:sz w:val="20"/>
        </w:rPr>
      </w:pPr>
      <w:r>
        <w:rPr>
          <w:rFonts w:ascii="Times New Roman" w:hAnsi="Times New Roman"/>
          <w:b w:val="false"/>
          <w:color w:val="000000"/>
          <w:sz w:val="16"/>
        </w:rPr>
        <w:t>There were 247,515,709</w:t>
      </w:r>
      <w:r>
        <w:rPr>
          <w:rFonts w:ascii="Times New Roman" w:hAnsi="Times New Roman"/>
          <w:color w:val="000000"/>
          <w:sz w:val="20"/>
        </w:rPr>
        <w:t xml:space="preserve"> </w:t>
      </w:r>
      <w:r>
        <w:rPr>
          <w:rFonts w:ascii="Times New Roman" w:hAnsi="Times New Roman"/>
          <w:b w:val="false"/>
          <w:color w:val="000000"/>
          <w:sz w:val="16"/>
        </w:rPr>
        <w:t>shares of the registrant’s common stock outstanding as of October 25, 2023.</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9323"/>
        <w:gridCol w:w="146"/>
        <w:gridCol w:w="736"/>
      </w:tblGrid>
      <w:tr>
        <w:trPr/>
        <w:tc>
          <w:tcPr>
            <w:tcW w:w="9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br/>
              <w:t>Number</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9323" w:type="dxa"/>
            <w:tcBorders/>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1. FINANCIAL INFORMATION</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9323" w:type="dxa"/>
            <w:tcBorders/>
            <w:vAlign w:val="center"/>
          </w:tcPr>
          <w:p>
            <w:pPr>
              <w:pStyle w:val="TableContents"/>
              <w:bidi w:val="0"/>
              <w:spacing w:before="0" w:after="283"/>
              <w:jc w:val="left"/>
              <w:rPr/>
            </w:pPr>
            <w:hyperlink w:anchor="item_1_financial_statements">
              <w:r>
                <w:rPr>
                  <w:rStyle w:val="InternetLink"/>
                  <w:rFonts w:ascii="Times New Roman" w:hAnsi="Times New Roman"/>
                  <w:b w:val="false"/>
                  <w:color w:val="0000FF"/>
                  <w:sz w:val="20"/>
                  <w:u w:val="single"/>
                </w:rPr>
                <w:t>Item 1. Financial Statements (unaudited)</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ind w:left="0" w:right="0" w:firstLine="519"/>
              <w:jc w:val="right"/>
              <w:rPr/>
            </w:pPr>
            <w:r>
              <w:rPr/>
              <w:t> </w:t>
            </w:r>
          </w:p>
        </w:tc>
      </w:tr>
      <w:tr>
        <w:trPr/>
        <w:tc>
          <w:tcPr>
            <w:tcW w:w="9323" w:type="dxa"/>
            <w:tcBorders/>
            <w:vAlign w:val="center"/>
          </w:tcPr>
          <w:p>
            <w:pPr>
              <w:pStyle w:val="TableContents"/>
              <w:pBdr/>
              <w:bidi w:val="0"/>
              <w:spacing w:before="0" w:after="283"/>
              <w:ind w:left="274" w:right="0" w:hanging="245"/>
              <w:jc w:val="left"/>
              <w:rPr/>
            </w:pPr>
            <w:hyperlink w:anchor="condensed_consolidated_balance_sheets">
              <w:r>
                <w:rPr>
                  <w:rStyle w:val="InternetLink"/>
                  <w:rFonts w:ascii="Times New Roman" w:hAnsi="Times New Roman"/>
                  <w:b w:val="false"/>
                  <w:color w:val="0000FF"/>
                  <w:sz w:val="20"/>
                  <w:u w:val="single"/>
                </w:rPr>
                <w:t>Condensed Consolidated Balance Sheets at September 30, 2023 and December 31, 2022</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ind w:left="0" w:right="0" w:firstLine="519"/>
              <w:jc w:val="right"/>
              <w:rPr/>
            </w:pPr>
            <w:r>
              <w:rPr/>
              <w:t> </w:t>
            </w:r>
          </w:p>
        </w:tc>
      </w:tr>
      <w:tr>
        <w:trPr/>
        <w:tc>
          <w:tcPr>
            <w:tcW w:w="9323" w:type="dxa"/>
            <w:tcBorders/>
            <w:vAlign w:val="center"/>
          </w:tcPr>
          <w:p>
            <w:pPr>
              <w:pStyle w:val="TableContents"/>
              <w:pBdr/>
              <w:bidi w:val="0"/>
              <w:spacing w:before="0" w:after="283"/>
              <w:ind w:left="274" w:right="0" w:hanging="245"/>
              <w:jc w:val="left"/>
              <w:rPr/>
            </w:pPr>
            <w:hyperlink w:anchor="condensed_consolidated_statements_compre">
              <w:r>
                <w:rPr>
                  <w:rStyle w:val="InternetLink"/>
                  <w:rFonts w:ascii="Times New Roman" w:hAnsi="Times New Roman"/>
                  <w:b w:val="false"/>
                  <w:color w:val="0000FF"/>
                  <w:sz w:val="20"/>
                  <w:u w:val="single"/>
                </w:rPr>
                <w:t>Condensed Consolidated Statements of Comprehensive Income (Loss) for the three and nine months ended September 30, 2023 and 2022</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ind w:left="0" w:right="0" w:firstLine="519"/>
              <w:jc w:val="right"/>
              <w:rPr/>
            </w:pPr>
            <w:r>
              <w:rPr/>
              <w:t> </w:t>
            </w:r>
          </w:p>
        </w:tc>
      </w:tr>
      <w:tr>
        <w:trPr/>
        <w:tc>
          <w:tcPr>
            <w:tcW w:w="9323" w:type="dxa"/>
            <w:tcBorders/>
            <w:vAlign w:val="center"/>
          </w:tcPr>
          <w:p>
            <w:pPr>
              <w:pStyle w:val="TableContents"/>
              <w:pBdr/>
              <w:bidi w:val="0"/>
              <w:spacing w:before="0" w:after="283"/>
              <w:ind w:left="274" w:right="0" w:hanging="245"/>
              <w:jc w:val="left"/>
              <w:rPr/>
            </w:pPr>
            <w:hyperlink w:anchor="condensed_consolidated_statements_cash_f">
              <w:r>
                <w:rPr>
                  <w:rStyle w:val="InternetLink"/>
                  <w:rFonts w:ascii="Times New Roman" w:hAnsi="Times New Roman"/>
                  <w:b w:val="false"/>
                  <w:color w:val="0000FF"/>
                  <w:sz w:val="20"/>
                  <w:u w:val="single"/>
                </w:rPr>
                <w:t>Condensed Consolidated Statements of Cash Flows for the nine months ended September 30, 2023 and 2022</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ind w:left="0" w:right="0" w:firstLine="519"/>
              <w:jc w:val="right"/>
              <w:rPr/>
            </w:pPr>
            <w:r>
              <w:rPr/>
              <w:t> </w:t>
            </w:r>
          </w:p>
        </w:tc>
      </w:tr>
      <w:tr>
        <w:trPr/>
        <w:tc>
          <w:tcPr>
            <w:tcW w:w="9323" w:type="dxa"/>
            <w:tcBorders/>
            <w:vAlign w:val="center"/>
          </w:tcPr>
          <w:p>
            <w:pPr>
              <w:pStyle w:val="TableContents"/>
              <w:pBdr/>
              <w:bidi w:val="0"/>
              <w:spacing w:before="0" w:after="283"/>
              <w:ind w:left="274" w:right="0" w:hanging="245"/>
              <w:jc w:val="left"/>
              <w:rPr/>
            </w:pPr>
            <w:hyperlink w:anchor="condensed_consolidated_equity_statement">
              <w:r>
                <w:rPr>
                  <w:rStyle w:val="InternetLink"/>
                  <w:rFonts w:ascii="Times New Roman" w:hAnsi="Times New Roman"/>
                  <w:b w:val="false"/>
                  <w:color w:val="0000FF"/>
                  <w:sz w:val="20"/>
                  <w:u w:val="single"/>
                </w:rPr>
                <w:t>Condensed Consolidated Statements of Stockholders’ Equity for the three and nine months ended September 30, 2023 and 2022</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ind w:left="0" w:right="0" w:firstLine="519"/>
              <w:jc w:val="right"/>
              <w:rPr/>
            </w:pPr>
            <w:r>
              <w:rPr/>
              <w:t> </w:t>
            </w:r>
          </w:p>
        </w:tc>
      </w:tr>
      <w:tr>
        <w:trPr/>
        <w:tc>
          <w:tcPr>
            <w:tcW w:w="9323" w:type="dxa"/>
            <w:tcBorders/>
            <w:vAlign w:val="center"/>
          </w:tcPr>
          <w:p>
            <w:pPr>
              <w:pStyle w:val="TableContents"/>
              <w:pBdr/>
              <w:bidi w:val="0"/>
              <w:spacing w:before="0" w:after="283"/>
              <w:ind w:left="274" w:right="0" w:hanging="245"/>
              <w:jc w:val="left"/>
              <w:rPr/>
            </w:pPr>
            <w:hyperlink w:anchor="notes_to_financial_statements">
              <w:r>
                <w:rPr>
                  <w:rStyle w:val="InternetLink"/>
                  <w:rFonts w:ascii="Times New Roman" w:hAnsi="Times New Roman"/>
                  <w:b w:val="false"/>
                  <w:color w:val="0000FF"/>
                  <w:sz w:val="20"/>
                  <w:u w:val="single"/>
                </w:rPr>
                <w:t>Notes to Condensed Consolidated Financial Statements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9323"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000FF"/>
                  <w:sz w:val="20"/>
                  <w:u w:val="single"/>
                </w:rPr>
                <w:t>Item 2. 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9323"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000FF"/>
                  <w:sz w:val="20"/>
                  <w:u w:val="single"/>
                </w:rPr>
                <w:t>Item 3. 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9323" w:type="dxa"/>
            <w:tcBorders/>
            <w:vAlign w:val="center"/>
          </w:tcPr>
          <w:p>
            <w:pPr>
              <w:pStyle w:val="TableContents"/>
              <w:bidi w:val="0"/>
              <w:spacing w:before="0" w:after="283"/>
              <w:jc w:val="left"/>
              <w:rPr/>
            </w:pPr>
            <w:hyperlink w:anchor="item_4_controls_procedures">
              <w:r>
                <w:rPr>
                  <w:rStyle w:val="InternetLink"/>
                  <w:rFonts w:ascii="Times New Roman" w:hAnsi="Times New Roman"/>
                  <w:b w:val="false"/>
                  <w:color w:val="0000FF"/>
                  <w:sz w:val="20"/>
                  <w:u w:val="single"/>
                </w:rPr>
                <w:t>Item 4. Controls and Procedures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9323" w:type="dxa"/>
            <w:tcBorders/>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9323" w:type="dxa"/>
            <w:tcBorders/>
            <w:vAlign w:val="center"/>
          </w:tcPr>
          <w:p>
            <w:pPr>
              <w:pStyle w:val="TableContents"/>
              <w:bidi w:val="0"/>
              <w:spacing w:before="0" w:after="283"/>
              <w:jc w:val="left"/>
              <w:rPr/>
            </w:pPr>
            <w:hyperlink w:anchor="item_1_legal_proceedings">
              <w:r>
                <w:rPr>
                  <w:rStyle w:val="InternetLink"/>
                  <w:rFonts w:ascii="Times New Roman" w:hAnsi="Times New Roman"/>
                  <w:b w:val="false"/>
                  <w:color w:val="0000FF"/>
                  <w:sz w:val="20"/>
                  <w:u w:val="single"/>
                </w:rPr>
                <w:t>Item 1. Legal Proceedings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9323" w:type="dxa"/>
            <w:tcBorders/>
            <w:vAlign w:val="center"/>
          </w:tcPr>
          <w:p>
            <w:pPr>
              <w:pStyle w:val="TableContents"/>
              <w:bidi w:val="0"/>
              <w:spacing w:before="0" w:after="283"/>
              <w:jc w:val="left"/>
              <w:rPr/>
            </w:pPr>
            <w:hyperlink w:anchor="item_1a_risk_factors">
              <w:r>
                <w:rPr>
                  <w:rStyle w:val="InternetLink"/>
                  <w:rFonts w:ascii="Times New Roman" w:hAnsi="Times New Roman"/>
                  <w:b w:val="false"/>
                  <w:color w:val="0000FF"/>
                  <w:sz w:val="20"/>
                  <w:u w:val="single"/>
                </w:rPr>
                <w:t>Item 1A. Risk Factors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9323" w:type="dxa"/>
            <w:tcBorders/>
            <w:vAlign w:val="center"/>
          </w:tcPr>
          <w:p>
            <w:pPr>
              <w:pStyle w:val="TableContents"/>
              <w:bidi w:val="0"/>
              <w:spacing w:before="0" w:after="283"/>
              <w:jc w:val="left"/>
              <w:rPr/>
            </w:pPr>
            <w:hyperlink w:anchor="item_2_unregistered_sales_of_securities">
              <w:r>
                <w:rPr>
                  <w:rStyle w:val="InternetLink"/>
                  <w:rFonts w:ascii="Times New Roman" w:hAnsi="Times New Roman"/>
                  <w:b w:val="false"/>
                  <w:color w:val="0000FF"/>
                  <w:sz w:val="20"/>
                  <w:u w:val="single"/>
                </w:rPr>
                <w:t>Item 2. Unregistered Sales of Equity Securities, Use of Proceeds, and Issuer Purchases of Equity Securities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r>
        <w:trPr/>
        <w:tc>
          <w:tcPr>
            <w:tcW w:w="9323" w:type="dxa"/>
            <w:tcBorders/>
            <w:vAlign w:val="center"/>
          </w:tcPr>
          <w:p>
            <w:pPr>
              <w:pStyle w:val="TableContents"/>
              <w:bidi w:val="0"/>
              <w:spacing w:before="0" w:after="283"/>
              <w:jc w:val="left"/>
              <w:rPr/>
            </w:pPr>
            <w:hyperlink w:anchor="item_6_exhibits">
              <w:r>
                <w:rPr>
                  <w:rStyle w:val="InternetLink"/>
                  <w:rFonts w:ascii="Times New Roman" w:hAnsi="Times New Roman"/>
                  <w:b w:val="false"/>
                  <w:color w:val="0000FF"/>
                  <w:sz w:val="20"/>
                  <w:u w:val="single"/>
                </w:rPr>
                <w:t>Item 6. Exhibits</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ind w:left="0" w:right="0" w:firstLine="274"/>
              <w:jc w:val="right"/>
              <w:rPr/>
            </w:pPr>
            <w:r>
              <w:rPr/>
              <w:t> </w:t>
            </w:r>
          </w:p>
        </w:tc>
      </w:tr>
      <w:tr>
        <w:trPr/>
        <w:tc>
          <w:tcPr>
            <w:tcW w:w="9323" w:type="dxa"/>
            <w:tcBorders/>
            <w:vAlign w:val="center"/>
          </w:tcPr>
          <w:p>
            <w:pPr>
              <w:pStyle w:val="TableContents"/>
              <w:bidi w:val="0"/>
              <w:spacing w:before="0" w:after="283"/>
              <w:ind w:left="274" w:right="0" w:firstLine="274"/>
              <w:jc w:val="left"/>
              <w:rPr/>
            </w:pPr>
            <w:hyperlink w:anchor="exhibit_index">
              <w:r>
                <w:rPr>
                  <w:rStyle w:val="InternetLink"/>
                  <w:rFonts w:ascii="Times New Roman" w:hAnsi="Times New Roman"/>
                  <w:b/>
                  <w:color w:val="0000FF"/>
                  <w:sz w:val="20"/>
                  <w:u w:val="single"/>
                </w:rPr>
                <w:t>EXHIBIT INDEX</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ind w:left="0" w:right="0" w:firstLine="274"/>
              <w:jc w:val="right"/>
              <w:rPr>
                <w:rFonts w:ascii="Times New Roman" w:hAnsi="Times New Roman"/>
                <w:b w:val="false"/>
                <w:color w:val="000000"/>
                <w:sz w:val="20"/>
              </w:rPr>
            </w:pPr>
            <w:r>
              <w:rPr>
                <w:rFonts w:ascii="Times New Roman" w:hAnsi="Times New Roman"/>
                <w:b w:val="false"/>
                <w:color w:val="000000"/>
                <w:sz w:val="20"/>
              </w:rPr>
              <w:t>31</w:t>
            </w:r>
          </w:p>
        </w:tc>
      </w:tr>
      <w:tr>
        <w:trPr/>
        <w:tc>
          <w:tcPr>
            <w:tcW w:w="9323" w:type="dxa"/>
            <w:tcBorders/>
            <w:vAlign w:val="center"/>
          </w:tcPr>
          <w:p>
            <w:pPr>
              <w:pStyle w:val="TableContents"/>
              <w:bidi w:val="0"/>
              <w:spacing w:before="0" w:after="283"/>
              <w:ind w:left="274" w:right="0" w:firstLine="274"/>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ind w:left="0" w:right="0" w:firstLine="274"/>
              <w:jc w:val="right"/>
              <w:rPr/>
            </w:pPr>
            <w:r>
              <w:rPr/>
              <w:t> </w:t>
            </w:r>
          </w:p>
        </w:tc>
      </w:tr>
      <w:tr>
        <w:trPr/>
        <w:tc>
          <w:tcPr>
            <w:tcW w:w="9323" w:type="dxa"/>
            <w:tcBorders/>
            <w:vAlign w:val="center"/>
          </w:tcPr>
          <w:p>
            <w:pPr>
              <w:pStyle w:val="TableContents"/>
              <w:bidi w:val="0"/>
              <w:spacing w:before="0" w:after="283"/>
              <w:ind w:left="274" w:right="0" w:firstLine="274"/>
              <w:jc w:val="left"/>
              <w:rPr/>
            </w:pPr>
            <w:hyperlink w:anchor="signature">
              <w:r>
                <w:rPr>
                  <w:rStyle w:val="InternetLink"/>
                  <w:rFonts w:ascii="Times New Roman" w:hAnsi="Times New Roman"/>
                  <w:b/>
                  <w:color w:val="0000FF"/>
                  <w:sz w:val="20"/>
                  <w:u w:val="single"/>
                </w:rPr>
                <w:t>SIGNATURE</w:t>
              </w:r>
            </w:hyperlink>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r>
      <w:tr>
        <w:trPr/>
        <w:tc>
          <w:tcPr>
            <w:tcW w:w="932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b w:val="false"/>
          <w:color w:val="000000"/>
          <w:sz w:val="20"/>
        </w:rPr>
      </w:pPr>
      <w:r>
        <w:rPr>
          <w:rFonts w:ascii="Times New Roman" w:hAnsi="Times New Roman"/>
          <w:b w:val="false"/>
          <w:color w:val="000000"/>
          <w:sz w:val="20"/>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pStyle w:val="TextBody"/>
        <w:bidi w:val="0"/>
        <w:spacing w:before="240" w:after="283"/>
        <w:jc w:val="both"/>
        <w:rPr>
          <w:rFonts w:ascii="Times New Roman" w:hAnsi="Times New Roman"/>
          <w:sz w:val="20"/>
        </w:rPr>
      </w:pPr>
      <w:r>
        <w:rPr>
          <w:rFonts w:ascii="Times New Roman" w:hAnsi="Times New Roman"/>
          <w:b w:val="false"/>
          <w:color w:val="000000"/>
          <w:sz w:val="20"/>
        </w:rPr>
        <w:t>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for the year ended December 31, 2022, filed with the Securities and Exchange Commission on February 28, 2023, among others, could cause actual results to differ materially from those indicated by forward-looking statements made herein and presented elsewhere by management from time to time. We do not undertake an obligation to update its forward-looking statements to reflect future events or circumstances.</w:t>
      </w:r>
      <w:r>
        <w:rPr>
          <w:rFonts w:ascii="Times New Roman" w:hAnsi="Times New Roman"/>
          <w:color w:val="000000"/>
          <w:sz w:val="20"/>
        </w:rPr>
        <w:t xml:space="preserve"> </w:t>
      </w:r>
    </w:p>
    <w:p>
      <w:pPr>
        <w:pStyle w:val="TextBody"/>
        <w:bidi w:val="0"/>
        <w:spacing w:before="24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left"/>
        <w:rPr>
          <w:rFonts w:ascii="Times New Roman" w:hAnsi="Times New Roman"/>
          <w:b/>
          <w:color w:val="000000"/>
          <w:sz w:val="16"/>
        </w:rPr>
      </w:pPr>
      <w:r>
        <w:rPr>
          <w:rFonts w:ascii="Times New Roman" w:hAnsi="Times New Roman"/>
          <w:b/>
          <w:color w:val="000000"/>
          <w:sz w:val="16"/>
        </w:rPr>
        <w:t>(In millions, except per share data) (Unaudited)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22"/>
        <w:gridCol w:w="146"/>
        <w:gridCol w:w="203"/>
        <w:gridCol w:w="766"/>
        <w:gridCol w:w="166"/>
        <w:gridCol w:w="146"/>
        <w:gridCol w:w="198"/>
        <w:gridCol w:w="745"/>
        <w:gridCol w:w="413"/>
      </w:tblGrid>
      <w:tr>
        <w:trPr/>
        <w:tc>
          <w:tcPr>
            <w:tcW w:w="7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4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413" w:type="dxa"/>
            <w:tcBorders/>
            <w:shd w:fill="FFFFFF" w:val="clear"/>
            <w:vAlign w:val="center"/>
          </w:tcPr>
          <w:p>
            <w:pPr>
              <w:pStyle w:val="TableContents"/>
              <w:bidi w:val="0"/>
              <w:spacing w:before="0" w:after="283"/>
              <w:jc w:val="center"/>
              <w:rPr/>
            </w:pPr>
            <w:r>
              <w:rPr/>
              <w:t> </w:t>
            </w:r>
          </w:p>
        </w:tc>
      </w:tr>
      <w:tr>
        <w:trPr/>
        <w:tc>
          <w:tcPr>
            <w:tcW w:w="74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2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Current assets:</w:t>
            </w:r>
          </w:p>
        </w:tc>
        <w:tc>
          <w:tcPr>
            <w:tcW w:w="146"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ind w:left="0" w:right="0" w:firstLine="200"/>
              <w:jc w:val="right"/>
              <w:rPr/>
            </w:pPr>
            <w:r>
              <w:rPr/>
              <w:t> </w:t>
            </w:r>
          </w:p>
        </w:tc>
      </w:tr>
      <w:tr>
        <w:trPr/>
        <w:tc>
          <w:tcPr>
            <w:tcW w:w="74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Cash and cash equivalents</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440.1</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4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Funds receivable and funds held on behalf of clients</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966.3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42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Accounts receivable, net of allowance for credit losses of $28.9</w:t>
            </w:r>
            <w:r>
              <w:rPr>
                <w:rFonts w:ascii="Times New Roman" w:hAnsi="Times New Roman"/>
                <w:color w:val="000000"/>
                <w:sz w:val="20"/>
              </w:rPr>
              <w:t> </w:t>
            </w:r>
            <w:r>
              <w:rPr>
                <w:rFonts w:ascii="Times New Roman" w:hAnsi="Times New Roman"/>
                <w:b w:val="false"/>
                <w:color w:val="000000"/>
                <w:sz w:val="16"/>
              </w:rPr>
              <w:t>and $21.7, respectively</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836.2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778.6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4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Contract assets</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4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193.8</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4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Restricted cash and cash equivalents</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current assets</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2,268.4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2,424.4</w:t>
            </w:r>
          </w:p>
        </w:tc>
        <w:tc>
          <w:tcPr>
            <w:tcW w:w="413" w:type="dxa"/>
            <w:tcBorders/>
            <w:shd w:fill="CFF0FC"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Property, plant and equipment, net (Note 2)</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343.9</w:t>
            </w:r>
          </w:p>
        </w:tc>
        <w:tc>
          <w:tcPr>
            <w:tcW w:w="413" w:type="dxa"/>
            <w:tcBorders/>
            <w:shd w:fill="FFFFFF" w:val="clear"/>
            <w:vAlign w:val="center"/>
          </w:tcPr>
          <w:p>
            <w:pPr>
              <w:pStyle w:val="TableContents"/>
              <w:bidi w:val="0"/>
              <w:spacing w:before="0" w:after="283"/>
              <w:jc w:val="left"/>
              <w:rPr/>
            </w:pPr>
            <w:r>
              <w:rPr/>
              <w:t> </w:t>
            </w:r>
          </w:p>
        </w:tc>
      </w:tr>
      <w:tr>
        <w:trPr/>
        <w:tc>
          <w:tcPr>
            <w:tcW w:w="74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260.6</w:t>
            </w:r>
          </w:p>
        </w:tc>
        <w:tc>
          <w:tcPr>
            <w:tcW w:w="413" w:type="dxa"/>
            <w:tcBorders/>
            <w:shd w:fill="CFF0FC"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Investments (Note 3)</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193.9</w:t>
            </w:r>
          </w:p>
        </w:tc>
        <w:tc>
          <w:tcPr>
            <w:tcW w:w="413" w:type="dxa"/>
            <w:tcBorders/>
            <w:shd w:fill="FFFFFF" w:val="clear"/>
            <w:vAlign w:val="center"/>
          </w:tcPr>
          <w:p>
            <w:pPr>
              <w:pStyle w:val="TableContents"/>
              <w:bidi w:val="0"/>
              <w:spacing w:before="0" w:after="283"/>
              <w:jc w:val="left"/>
              <w:rPr/>
            </w:pPr>
            <w:r>
              <w:rPr/>
              <w:t> </w:t>
            </w:r>
          </w:p>
        </w:tc>
      </w:tr>
      <w:tr>
        <w:trPr/>
        <w:tc>
          <w:tcPr>
            <w:tcW w:w="74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Unconsolidated affiliates (Note 4)</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266.9</w:t>
            </w:r>
          </w:p>
        </w:tc>
        <w:tc>
          <w:tcPr>
            <w:tcW w:w="413" w:type="dxa"/>
            <w:tcBorders/>
            <w:shd w:fill="CFF0FC"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Contract assets</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115.9</w:t>
            </w:r>
          </w:p>
        </w:tc>
        <w:tc>
          <w:tcPr>
            <w:tcW w:w="413" w:type="dxa"/>
            <w:tcBorders/>
            <w:shd w:fill="FFFFFF" w:val="clear"/>
            <w:vAlign w:val="center"/>
          </w:tcPr>
          <w:p>
            <w:pPr>
              <w:pStyle w:val="TableContents"/>
              <w:bidi w:val="0"/>
              <w:spacing w:before="0" w:after="283"/>
              <w:jc w:val="left"/>
              <w:rPr/>
            </w:pPr>
            <w:r>
              <w:rPr/>
              <w:t> </w:t>
            </w:r>
          </w:p>
        </w:tc>
      </w:tr>
      <w:tr>
        <w:trPr/>
        <w:tc>
          <w:tcPr>
            <w:tcW w:w="74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Goodwill (Note 6)</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8,854.9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8,863.0</w:t>
            </w:r>
          </w:p>
        </w:tc>
        <w:tc>
          <w:tcPr>
            <w:tcW w:w="413" w:type="dxa"/>
            <w:tcBorders/>
            <w:shd w:fill="CFF0FC"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16"/>
              </w:rPr>
              <w:t>Intangible and other assets, net of accumulated amortization of $3,888.8</w:t>
            </w:r>
            <w:r>
              <w:rPr>
                <w:rFonts w:ascii="Times New Roman" w:hAnsi="Times New Roman"/>
                <w:color w:val="000000"/>
                <w:sz w:val="20"/>
              </w:rPr>
              <w:t> </w:t>
            </w:r>
            <w:r>
              <w:rPr>
                <w:rFonts w:ascii="Times New Roman" w:hAnsi="Times New Roman"/>
                <w:b w:val="false"/>
                <w:color w:val="000000"/>
                <w:sz w:val="16"/>
              </w:rPr>
              <w:t>and $3,445.4, respectively</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3,916.9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4,184.7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assets</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16,180.0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16,653.3</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Redeemable Noncontrolling Interest and Equity</w:t>
            </w:r>
          </w:p>
        </w:tc>
        <w:tc>
          <w:tcPr>
            <w:tcW w:w="146"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Current liabilities:</w:t>
            </w:r>
          </w:p>
        </w:tc>
        <w:tc>
          <w:tcPr>
            <w:tcW w:w="146" w:type="dxa"/>
            <w:tcBorders/>
            <w:shd w:fill="FFFFFF" w:val="clear"/>
            <w:vAlign w:val="center"/>
          </w:tcPr>
          <w:p>
            <w:pPr>
              <w:pStyle w:val="TableContents"/>
              <w:bidi w:val="0"/>
              <w:spacing w:before="0" w:after="283"/>
              <w:jc w:val="left"/>
              <w:rPr/>
            </w:pPr>
            <w:r>
              <w:rPr/>
              <w:t> </w:t>
            </w:r>
          </w:p>
        </w:tc>
        <w:tc>
          <w:tcPr>
            <w:tcW w:w="96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ind w:left="0" w:right="0" w:firstLine="200"/>
              <w:jc w:val="right"/>
              <w:rPr/>
            </w:pPr>
            <w:r>
              <w:rPr/>
              <w:t> </w:t>
            </w:r>
          </w:p>
        </w:tc>
      </w:tr>
      <w:tr>
        <w:trPr/>
        <w:tc>
          <w:tcPr>
            <w:tcW w:w="74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Current portion of long-term debt (Note 7)</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4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Client funds obligations</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787.5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966.3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4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Accounts payable</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49.5</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4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Income taxes payable</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34.3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4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Accrued employee compensation and benefits</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235.8</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4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Interest payable</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28.4</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4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Other accrued expenses</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356.1</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4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Deferred revenues</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464.7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current liabilities</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1,989.1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2,190.8</w:t>
            </w:r>
          </w:p>
        </w:tc>
        <w:tc>
          <w:tcPr>
            <w:tcW w:w="413" w:type="dxa"/>
            <w:tcBorders/>
            <w:shd w:fill="CFF0FC"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Long-term debt, net of current portion (Note 7)</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6,738.7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7,023.9</w:t>
            </w:r>
          </w:p>
        </w:tc>
        <w:tc>
          <w:tcPr>
            <w:tcW w:w="413" w:type="dxa"/>
            <w:tcBorders/>
            <w:shd w:fill="FFFFFF" w:val="clear"/>
            <w:vAlign w:val="center"/>
          </w:tcPr>
          <w:p>
            <w:pPr>
              <w:pStyle w:val="TableContents"/>
              <w:bidi w:val="0"/>
              <w:spacing w:before="0" w:after="283"/>
              <w:jc w:val="left"/>
              <w:rPr/>
            </w:pPr>
            <w:r>
              <w:rPr/>
              <w:t> </w:t>
            </w:r>
          </w:p>
        </w:tc>
      </w:tr>
      <w:tr>
        <w:trPr/>
        <w:tc>
          <w:tcPr>
            <w:tcW w:w="74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209.5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237.0</w:t>
            </w:r>
          </w:p>
        </w:tc>
        <w:tc>
          <w:tcPr>
            <w:tcW w:w="413" w:type="dxa"/>
            <w:tcBorders/>
            <w:shd w:fill="CFF0FC"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Other long-term liabilities</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244.0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225.8</w:t>
            </w:r>
          </w:p>
        </w:tc>
        <w:tc>
          <w:tcPr>
            <w:tcW w:w="413" w:type="dxa"/>
            <w:tcBorders/>
            <w:shd w:fill="FFFFFF" w:val="clear"/>
            <w:vAlign w:val="center"/>
          </w:tcPr>
          <w:p>
            <w:pPr>
              <w:pStyle w:val="TableContents"/>
              <w:bidi w:val="0"/>
              <w:spacing w:before="0" w:after="283"/>
              <w:jc w:val="left"/>
              <w:rPr/>
            </w:pPr>
            <w:r>
              <w:rPr/>
              <w:t> </w:t>
            </w:r>
          </w:p>
        </w:tc>
      </w:tr>
      <w:tr>
        <w:trPr/>
        <w:tc>
          <w:tcPr>
            <w:tcW w:w="74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Deferred income taxes</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794.4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872.9</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liabilities</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9,975.7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10,550.4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Commitments and contingencies (Note 14)</w:t>
            </w:r>
          </w:p>
        </w:tc>
        <w:tc>
          <w:tcPr>
            <w:tcW w:w="146" w:type="dxa"/>
            <w:tcBorders/>
            <w:shd w:fill="CFF0FC" w:val="clear"/>
            <w:vAlign w:val="center"/>
          </w:tcPr>
          <w:p>
            <w:pPr>
              <w:pStyle w:val="TableContents"/>
              <w:bidi w:val="0"/>
              <w:spacing w:before="0" w:after="283"/>
              <w:jc w:val="left"/>
              <w:rPr/>
            </w:pPr>
            <w:r>
              <w:rPr/>
              <w:t> </w:t>
            </w:r>
          </w:p>
        </w:tc>
        <w:tc>
          <w:tcPr>
            <w:tcW w:w="96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jc w:val="right"/>
              <w:rPr/>
            </w:pPr>
            <w:r>
              <w:rPr/>
              <w:t> </w:t>
            </w:r>
          </w:p>
        </w:tc>
      </w:tr>
      <w:tr>
        <w:trPr/>
        <w:tc>
          <w:tcPr>
            <w:tcW w:w="742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Redeemable noncontrolling interest (Note 3)</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2.1</w:t>
            </w:r>
          </w:p>
        </w:tc>
        <w:tc>
          <w:tcPr>
            <w:tcW w:w="413" w:type="dxa"/>
            <w:tcBorders/>
            <w:shd w:fill="FFFFFF" w:val="clear"/>
            <w:vAlign w:val="center"/>
          </w:tcPr>
          <w:p>
            <w:pPr>
              <w:pStyle w:val="TableContents"/>
              <w:bidi w:val="0"/>
              <w:spacing w:before="0" w:after="283"/>
              <w:jc w:val="left"/>
              <w:rPr/>
            </w:pPr>
            <w:r>
              <w:rPr/>
              <w:t> </w:t>
            </w:r>
          </w:p>
        </w:tc>
      </w:tr>
      <w:tr>
        <w:trPr/>
        <w:tc>
          <w:tcPr>
            <w:tcW w:w="74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Stockholders’ equity (Note 8):</w:t>
            </w:r>
          </w:p>
        </w:tc>
        <w:tc>
          <w:tcPr>
            <w:tcW w:w="146" w:type="dxa"/>
            <w:tcBorders/>
            <w:shd w:fill="CFF0FC" w:val="clear"/>
            <w:vAlign w:val="center"/>
          </w:tcPr>
          <w:p>
            <w:pPr>
              <w:pStyle w:val="TableContents"/>
              <w:bidi w:val="0"/>
              <w:spacing w:before="0" w:after="283"/>
              <w:jc w:val="left"/>
              <w:rPr/>
            </w:pPr>
            <w:r>
              <w:rPr/>
              <w:t> </w:t>
            </w:r>
          </w:p>
        </w:tc>
        <w:tc>
          <w:tcPr>
            <w:tcW w:w="96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3" w:type="dxa"/>
            <w:gridSpan w:val="2"/>
            <w:tcBorders/>
            <w:shd w:fill="CFF0FC" w:val="clear"/>
            <w:vAlign w:val="center"/>
          </w:tcPr>
          <w:p>
            <w:pPr>
              <w:pStyle w:val="TableContents"/>
              <w:bidi w:val="0"/>
              <w:spacing w:before="0" w:after="283"/>
              <w:jc w:val="right"/>
              <w:rPr/>
            </w:pPr>
            <w:r>
              <w:rPr/>
              <w:t> </w:t>
            </w:r>
          </w:p>
        </w:tc>
        <w:tc>
          <w:tcPr>
            <w:tcW w:w="413" w:type="dxa"/>
            <w:tcBorders/>
            <w:shd w:fill="CFF0FC" w:val="clear"/>
            <w:vAlign w:val="center"/>
          </w:tcPr>
          <w:p>
            <w:pPr>
              <w:pStyle w:val="TableContents"/>
              <w:bidi w:val="0"/>
              <w:spacing w:before="0" w:after="283"/>
              <w:ind w:left="0" w:right="0" w:firstLine="200"/>
              <w:jc w:val="right"/>
              <w:rPr/>
            </w:pPr>
            <w:r>
              <w:rPr/>
              <w:t> </w:t>
            </w:r>
          </w:p>
        </w:tc>
      </w:tr>
      <w:tr>
        <w:trPr/>
        <w:tc>
          <w:tcPr>
            <w:tcW w:w="742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Preferred stock, $0.01</w:t>
            </w:r>
            <w:r>
              <w:rPr>
                <w:rFonts w:ascii="Times New Roman" w:hAnsi="Times New Roman"/>
                <w:color w:val="000000"/>
                <w:sz w:val="20"/>
              </w:rPr>
              <w:t> </w:t>
            </w:r>
            <w:r>
              <w:rPr>
                <w:rFonts w:ascii="Times New Roman" w:hAnsi="Times New Roman"/>
                <w:b w:val="false"/>
                <w:color w:val="000000"/>
                <w:sz w:val="16"/>
              </w:rPr>
              <w:t>par value per share, 5.0</w:t>
            </w:r>
            <w:r>
              <w:rPr>
                <w:rFonts w:ascii="Times New Roman" w:hAnsi="Times New Roman"/>
                <w:color w:val="000000"/>
                <w:sz w:val="20"/>
              </w:rPr>
              <w:t> </w:t>
            </w:r>
            <w:r>
              <w:rPr>
                <w:rFonts w:ascii="Times New Roman" w:hAnsi="Times New Roman"/>
                <w:b w:val="false"/>
                <w:color w:val="000000"/>
                <w:sz w:val="16"/>
              </w:rPr>
              <w:t>million shares authorized; no</w:t>
            </w:r>
            <w:r>
              <w:rPr>
                <w:rFonts w:ascii="Times New Roman" w:hAnsi="Times New Roman"/>
                <w:color w:val="000000"/>
                <w:sz w:val="20"/>
              </w:rPr>
              <w:t> </w:t>
            </w:r>
            <w:r>
              <w:rPr>
                <w:rFonts w:ascii="Times New Roman" w:hAnsi="Times New Roman"/>
                <w:b w:val="false"/>
                <w:color w:val="000000"/>
                <w:sz w:val="16"/>
              </w:rPr>
              <w:t>shares issued</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color w:val="000000"/>
              </w:rPr>
            </w:pPr>
            <w:r>
              <w:rPr>
                <w:color w:val="000000"/>
              </w:rPr>
              <w:t>—</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422"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Class A non-voting common stock, $0.01</w:t>
            </w:r>
            <w:r>
              <w:rPr>
                <w:rFonts w:ascii="Times New Roman" w:hAnsi="Times New Roman"/>
                <w:color w:val="000000"/>
                <w:sz w:val="20"/>
              </w:rPr>
              <w:t> </w:t>
            </w:r>
            <w:r>
              <w:rPr>
                <w:rFonts w:ascii="Times New Roman" w:hAnsi="Times New Roman"/>
                <w:b w:val="false"/>
                <w:color w:val="000000"/>
                <w:sz w:val="16"/>
              </w:rPr>
              <w:t>par value per share, 5.0</w:t>
            </w:r>
            <w:r>
              <w:rPr>
                <w:rFonts w:ascii="Times New Roman" w:hAnsi="Times New Roman"/>
                <w:color w:val="000000"/>
                <w:sz w:val="20"/>
              </w:rPr>
              <w:t> </w:t>
            </w:r>
            <w:r>
              <w:rPr>
                <w:rFonts w:ascii="Times New Roman" w:hAnsi="Times New Roman"/>
                <w:b w:val="false"/>
                <w:color w:val="000000"/>
                <w:sz w:val="16"/>
              </w:rPr>
              <w:t>million shares authorized;</w:t>
              <w:br/>
              <w:t>   no</w:t>
            </w:r>
            <w:r>
              <w:rPr>
                <w:rFonts w:ascii="Times New Roman" w:hAnsi="Times New Roman"/>
                <w:color w:val="000000"/>
                <w:sz w:val="20"/>
              </w:rPr>
              <w:t> </w:t>
            </w:r>
            <w:r>
              <w:rPr>
                <w:rFonts w:ascii="Times New Roman" w:hAnsi="Times New Roman"/>
                <w:b w:val="false"/>
                <w:color w:val="000000"/>
                <w:sz w:val="16"/>
              </w:rPr>
              <w:t>shares issued</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color w:val="000000"/>
              </w:rPr>
            </w:pPr>
            <w:r>
              <w:rPr>
                <w:color w:val="000000"/>
              </w:rPr>
              <w:t>—</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42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Common stock, $0.01</w:t>
            </w:r>
            <w:r>
              <w:rPr>
                <w:rFonts w:ascii="Times New Roman" w:hAnsi="Times New Roman"/>
                <w:color w:val="000000"/>
                <w:sz w:val="20"/>
              </w:rPr>
              <w:t> </w:t>
            </w:r>
            <w:r>
              <w:rPr>
                <w:rFonts w:ascii="Times New Roman" w:hAnsi="Times New Roman"/>
                <w:b w:val="false"/>
                <w:color w:val="000000"/>
                <w:sz w:val="16"/>
              </w:rPr>
              <w:t>par value per share, 400.0</w:t>
            </w:r>
            <w:r>
              <w:rPr>
                <w:rFonts w:ascii="Times New Roman" w:hAnsi="Times New Roman"/>
                <w:color w:val="000000"/>
                <w:sz w:val="20"/>
              </w:rPr>
              <w:t> </w:t>
            </w:r>
            <w:r>
              <w:rPr>
                <w:rFonts w:ascii="Times New Roman" w:hAnsi="Times New Roman"/>
                <w:b w:val="false"/>
                <w:color w:val="000000"/>
                <w:sz w:val="16"/>
              </w:rPr>
              <w:t>million shares authorized; 274.4</w:t>
            </w:r>
            <w:r>
              <w:rPr>
                <w:rFonts w:ascii="Times New Roman" w:hAnsi="Times New Roman"/>
                <w:color w:val="000000"/>
                <w:sz w:val="20"/>
              </w:rPr>
              <w:t> </w:t>
            </w:r>
            <w:r>
              <w:rPr>
                <w:rFonts w:ascii="Times New Roman" w:hAnsi="Times New Roman"/>
                <w:b w:val="false"/>
                <w:color w:val="000000"/>
                <w:sz w:val="16"/>
              </w:rPr>
              <w:t>million shares and 271.9</w:t>
            </w:r>
            <w:r>
              <w:rPr>
                <w:rFonts w:ascii="Times New Roman" w:hAnsi="Times New Roman"/>
                <w:color w:val="000000"/>
                <w:sz w:val="20"/>
              </w:rPr>
              <w:t> </w:t>
            </w:r>
            <w:r>
              <w:rPr>
                <w:rFonts w:ascii="Times New Roman" w:hAnsi="Times New Roman"/>
                <w:b w:val="false"/>
                <w:color w:val="000000"/>
                <w:sz w:val="16"/>
              </w:rPr>
              <w:t>million shares issued, respectively, and 247.5</w:t>
            </w:r>
            <w:r>
              <w:rPr>
                <w:rFonts w:ascii="Times New Roman" w:hAnsi="Times New Roman"/>
                <w:color w:val="000000"/>
                <w:sz w:val="20"/>
              </w:rPr>
              <w:t> </w:t>
            </w:r>
            <w:r>
              <w:rPr>
                <w:rFonts w:ascii="Times New Roman" w:hAnsi="Times New Roman"/>
                <w:b w:val="false"/>
                <w:color w:val="000000"/>
                <w:sz w:val="16"/>
              </w:rPr>
              <w:t>million shares and 251.0</w:t>
            </w:r>
            <w:r>
              <w:rPr>
                <w:rFonts w:ascii="Times New Roman" w:hAnsi="Times New Roman"/>
                <w:color w:val="000000"/>
                <w:sz w:val="20"/>
              </w:rPr>
              <w:t> </w:t>
            </w:r>
            <w:r>
              <w:rPr>
                <w:rFonts w:ascii="Times New Roman" w:hAnsi="Times New Roman"/>
                <w:b w:val="false"/>
                <w:color w:val="000000"/>
                <w:sz w:val="16"/>
              </w:rPr>
              <w:t>million shares outstanding, respectively</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74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Additional paid-in capital</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5,308.7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5,111.6</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42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(554.9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45" w:type="dxa"/>
            <w:tcBorders/>
            <w:shd w:fill="FFFFFF"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(550.1</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74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Retained earnings</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2,991.9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2,740.1</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7422"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16"/>
              </w:rPr>
              <w:t>Cost of common stock in treasury, 26.9</w:t>
            </w:r>
            <w:r>
              <w:rPr>
                <w:rFonts w:ascii="Times New Roman" w:hAnsi="Times New Roman"/>
                <w:color w:val="000000"/>
                <w:sz w:val="20"/>
              </w:rPr>
              <w:t> </w:t>
            </w:r>
            <w:r>
              <w:rPr>
                <w:rFonts w:ascii="Times New Roman" w:hAnsi="Times New Roman"/>
                <w:b w:val="false"/>
                <w:color w:val="000000"/>
                <w:sz w:val="16"/>
              </w:rPr>
              <w:t>and 20.9</w:t>
            </w:r>
            <w:r>
              <w:rPr>
                <w:rFonts w:ascii="Times New Roman" w:hAnsi="Times New Roman"/>
                <w:color w:val="000000"/>
                <w:sz w:val="20"/>
              </w:rPr>
              <w:t> </w:t>
            </w:r>
            <w:r>
              <w:rPr>
                <w:rFonts w:ascii="Times New Roman" w:hAnsi="Times New Roman"/>
                <w:b w:val="false"/>
                <w:color w:val="000000"/>
                <w:sz w:val="16"/>
              </w:rPr>
              <w:t>million shares, respectively</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(1,604.5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(1,260.1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6"/>
              </w:rPr>
            </w:pPr>
            <w:r>
              <w:rPr>
                <w:rFonts w:ascii="Times New Roman" w:hAnsi="Times New Roman"/>
                <w:b w:val="false"/>
                <w:color w:val="000000"/>
                <w:sz w:val="16"/>
              </w:rPr>
              <w:t>)</w:t>
            </w:r>
          </w:p>
        </w:tc>
      </w:tr>
      <w:tr>
        <w:trPr/>
        <w:tc>
          <w:tcPr>
            <w:tcW w:w="742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Total SS&amp;C stockholders’ equity</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6,143.9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74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6,044.2</w:t>
            </w:r>
          </w:p>
        </w:tc>
        <w:tc>
          <w:tcPr>
            <w:tcW w:w="413" w:type="dxa"/>
            <w:tcBorders/>
            <w:shd w:fill="CFF0FC" w:val="cle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Noncontrolling interest (Note 9)</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56.6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equity</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6,201.5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6,100.8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22"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Total liabilities, redeemable noncontrolling interest and equity</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16,180.0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7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16,653.3</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5" w:name="condensed_consolidated_statements_compre"/>
      <w:bookmarkEnd w:id="5"/>
      <w:r>
        <w:rPr>
          <w:rFonts w:ascii="Times New Roman" w:hAnsi="Times New Roman"/>
          <w:b/>
          <w:color w:val="000000"/>
          <w:sz w:val="20"/>
        </w:rPr>
        <w:t>CONDENSED CONSOLIDATED STATEMENTS OF COMPREHENSIVE INCOME (LOSS)</w:t>
      </w:r>
    </w:p>
    <w:p>
      <w:pPr>
        <w:pStyle w:val="TextBody"/>
        <w:bidi w:val="0"/>
        <w:jc w:val="left"/>
        <w:rPr>
          <w:rFonts w:ascii="Times New Roman" w:hAnsi="Times New Roman"/>
          <w:b/>
          <w:color w:val="000000"/>
          <w:sz w:val="16"/>
        </w:rPr>
      </w:pPr>
      <w:r>
        <w:rPr>
          <w:rFonts w:ascii="Times New Roman" w:hAnsi="Times New Roman"/>
          <w:b/>
          <w:color w:val="000000"/>
          <w:sz w:val="16"/>
        </w:rPr>
        <w:t>(In millions, except per share data)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401"/>
        <w:gridCol w:w="146"/>
        <w:gridCol w:w="234"/>
        <w:gridCol w:w="775"/>
        <w:gridCol w:w="198"/>
        <w:gridCol w:w="174"/>
        <w:gridCol w:w="234"/>
        <w:gridCol w:w="775"/>
        <w:gridCol w:w="166"/>
        <w:gridCol w:w="146"/>
        <w:gridCol w:w="229"/>
        <w:gridCol w:w="758"/>
        <w:gridCol w:w="194"/>
        <w:gridCol w:w="170"/>
        <w:gridCol w:w="229"/>
        <w:gridCol w:w="758"/>
        <w:gridCol w:w="618"/>
      </w:tblGrid>
      <w:tr>
        <w:trPr/>
        <w:tc>
          <w:tcPr>
            <w:tcW w:w="4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0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618" w:type="dxa"/>
            <w:tcBorders/>
            <w:shd w:fill="FFFFFF" w:val="clear"/>
            <w:vAlign w:val="center"/>
          </w:tcPr>
          <w:p>
            <w:pPr>
              <w:pStyle w:val="TableContents"/>
              <w:bidi w:val="0"/>
              <w:spacing w:before="0" w:after="283"/>
              <w:ind w:left="0" w:right="0" w:firstLine="200"/>
              <w:jc w:val="right"/>
              <w:rPr/>
            </w:pPr>
            <w:r>
              <w:rPr/>
              <w:t> </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Software-enabled services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1,122.1</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3,342.8</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3,205.7</w:t>
            </w:r>
          </w:p>
        </w:tc>
        <w:tc>
          <w:tcPr>
            <w:tcW w:w="618" w:type="dxa"/>
            <w:tcBorders/>
            <w:shd w:fill="CFF0FC" w:val="clear"/>
            <w:vAlign w:val="center"/>
          </w:tcPr>
          <w:p>
            <w:pPr>
              <w:pStyle w:val="TableContents"/>
              <w:bidi w:val="0"/>
              <w:spacing w:before="0" w:after="283"/>
              <w:ind w:left="0" w:right="0" w:firstLine="200"/>
              <w:jc w:val="left"/>
              <w:rPr/>
            </w:pPr>
            <w:r>
              <w:rPr/>
              <w:t> </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License, maintenance and related</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243.8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748.4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739.0</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0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Total revenues</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1,365.9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4,091.2</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3,944.7</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 of revenues:</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618" w:type="dxa"/>
            <w:tcBorders/>
            <w:shd w:fill="FFFFFF" w:val="clear"/>
            <w:vAlign w:val="center"/>
          </w:tcPr>
          <w:p>
            <w:pPr>
              <w:pStyle w:val="TableContents"/>
              <w:bidi w:val="0"/>
              <w:spacing w:before="0" w:after="283"/>
              <w:ind w:left="0" w:right="0" w:firstLine="200"/>
              <w:jc w:val="right"/>
              <w:rPr/>
            </w:pPr>
            <w:r>
              <w:rPr/>
              <w:t> </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Software-enabled services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617.8</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1,877.4</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1,811.6</w:t>
            </w:r>
          </w:p>
        </w:tc>
        <w:tc>
          <w:tcPr>
            <w:tcW w:w="618" w:type="dxa"/>
            <w:tcBorders/>
            <w:shd w:fill="CFF0FC" w:val="clear"/>
            <w:vAlign w:val="center"/>
          </w:tcPr>
          <w:p>
            <w:pPr>
              <w:pStyle w:val="TableContents"/>
              <w:bidi w:val="0"/>
              <w:spacing w:before="0" w:after="283"/>
              <w:ind w:left="0" w:right="0" w:firstLine="200"/>
              <w:jc w:val="left"/>
              <w:rPr/>
            </w:pPr>
            <w:r>
              <w:rPr/>
              <w:t> </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License, maintenance and related</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93.7</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281.3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265.2</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0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Total cost of revenues</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711.5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2,158.7</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2,076.8</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Gross profit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654.4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1,932.5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1,867.9</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618" w:type="dxa"/>
            <w:tcBorders/>
            <w:shd w:fill="CFF0FC" w:val="clear"/>
            <w:vAlign w:val="center"/>
          </w:tcPr>
          <w:p>
            <w:pPr>
              <w:pStyle w:val="TableContents"/>
              <w:bidi w:val="0"/>
              <w:spacing w:before="0" w:after="283"/>
              <w:ind w:left="0" w:right="0" w:firstLine="200"/>
              <w:jc w:val="right"/>
              <w:rPr/>
            </w:pPr>
            <w:r>
              <w:rPr/>
              <w:t> </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Selling and marketing</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134.7</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411.6</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371.1</w:t>
            </w:r>
          </w:p>
        </w:tc>
        <w:tc>
          <w:tcPr>
            <w:tcW w:w="618" w:type="dxa"/>
            <w:tcBorders/>
            <w:shd w:fill="FFFFFF" w:val="clear"/>
            <w:vAlign w:val="center"/>
          </w:tcPr>
          <w:p>
            <w:pPr>
              <w:pStyle w:val="TableContents"/>
              <w:bidi w:val="0"/>
              <w:spacing w:before="0" w:after="283"/>
              <w:ind w:left="0" w:right="0" w:firstLine="200"/>
              <w:jc w:val="left"/>
              <w:rPr/>
            </w:pPr>
            <w:r>
              <w:rPr/>
              <w:t> </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Research and development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117.7</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355.5</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331.8</w:t>
            </w:r>
          </w:p>
        </w:tc>
        <w:tc>
          <w:tcPr>
            <w:tcW w:w="618" w:type="dxa"/>
            <w:tcBorders/>
            <w:shd w:fill="CFF0FC" w:val="clear"/>
            <w:vAlign w:val="center"/>
          </w:tcPr>
          <w:p>
            <w:pPr>
              <w:pStyle w:val="TableContents"/>
              <w:bidi w:val="0"/>
              <w:spacing w:before="0" w:after="283"/>
              <w:ind w:left="0" w:right="0" w:firstLine="200"/>
              <w:jc w:val="left"/>
              <w:rPr/>
            </w:pPr>
            <w:r>
              <w:rPr/>
              <w:t> </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General and administrative</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290.7</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323.4</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0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348.0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1,057.8</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1,026.3</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income</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306.4</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874.7</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841.6</w:t>
            </w:r>
          </w:p>
        </w:tc>
        <w:tc>
          <w:tcPr>
            <w:tcW w:w="618" w:type="dxa"/>
            <w:tcBorders/>
            <w:shd w:fill="FFFFFF" w:val="clear"/>
            <w:vAlign w:val="center"/>
          </w:tcPr>
          <w:p>
            <w:pPr>
              <w:pStyle w:val="TableContents"/>
              <w:bidi w:val="0"/>
              <w:spacing w:before="0" w:after="283"/>
              <w:ind w:left="0" w:right="0" w:firstLine="200"/>
              <w:jc w:val="left"/>
              <w:rPr/>
            </w:pPr>
            <w:r>
              <w:rPr/>
              <w:t> </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Interest expense, net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(120.6</w:t>
            </w:r>
          </w:p>
        </w:tc>
        <w:tc>
          <w:tcPr>
            <w:tcW w:w="19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(86.0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(350.5</w:t>
            </w:r>
          </w:p>
        </w:tc>
        <w:tc>
          <w:tcPr>
            <w:tcW w:w="19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(203.0</w:t>
            </w:r>
          </w:p>
        </w:tc>
        <w:tc>
          <w:tcPr>
            <w:tcW w:w="61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Other (expense) income, net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(28.3</w:t>
            </w:r>
          </w:p>
        </w:tc>
        <w:tc>
          <w:tcPr>
            <w:tcW w:w="618"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44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Equity in earnings of unconsolidated affiliates, net</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27.5</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42.6</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61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Loss on extinguishment of debt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4"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0"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44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Income before income taxes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207.8</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581.0</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603.5</w:t>
            </w:r>
          </w:p>
        </w:tc>
        <w:tc>
          <w:tcPr>
            <w:tcW w:w="618" w:type="dxa"/>
            <w:tcBorders/>
            <w:shd w:fill="CFF0FC" w:val="clear"/>
            <w:vAlign w:val="center"/>
          </w:tcPr>
          <w:p>
            <w:pPr>
              <w:pStyle w:val="TableContents"/>
              <w:bidi w:val="0"/>
              <w:spacing w:before="0" w:after="283"/>
              <w:ind w:left="0" w:right="0" w:firstLine="200"/>
              <w:jc w:val="left"/>
              <w:rPr/>
            </w:pPr>
            <w:r>
              <w:rPr/>
              <w:t> </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Provision for income taxes</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167.3</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162.1</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156.6</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413.7</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441.4</w:t>
            </w:r>
          </w:p>
        </w:tc>
        <w:tc>
          <w:tcPr>
            <w:tcW w:w="618" w:type="dxa"/>
            <w:tcBorders/>
            <w:shd w:fill="CFF0FC" w:val="clear"/>
            <w:vAlign w:val="center"/>
          </w:tcPr>
          <w:p>
            <w:pPr>
              <w:pStyle w:val="TableContents"/>
              <w:bidi w:val="0"/>
              <w:spacing w:before="0" w:after="283"/>
              <w:ind w:left="0" w:right="0" w:firstLine="200"/>
              <w:jc w:val="left"/>
              <w:rPr/>
            </w:pPr>
            <w:r>
              <w:rPr/>
              <w:t> </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(income)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4"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0"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income attributable to SS&amp;C common stockholders</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156.0</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412.7</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442.7</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618" w:type="dxa"/>
            <w:tcBorders/>
            <w:shd w:fill="FFFFFF" w:val="clear"/>
            <w:vAlign w:val="center"/>
          </w:tcPr>
          <w:p>
            <w:pPr>
              <w:pStyle w:val="TableContents"/>
              <w:bidi w:val="0"/>
              <w:spacing w:before="0" w:after="283"/>
              <w:jc w:val="right"/>
              <w:rPr/>
            </w:pPr>
            <w:r>
              <w:rPr/>
              <w:t> </w:t>
            </w:r>
          </w:p>
        </w:tc>
      </w:tr>
      <w:tr>
        <w:trPr/>
        <w:tc>
          <w:tcPr>
            <w:tcW w:w="44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Basic earnings per share attributable to SS&amp;C common stockholders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0.63</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1.66</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1.74</w:t>
            </w:r>
          </w:p>
        </w:tc>
        <w:tc>
          <w:tcPr>
            <w:tcW w:w="618" w:type="dxa"/>
            <w:tcBorders/>
            <w:shd w:fill="CFF0FC" w:val="cle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Diluted earnings per share attributable to SS&amp;C common stockholders</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0.61</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5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1.62</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5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1.68</w:t>
            </w:r>
          </w:p>
        </w:tc>
        <w:tc>
          <w:tcPr>
            <w:tcW w:w="618" w:type="dxa"/>
            <w:tcBorders/>
            <w:shd w:fill="FFFFFF" w:val="clear"/>
            <w:vAlign w:val="center"/>
          </w:tcPr>
          <w:p>
            <w:pPr>
              <w:pStyle w:val="TableContents"/>
              <w:bidi w:val="0"/>
              <w:spacing w:before="0" w:after="283"/>
              <w:jc w:val="left"/>
              <w:rPr/>
            </w:pPr>
            <w:r>
              <w:rPr/>
              <w:t> </w:t>
            </w:r>
          </w:p>
        </w:tc>
      </w:tr>
      <w:tr>
        <w:trPr/>
        <w:tc>
          <w:tcPr>
            <w:tcW w:w="440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c>
          <w:tcPr>
            <w:tcW w:w="174" w:type="dxa"/>
            <w:tcBorders/>
            <w:shd w:fill="CFF0FC" w:val="clear"/>
            <w:vAlign w:val="center"/>
          </w:tcPr>
          <w:p>
            <w:pPr>
              <w:pStyle w:val="TableContents"/>
              <w:bidi w:val="0"/>
              <w:spacing w:before="0" w:after="283"/>
              <w:jc w:val="left"/>
              <w:rPr/>
            </w:pPr>
            <w:r>
              <w:rPr/>
              <w:t> </w:t>
            </w:r>
          </w:p>
        </w:tc>
        <w:tc>
          <w:tcPr>
            <w:tcW w:w="100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194" w:type="dxa"/>
            <w:tcBorders/>
            <w:shd w:fill="CFF0FC" w:val="clear"/>
            <w:vAlign w:val="center"/>
          </w:tcPr>
          <w:p>
            <w:pPr>
              <w:pStyle w:val="TableContents"/>
              <w:bidi w:val="0"/>
              <w:spacing w:before="0" w:after="283"/>
              <w:jc w:val="right"/>
              <w:rPr/>
            </w:pPr>
            <w:r>
              <w:rPr/>
              <w:t> </w:t>
            </w:r>
          </w:p>
        </w:tc>
        <w:tc>
          <w:tcPr>
            <w:tcW w:w="170" w:type="dxa"/>
            <w:tcBorders/>
            <w:shd w:fill="CFF0FC" w:val="clear"/>
            <w:vAlign w:val="center"/>
          </w:tcPr>
          <w:p>
            <w:pPr>
              <w:pStyle w:val="TableContents"/>
              <w:bidi w:val="0"/>
              <w:spacing w:before="0" w:after="283"/>
              <w:jc w:val="left"/>
              <w:rPr/>
            </w:pPr>
            <w:r>
              <w:rPr/>
              <w:t> </w:t>
            </w:r>
          </w:p>
        </w:tc>
        <w:tc>
          <w:tcPr>
            <w:tcW w:w="987" w:type="dxa"/>
            <w:gridSpan w:val="2"/>
            <w:tcBorders/>
            <w:shd w:fill="CFF0FC" w:val="clear"/>
            <w:vAlign w:val="center"/>
          </w:tcPr>
          <w:p>
            <w:pPr>
              <w:pStyle w:val="TableContents"/>
              <w:bidi w:val="0"/>
              <w:spacing w:before="0" w:after="283"/>
              <w:jc w:val="right"/>
              <w:rPr/>
            </w:pPr>
            <w:r>
              <w:rPr/>
              <w:t> </w:t>
            </w:r>
          </w:p>
        </w:tc>
        <w:tc>
          <w:tcPr>
            <w:tcW w:w="618" w:type="dxa"/>
            <w:tcBorders/>
            <w:shd w:fill="CFF0FC" w:val="clear"/>
            <w:vAlign w:val="center"/>
          </w:tcPr>
          <w:p>
            <w:pPr>
              <w:pStyle w:val="TableContents"/>
              <w:bidi w:val="0"/>
              <w:spacing w:before="0" w:after="283"/>
              <w:jc w:val="right"/>
              <w:rPr/>
            </w:pPr>
            <w:r>
              <w:rPr/>
              <w:t> </w:t>
            </w:r>
          </w:p>
        </w:tc>
      </w:tr>
      <w:tr>
        <w:trPr/>
        <w:tc>
          <w:tcPr>
            <w:tcW w:w="44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Basic weighted-average number of common shares outstanding</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247.5</w:t>
            </w:r>
          </w:p>
        </w:tc>
        <w:tc>
          <w:tcPr>
            <w:tcW w:w="198"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248.8</w:t>
            </w:r>
          </w:p>
        </w:tc>
        <w:tc>
          <w:tcPr>
            <w:tcW w:w="194"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254.8</w:t>
            </w:r>
          </w:p>
        </w:tc>
        <w:tc>
          <w:tcPr>
            <w:tcW w:w="618" w:type="dxa"/>
            <w:tcBorders/>
            <w:shd w:fill="FFFFFF" w:val="clear"/>
            <w:vAlign w:val="center"/>
          </w:tcPr>
          <w:p>
            <w:pPr>
              <w:pStyle w:val="TableContents"/>
              <w:bidi w:val="0"/>
              <w:spacing w:before="0" w:after="283"/>
              <w:jc w:val="left"/>
              <w:rPr/>
            </w:pPr>
            <w:r>
              <w:rPr/>
              <w:t> </w:t>
            </w:r>
          </w:p>
        </w:tc>
      </w:tr>
      <w:tr>
        <w:trPr/>
        <w:tc>
          <w:tcPr>
            <w:tcW w:w="44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Diluted weighted-average number of common and common equivalent shares outstanding</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253.9</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255.3</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263.7</w:t>
            </w:r>
          </w:p>
        </w:tc>
        <w:tc>
          <w:tcPr>
            <w:tcW w:w="618" w:type="dxa"/>
            <w:tcBorders/>
            <w:shd w:fill="CFF0FC" w:val="cle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618" w:type="dxa"/>
            <w:tcBorders/>
            <w:shd w:fill="FFFFFF" w:val="clear"/>
            <w:vAlign w:val="center"/>
          </w:tcPr>
          <w:p>
            <w:pPr>
              <w:pStyle w:val="TableContents"/>
              <w:bidi w:val="0"/>
              <w:spacing w:before="0" w:after="283"/>
              <w:jc w:val="right"/>
              <w:rPr/>
            </w:pPr>
            <w:r>
              <w:rPr/>
              <w:t> </w:t>
            </w:r>
          </w:p>
        </w:tc>
      </w:tr>
      <w:tr>
        <w:trPr/>
        <w:tc>
          <w:tcPr>
            <w:tcW w:w="44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156.6</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413.7</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441.4</w:t>
            </w:r>
          </w:p>
        </w:tc>
        <w:tc>
          <w:tcPr>
            <w:tcW w:w="618" w:type="dxa"/>
            <w:tcBorders/>
            <w:shd w:fill="CFF0FC" w:val="clear"/>
            <w:vAlign w:val="center"/>
          </w:tcPr>
          <w:p>
            <w:pPr>
              <w:pStyle w:val="TableContents"/>
              <w:bidi w:val="0"/>
              <w:spacing w:before="0" w:after="283"/>
              <w:jc w:val="left"/>
              <w:rPr/>
            </w:pPr>
            <w:r>
              <w:rPr/>
              <w:t> </w:t>
            </w:r>
          </w:p>
        </w:tc>
      </w:tr>
      <w:tr>
        <w:trPr/>
        <w:tc>
          <w:tcPr>
            <w:tcW w:w="440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(loss) income, net of tax:</w:t>
            </w:r>
          </w:p>
        </w:tc>
        <w:tc>
          <w:tcPr>
            <w:tcW w:w="146"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c>
          <w:tcPr>
            <w:tcW w:w="174" w:type="dxa"/>
            <w:tcBorders/>
            <w:shd w:fill="FFFFFF" w:val="clear"/>
            <w:vAlign w:val="center"/>
          </w:tcPr>
          <w:p>
            <w:pPr>
              <w:pStyle w:val="TableContents"/>
              <w:bidi w:val="0"/>
              <w:spacing w:before="0" w:after="283"/>
              <w:jc w:val="left"/>
              <w:rPr/>
            </w:pPr>
            <w:r>
              <w:rPr/>
              <w:t> </w:t>
            </w:r>
          </w:p>
        </w:tc>
        <w:tc>
          <w:tcPr>
            <w:tcW w:w="100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right"/>
              <w:rPr/>
            </w:pPr>
            <w:r>
              <w:rPr/>
              <w:t> </w:t>
            </w:r>
          </w:p>
        </w:tc>
        <w:tc>
          <w:tcPr>
            <w:tcW w:w="170" w:type="dxa"/>
            <w:tcBorders/>
            <w:shd w:fill="FFFFFF" w:val="clear"/>
            <w:vAlign w:val="center"/>
          </w:tcPr>
          <w:p>
            <w:pPr>
              <w:pStyle w:val="TableContents"/>
              <w:bidi w:val="0"/>
              <w:spacing w:before="0" w:after="283"/>
              <w:jc w:val="right"/>
              <w:rPr/>
            </w:pPr>
            <w:r>
              <w:rPr/>
              <w:t> </w:t>
            </w:r>
          </w:p>
        </w:tc>
        <w:tc>
          <w:tcPr>
            <w:tcW w:w="987" w:type="dxa"/>
            <w:gridSpan w:val="2"/>
            <w:tcBorders/>
            <w:shd w:fill="FFFFFF" w:val="clear"/>
            <w:vAlign w:val="center"/>
          </w:tcPr>
          <w:p>
            <w:pPr>
              <w:pStyle w:val="TableContents"/>
              <w:bidi w:val="0"/>
              <w:spacing w:before="0" w:after="283"/>
              <w:jc w:val="right"/>
              <w:rPr/>
            </w:pPr>
            <w:r>
              <w:rPr/>
              <w:t> </w:t>
            </w:r>
          </w:p>
        </w:tc>
        <w:tc>
          <w:tcPr>
            <w:tcW w:w="618" w:type="dxa"/>
            <w:tcBorders/>
            <w:shd w:fill="FFFFFF" w:val="clear"/>
            <w:vAlign w:val="center"/>
          </w:tcPr>
          <w:p>
            <w:pPr>
              <w:pStyle w:val="TableContents"/>
              <w:bidi w:val="0"/>
              <w:spacing w:before="0" w:after="283"/>
              <w:ind w:left="0" w:right="0" w:firstLine="400"/>
              <w:jc w:val="right"/>
              <w:rPr/>
            </w:pPr>
            <w:r>
              <w:rPr/>
              <w:t> </w:t>
            </w:r>
          </w:p>
        </w:tc>
      </w:tr>
      <w:tr>
        <w:trPr/>
        <w:tc>
          <w:tcPr>
            <w:tcW w:w="440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Change in unrealized gain on interest rate swaps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color w:val="000000"/>
              </w:rPr>
            </w:pPr>
            <w:r>
              <w:rPr>
                <w:color w:val="000000"/>
              </w:rPr>
              <w:t>—</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618" w:type="dxa"/>
            <w:tcBorders/>
            <w:shd w:fill="CFF0FC" w:val="clear"/>
            <w:vAlign w:val="center"/>
          </w:tcPr>
          <w:p>
            <w:pPr>
              <w:pStyle w:val="TableContents"/>
              <w:bidi w:val="0"/>
              <w:spacing w:before="0" w:after="283"/>
              <w:ind w:left="0" w:right="0" w:firstLine="400"/>
              <w:jc w:val="left"/>
              <w:rPr/>
            </w:pPr>
            <w:r>
              <w:rPr/>
              <w:t> </w:t>
            </w:r>
          </w:p>
        </w:tc>
      </w:tr>
      <w:tr>
        <w:trPr/>
        <w:tc>
          <w:tcPr>
            <w:tcW w:w="440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Foreign currency exchange translation adjustment</w:t>
            </w:r>
          </w:p>
        </w:tc>
        <w:tc>
          <w:tcPr>
            <w:tcW w:w="146"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(113.0</w:t>
            </w:r>
          </w:p>
        </w:tc>
        <w:tc>
          <w:tcPr>
            <w:tcW w:w="198"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7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(248.6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19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(512.0</w:t>
            </w:r>
          </w:p>
        </w:tc>
        <w:tc>
          <w:tcPr>
            <w:tcW w:w="618"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440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Change in defined benefit pension obligation</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440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other comprehensive loss, net of tax</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4"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0"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(508.3</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44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Comprehensive income (loss)</w:t>
            </w:r>
          </w:p>
        </w:tc>
        <w:tc>
          <w:tcPr>
            <w:tcW w:w="146"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43.6</w:t>
            </w:r>
          </w:p>
        </w:tc>
        <w:tc>
          <w:tcPr>
            <w:tcW w:w="198"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7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(85.5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408.9</w:t>
            </w:r>
          </w:p>
        </w:tc>
        <w:tc>
          <w:tcPr>
            <w:tcW w:w="194"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pPr>
            <w:r>
              <w:rPr/>
              <w:t> </w:t>
            </w:r>
          </w:p>
        </w:tc>
        <w:tc>
          <w:tcPr>
            <w:tcW w:w="75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(66.9</w:t>
            </w:r>
          </w:p>
        </w:tc>
        <w:tc>
          <w:tcPr>
            <w:tcW w:w="618"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44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Comprehensive (income) loss attributable to noncontrolling interest</w:t>
            </w:r>
          </w:p>
        </w:tc>
        <w:tc>
          <w:tcPr>
            <w:tcW w:w="146"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4" w:type="dxa"/>
            <w:tcBorders/>
            <w:shd w:fill="FFFFFF" w:val="cle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0"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0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Comprehensive income (loss) attributable to SS&amp;C common stockholders</w:t>
            </w:r>
          </w:p>
        </w:tc>
        <w:tc>
          <w:tcPr>
            <w:tcW w:w="146"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43.0</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407.9</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(65.6</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18"/>
        <w:gridCol w:w="146"/>
        <w:gridCol w:w="240"/>
        <w:gridCol w:w="795"/>
        <w:gridCol w:w="203"/>
        <w:gridCol w:w="179"/>
        <w:gridCol w:w="240"/>
        <w:gridCol w:w="869"/>
        <w:gridCol w:w="815"/>
      </w:tblGrid>
      <w:tr>
        <w:trPr/>
        <w:tc>
          <w:tcPr>
            <w:tcW w:w="6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8"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ind w:left="0" w:right="0" w:firstLine="200"/>
              <w:jc w:val="right"/>
              <w:rPr/>
            </w:pPr>
            <w:r>
              <w:rPr/>
              <w:t> </w:t>
            </w:r>
          </w:p>
        </w:tc>
      </w:tr>
      <w:tr>
        <w:trPr/>
        <w:tc>
          <w:tcPr>
            <w:tcW w:w="671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413.7</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441.4</w:t>
            </w:r>
          </w:p>
        </w:tc>
        <w:tc>
          <w:tcPr>
            <w:tcW w:w="815" w:type="dxa"/>
            <w:tcBorders/>
            <w:shd w:fill="CFF0FC" w:val="clear"/>
            <w:vAlign w:val="center"/>
          </w:tcPr>
          <w:p>
            <w:pPr>
              <w:pStyle w:val="TableContents"/>
              <w:bidi w:val="0"/>
              <w:spacing w:before="0" w:after="283"/>
              <w:ind w:left="0" w:right="0" w:firstLine="200"/>
              <w:jc w:val="left"/>
              <w:rPr/>
            </w:pPr>
            <w:r>
              <w:rPr/>
              <w:t> </w:t>
            </w:r>
          </w:p>
        </w:tc>
      </w:tr>
      <w:tr>
        <w:trPr/>
        <w:tc>
          <w:tcPr>
            <w:tcW w:w="671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Adjustments to reconcile net income to net cash provided by operating activities:</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ind w:left="0" w:right="0" w:firstLine="400"/>
              <w:jc w:val="right"/>
              <w:rPr/>
            </w:pPr>
            <w:r>
              <w:rPr/>
              <w:t> </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500.4</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494.2</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Equity in earnings of unconsolidated affiliates, net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(42.6</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815" w:type="dxa"/>
            <w:tcBorders/>
            <w:shd w:fill="FFFFFF" w:val="clear"/>
            <w:vAlign w:val="center"/>
          </w:tcPr>
          <w:p>
            <w:pPr>
              <w:pStyle w:val="TableContents"/>
              <w:bidi w:val="0"/>
              <w:spacing w:before="0" w:after="283"/>
              <w:ind w:left="0" w:right="0" w:firstLine="400"/>
              <w:jc w:val="left"/>
              <w:rPr/>
            </w:pPr>
            <w:r>
              <w:rPr/>
              <w:t> </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Distributions received from unconsolidated affiliates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117.5</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93.3</w:t>
            </w:r>
          </w:p>
        </w:tc>
        <w:tc>
          <w:tcPr>
            <w:tcW w:w="815" w:type="dxa"/>
            <w:tcBorders/>
            <w:shd w:fill="FFFFFF" w:val="clear"/>
            <w:vAlign w:val="center"/>
          </w:tcPr>
          <w:p>
            <w:pPr>
              <w:pStyle w:val="TableContents"/>
              <w:bidi w:val="0"/>
              <w:spacing w:before="0" w:after="283"/>
              <w:ind w:left="0" w:right="0" w:firstLine="400"/>
              <w:jc w:val="left"/>
              <w:rPr/>
            </w:pPr>
            <w:r>
              <w:rPr/>
              <w:t> </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Net losses on investments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0.9</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14.7</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Amortization and write-offs of loan origination costs and original issue discounts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w:t>
            </w:r>
          </w:p>
        </w:tc>
        <w:tc>
          <w:tcPr>
            <w:tcW w:w="815" w:type="dxa"/>
            <w:tcBorders/>
            <w:shd w:fill="FFFFFF" w:val="clear"/>
            <w:vAlign w:val="center"/>
          </w:tcPr>
          <w:p>
            <w:pPr>
              <w:pStyle w:val="TableContents"/>
              <w:bidi w:val="0"/>
              <w:spacing w:before="0" w:after="283"/>
              <w:ind w:left="0" w:right="0" w:firstLine="400"/>
              <w:jc w:val="left"/>
              <w:rPr/>
            </w:pPr>
            <w:r>
              <w:rPr/>
              <w:t> </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Loss on extinguishment of debt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Loss on sale or disposition of property and equipment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815" w:type="dxa"/>
            <w:tcBorders/>
            <w:shd w:fill="FFFFFF" w:val="clear"/>
            <w:vAlign w:val="center"/>
          </w:tcPr>
          <w:p>
            <w:pPr>
              <w:pStyle w:val="TableContents"/>
              <w:bidi w:val="0"/>
              <w:spacing w:before="0" w:after="283"/>
              <w:ind w:left="0" w:right="0" w:firstLine="400"/>
              <w:jc w:val="left"/>
              <w:rPr/>
            </w:pPr>
            <w:r>
              <w:rPr/>
              <w:t> </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Deferred income taxes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(89.1</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(78.6</w:t>
            </w:r>
          </w:p>
        </w:tc>
        <w:tc>
          <w:tcPr>
            <w:tcW w:w="8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Provision for credit losses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9.8</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9.1</w:t>
            </w:r>
          </w:p>
        </w:tc>
        <w:tc>
          <w:tcPr>
            <w:tcW w:w="815" w:type="dxa"/>
            <w:tcBorders/>
            <w:shd w:fill="FFFFFF" w:val="clear"/>
            <w:vAlign w:val="center"/>
          </w:tcPr>
          <w:p>
            <w:pPr>
              <w:pStyle w:val="TableContents"/>
              <w:bidi w:val="0"/>
              <w:spacing w:before="0" w:after="283"/>
              <w:ind w:left="0" w:right="0" w:firstLine="200"/>
              <w:jc w:val="left"/>
              <w:rPr/>
            </w:pPr>
            <w:r>
              <w:rPr/>
              <w:t> </w:t>
            </w:r>
          </w:p>
        </w:tc>
      </w:tr>
      <w:tr>
        <w:trPr/>
        <w:tc>
          <w:tcPr>
            <w:tcW w:w="671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Changes in operating assets and liabilities, excluding effects from acquisitions:</w:t>
            </w:r>
          </w:p>
        </w:tc>
        <w:tc>
          <w:tcPr>
            <w:tcW w:w="146" w:type="dxa"/>
            <w:tcBorders/>
            <w:shd w:fill="CFF0FC" w:val="clear"/>
            <w:vAlign w:val="center"/>
          </w:tcPr>
          <w:p>
            <w:pPr>
              <w:pStyle w:val="TableContents"/>
              <w:bidi w:val="0"/>
              <w:spacing w:before="0" w:after="283"/>
              <w:jc w:val="lef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203"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1109" w:type="dxa"/>
            <w:gridSpan w:val="2"/>
            <w:tcBorders/>
            <w:shd w:fill="CFF0FC" w:val="clear"/>
            <w:vAlign w:val="center"/>
          </w:tcPr>
          <w:p>
            <w:pPr>
              <w:pStyle w:val="TableContents"/>
              <w:bidi w:val="0"/>
              <w:spacing w:before="0" w:after="283"/>
              <w:jc w:val="right"/>
              <w:rPr/>
            </w:pPr>
            <w:r>
              <w:rPr/>
              <w:t> </w:t>
            </w:r>
          </w:p>
        </w:tc>
        <w:tc>
          <w:tcPr>
            <w:tcW w:w="815" w:type="dxa"/>
            <w:tcBorders/>
            <w:shd w:fill="CFF0FC" w:val="clear"/>
            <w:vAlign w:val="center"/>
          </w:tcPr>
          <w:p>
            <w:pPr>
              <w:pStyle w:val="TableContents"/>
              <w:bidi w:val="0"/>
              <w:spacing w:before="0" w:after="283"/>
              <w:ind w:left="0" w:right="0" w:firstLine="400"/>
              <w:jc w:val="right"/>
              <w:rPr/>
            </w:pPr>
            <w:r>
              <w:rPr/>
              <w:t> </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Accounts receivable</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(69.0</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(30.3</w:t>
            </w:r>
          </w:p>
        </w:tc>
        <w:tc>
          <w:tcPr>
            <w:tcW w:w="8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Prepaid expenses and other assets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27.6</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54.8</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Contract assets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0.5</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(41.6</w:t>
            </w:r>
          </w:p>
        </w:tc>
        <w:tc>
          <w:tcPr>
            <w:tcW w:w="8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w:t>
            </w:r>
          </w:p>
        </w:tc>
        <w:tc>
          <w:tcPr>
            <w:tcW w:w="8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Accrued expenses and other liabilities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(73.8</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(160.5</w:t>
            </w:r>
          </w:p>
        </w:tc>
        <w:tc>
          <w:tcPr>
            <w:tcW w:w="8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Income taxes prepaid and payable</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12.3</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Deferred revenue</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(60.1</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Net 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826.7</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764.6</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8"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investing activities:</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ind w:left="0" w:right="0" w:firstLine="400"/>
              <w:jc w:val="right"/>
              <w:rPr/>
            </w:pPr>
            <w:r>
              <w:rPr/>
              <w:t> </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Cash paid for business acquisitions, net of cash acquired and asset acquisitions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(0.1</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(1,629.5</w:t>
            </w:r>
          </w:p>
        </w:tc>
        <w:tc>
          <w:tcPr>
            <w:tcW w:w="8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Additions to property and equipment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(40.7</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(53.3</w:t>
            </w:r>
          </w:p>
        </w:tc>
        <w:tc>
          <w:tcPr>
            <w:tcW w:w="8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Proceeds from sale of property and equipment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color w:val="000000"/>
              </w:rPr>
            </w:pPr>
            <w:r>
              <w:rPr>
                <w:color w:val="000000"/>
              </w:rPr>
              <w:t>—</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10.9</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Additions to capitalized software</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(140.9</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(108.2</w:t>
            </w:r>
          </w:p>
        </w:tc>
        <w:tc>
          <w:tcPr>
            <w:tcW w:w="8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Investments in securities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(0.6</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w:t>
            </w:r>
          </w:p>
        </w:tc>
        <w:tc>
          <w:tcPr>
            <w:tcW w:w="8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Proceeds from sales / maturities of investments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7.7</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8.6</w:t>
            </w:r>
          </w:p>
        </w:tc>
        <w:tc>
          <w:tcPr>
            <w:tcW w:w="815" w:type="dxa"/>
            <w:tcBorders/>
            <w:shd w:fill="FFFFFF" w:val="clear"/>
            <w:vAlign w:val="center"/>
          </w:tcPr>
          <w:p>
            <w:pPr>
              <w:pStyle w:val="TableContents"/>
              <w:bidi w:val="0"/>
              <w:spacing w:before="0" w:after="283"/>
              <w:ind w:left="0" w:right="0" w:firstLine="400"/>
              <w:jc w:val="left"/>
              <w:rPr/>
            </w:pPr>
            <w:r>
              <w:rPr/>
              <w:t> </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Distributions received from unconsolidated affiliates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color w:val="000000"/>
              </w:rPr>
            </w:pPr>
            <w:r>
              <w:rPr>
                <w:color w:val="000000"/>
              </w:rPr>
              <w:t>—</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66.2</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Collection of other non-current receivables</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18"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(167.1</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(1,707.8</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203" w:type="dxa"/>
            <w:tcBorders/>
            <w:shd w:fill="FFFFFF" w:val="clear"/>
            <w:vAlign w:val="center"/>
          </w:tcPr>
          <w:p>
            <w:pPr>
              <w:pStyle w:val="TableContents"/>
              <w:bidi w:val="0"/>
              <w:spacing w:before="0" w:after="283"/>
              <w:jc w:val="right"/>
              <w:rPr/>
            </w:pPr>
            <w:r>
              <w:rPr/>
              <w:t> </w:t>
            </w:r>
          </w:p>
        </w:tc>
        <w:tc>
          <w:tcPr>
            <w:tcW w:w="179"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right"/>
              <w:rPr/>
            </w:pPr>
            <w:r>
              <w:rPr/>
              <w:t> </w:t>
            </w:r>
          </w:p>
        </w:tc>
        <w:tc>
          <w:tcPr>
            <w:tcW w:w="815" w:type="dxa"/>
            <w:tcBorders/>
            <w:shd w:fill="FFFFFF" w:val="clear"/>
            <w:vAlign w:val="center"/>
          </w:tcPr>
          <w:p>
            <w:pPr>
              <w:pStyle w:val="TableContents"/>
              <w:bidi w:val="0"/>
              <w:spacing w:before="0" w:after="283"/>
              <w:ind w:left="0" w:right="0" w:firstLine="400"/>
              <w:jc w:val="right"/>
              <w:rPr/>
            </w:pPr>
            <w:r>
              <w:rPr/>
              <w:t> </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Cash received from debt borrowings, net of original issue discount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275.0</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1,702.1</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Repayments of debt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(499.5</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(408.5</w:t>
            </w:r>
          </w:p>
        </w:tc>
        <w:tc>
          <w:tcPr>
            <w:tcW w:w="8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Payment of deferred financing fees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color w:val="000000"/>
              </w:rPr>
            </w:pPr>
            <w:r>
              <w:rPr>
                <w:color w:val="000000"/>
              </w:rPr>
              <w:t>—</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(14.7</w:t>
            </w:r>
          </w:p>
        </w:tc>
        <w:tc>
          <w:tcPr>
            <w:tcW w:w="8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Net decrease in client funds obligations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(163.7</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(1,564.5</w:t>
            </w:r>
          </w:p>
        </w:tc>
        <w:tc>
          <w:tcPr>
            <w:tcW w:w="8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79.2</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73.3</w:t>
            </w:r>
          </w:p>
        </w:tc>
        <w:tc>
          <w:tcPr>
            <w:tcW w:w="815" w:type="dxa"/>
            <w:tcBorders/>
            <w:shd w:fill="CFF0FC" w:val="clear"/>
            <w:vAlign w:val="center"/>
          </w:tcPr>
          <w:p>
            <w:pPr>
              <w:pStyle w:val="TableContents"/>
              <w:bidi w:val="0"/>
              <w:spacing w:before="0" w:after="283"/>
              <w:ind w:left="0" w:right="0" w:firstLine="400"/>
              <w:jc w:val="left"/>
              <w:rPr/>
            </w:pPr>
            <w:r>
              <w:rPr/>
              <w:t> </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Withholding taxes paid related to equity award net share settlement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(0.6</w:t>
            </w:r>
          </w:p>
        </w:tc>
        <w:tc>
          <w:tcPr>
            <w:tcW w:w="8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Purchases of common stock for treasury</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(341.0</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(385.4</w:t>
            </w:r>
          </w:p>
        </w:tc>
        <w:tc>
          <w:tcPr>
            <w:tcW w:w="8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Dividends paid on common stock</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(160.9</w:t>
            </w:r>
          </w:p>
        </w:tc>
        <w:tc>
          <w:tcPr>
            <w:tcW w:w="2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(153.4</w:t>
            </w:r>
          </w:p>
        </w:tc>
        <w:tc>
          <w:tcPr>
            <w:tcW w:w="815" w:type="dxa"/>
            <w:tcBorders/>
            <w:shd w:fill="FFFFFF" w:val="clear"/>
            <w:vAlign w:val="center"/>
          </w:tcPr>
          <w:p>
            <w:pPr>
              <w:pStyle w:val="TableContents"/>
              <w:bidi w:val="0"/>
              <w:spacing w:before="0" w:after="283"/>
              <w:ind w:left="0" w:right="0" w:firstLine="6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CFF0FC" w:val="clear"/>
            <w:vAlign w:val="center"/>
          </w:tcPr>
          <w:p>
            <w:pPr>
              <w:pStyle w:val="TableContents"/>
              <w:bidi w:val="0"/>
              <w:spacing w:before="0" w:after="283"/>
              <w:ind w:left="600" w:right="0" w:firstLine="600"/>
              <w:jc w:val="left"/>
              <w:rPr>
                <w:rFonts w:ascii="Times New Roman" w:hAnsi="Times New Roman"/>
                <w:b w:val="false"/>
                <w:color w:val="000000"/>
                <w:sz w:val="18"/>
              </w:rPr>
            </w:pPr>
            <w:r>
              <w:rPr>
                <w:rFonts w:ascii="Times New Roman" w:hAnsi="Times New Roman"/>
                <w:b w:val="false"/>
                <w:color w:val="000000"/>
                <w:sz w:val="18"/>
              </w:rPr>
              <w:t>Net cash used in financing activities</w:t>
            </w:r>
          </w:p>
        </w:tc>
        <w:tc>
          <w:tcPr>
            <w:tcW w:w="146" w:type="dxa"/>
            <w:tcBorders/>
            <w:shd w:fill="CFF0FC" w:val="cle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9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(812.6</w:t>
            </w:r>
          </w:p>
        </w:tc>
        <w:tc>
          <w:tcPr>
            <w:tcW w:w="203"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CFF0FC" w:val="cle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(751.7</w:t>
            </w:r>
          </w:p>
        </w:tc>
        <w:tc>
          <w:tcPr>
            <w:tcW w:w="815" w:type="dxa"/>
            <w:tcBorders>
              <w:top w:val="single" w:sz="4" w:space="0" w:color="000000"/>
            </w:tcBorders>
            <w:tcMar>
              <w:left w:w="0" w:type="dxa"/>
              <w:bottom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Effect of exchange rate changes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(32.9</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(157.2</w:t>
            </w:r>
          </w:p>
        </w:tc>
        <w:tc>
          <w:tcPr>
            <w:tcW w:w="20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(1,727.8</w:t>
            </w:r>
          </w:p>
        </w:tc>
        <w:tc>
          <w:tcPr>
            <w:tcW w:w="81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6718"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Cash, cash equivalents and restricted cash, beginning of period</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1,337.6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3,171.4</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8"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1,180.4</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1,443.6</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r>
      <w:tr>
        <w:trPr/>
        <w:tc>
          <w:tcPr>
            <w:tcW w:w="671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1109" w:type="dxa"/>
            <w:gridSpan w:val="2"/>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left"/>
              <w:rPr/>
            </w:pPr>
            <w:r>
              <w:rPr/>
              <w:t> </w:t>
            </w:r>
          </w:p>
        </w:tc>
      </w:tr>
      <w:tr>
        <w:trPr/>
        <w:tc>
          <w:tcPr>
            <w:tcW w:w="9390" w:type="dxa"/>
            <w:gridSpan w:val="8"/>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and cash equivalents:</w:t>
            </w:r>
          </w:p>
        </w:tc>
        <w:tc>
          <w:tcPr>
            <w:tcW w:w="815" w:type="dxa"/>
            <w:tcBorders/>
            <w:shd w:fill="FFFFFF" w:val="clear"/>
            <w:vAlign w:val="center"/>
          </w:tcPr>
          <w:p>
            <w:pPr>
              <w:pStyle w:val="TableContents"/>
              <w:bidi w:val="0"/>
              <w:spacing w:before="0" w:after="283"/>
              <w:ind w:left="0" w:right="0" w:firstLine="200"/>
              <w:jc w:val="left"/>
              <w:rPr/>
            </w:pPr>
            <w:r>
              <w:rPr/>
              <w:t> </w:t>
            </w:r>
          </w:p>
        </w:tc>
      </w:tr>
      <w:tr>
        <w:trPr/>
        <w:tc>
          <w:tcPr>
            <w:tcW w:w="671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447.6</w:t>
            </w:r>
          </w:p>
        </w:tc>
        <w:tc>
          <w:tcPr>
            <w:tcW w:w="203"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401.9</w:t>
            </w:r>
          </w:p>
        </w:tc>
        <w:tc>
          <w:tcPr>
            <w:tcW w:w="815" w:type="dxa"/>
            <w:tcBorders/>
            <w:shd w:fill="FFFFFF" w:val="clear"/>
            <w:vAlign w:val="center"/>
          </w:tcPr>
          <w:p>
            <w:pPr>
              <w:pStyle w:val="TableContents"/>
              <w:bidi w:val="0"/>
              <w:spacing w:before="0" w:after="283"/>
              <w:ind w:left="0" w:right="0" w:firstLine="200"/>
              <w:jc w:val="left"/>
              <w:rPr/>
            </w:pPr>
            <w:r>
              <w:rPr/>
              <w:t> </w:t>
            </w:r>
          </w:p>
        </w:tc>
      </w:tr>
      <w:tr>
        <w:trPr/>
        <w:tc>
          <w:tcPr>
            <w:tcW w:w="671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Restricted cash and cash equivalents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203"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w:t>
            </w:r>
          </w:p>
        </w:tc>
        <w:tc>
          <w:tcPr>
            <w:tcW w:w="815" w:type="dxa"/>
            <w:tcBorders/>
            <w:shd w:fill="CFF0FC" w:val="clear"/>
            <w:vAlign w:val="center"/>
          </w:tcPr>
          <w:p>
            <w:pPr>
              <w:pStyle w:val="TableContents"/>
              <w:bidi w:val="0"/>
              <w:spacing w:before="0" w:after="283"/>
              <w:ind w:left="0" w:right="0" w:firstLine="200"/>
              <w:jc w:val="left"/>
              <w:rPr/>
            </w:pPr>
            <w:r>
              <w:rPr/>
              <w:t> </w:t>
            </w:r>
          </w:p>
        </w:tc>
      </w:tr>
      <w:tr>
        <w:trPr/>
        <w:tc>
          <w:tcPr>
            <w:tcW w:w="671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Restricted cash and cash equivalents included in funds receivable and funds held on behalf of clients</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730.5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1,038.7</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1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1,180.4</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1,443.6</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7" w:name="condensed_consolidated_equity_statement"/>
      <w:bookmarkEnd w:id="7"/>
      <w:r>
        <w:rPr>
          <w:rFonts w:ascii="Times New Roman" w:hAnsi="Times New Roman"/>
          <w:b/>
          <w:color w:val="000000"/>
          <w:sz w:val="20"/>
        </w:rPr>
        <w:t>CONDENSED CONSOLIDATED STATEMENTS OF CHANGES IN STOCKHOLDERS’ EQUITY</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p>
      <w:pPr>
        <w:pStyle w:val="TextBody"/>
        <w:bidi w:val="0"/>
        <w:jc w:val="left"/>
        <w:rPr/>
      </w:pPr>
      <w:r>
        <w:rPr/>
        <w:t> </w:t>
      </w:r>
    </w:p>
    <w:tbl>
      <w:tblPr>
        <w:tblW w:w="11207" w:type="dxa"/>
        <w:jc w:val="left"/>
        <w:tblInd w:w="0" w:type="dxa"/>
        <w:tblLayout w:type="fixed"/>
        <w:tblCellMar>
          <w:top w:w="28" w:type="dxa"/>
          <w:left w:w="28" w:type="dxa"/>
          <w:bottom w:w="28" w:type="dxa"/>
          <w:right w:w="28" w:type="dxa"/>
        </w:tblCellMar>
      </w:tblPr>
      <w:tblGrid>
        <w:gridCol w:w="1196"/>
        <w:gridCol w:w="146"/>
        <w:gridCol w:w="205"/>
        <w:gridCol w:w="486"/>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June 30, 2023</w:t>
            </w:r>
          </w:p>
        </w:tc>
        <w:tc>
          <w:tcPr>
            <w:tcW w:w="146" w:type="dxa"/>
            <w:tcBorders/>
            <w:shd w:fill="CFF0FC" w:val="clear"/>
            <w:vAlign w:val="center"/>
          </w:tcPr>
          <w:p>
            <w:pPr>
              <w:pStyle w:val="TableContents"/>
              <w:bidi w:val="0"/>
              <w:spacing w:before="0" w:after="283"/>
              <w:jc w:val="left"/>
              <w:rPr/>
            </w:pPr>
            <w:r>
              <w:rPr/>
              <w:t> </w:t>
            </w:r>
          </w:p>
        </w:tc>
        <w:tc>
          <w:tcPr>
            <w:tcW w:w="691" w:type="dxa"/>
            <w:gridSpan w:val="2"/>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273.2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5,230.6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2,895.6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(441.9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(1,506.7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6,237.3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income</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0.6</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156.6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1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Foreign exchange translation adjustment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(113.0</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1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42.1</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1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Exercise of options, net of withholding taxes</w:t>
            </w:r>
          </w:p>
        </w:tc>
        <w:tc>
          <w:tcPr>
            <w:tcW w:w="146" w:type="dxa"/>
            <w:tcBorders/>
            <w:shd w:fill="CFF0FC" w:val="clear"/>
            <w:vAlign w:val="center"/>
          </w:tcPr>
          <w:p>
            <w:pPr>
              <w:pStyle w:val="TableContents"/>
              <w:bidi w:val="0"/>
              <w:spacing w:before="0" w:after="283"/>
              <w:jc w:val="left"/>
              <w:rPr/>
            </w:pPr>
            <w:r>
              <w:rPr/>
              <w:t> </w:t>
            </w:r>
          </w:p>
        </w:tc>
        <w:tc>
          <w:tcPr>
            <w:tcW w:w="691" w:type="dxa"/>
            <w:gridSpan w:val="2"/>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36.0</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Purchases of common stock</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(97.8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119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18"/>
              </w:rPr>
              <w:t>Cash dividends declared - $0.24</w:t>
            </w:r>
            <w:r>
              <w:rPr>
                <w:rFonts w:ascii="Times New Roman" w:hAnsi="Times New Roman"/>
                <w:color w:val="000000"/>
                <w:sz w:val="20"/>
              </w:rPr>
              <w:t> </w:t>
            </w:r>
            <w:r>
              <w:rPr>
                <w:rFonts w:ascii="Times New Roman" w:hAnsi="Times New Roman"/>
                <w:b w:val="false"/>
                <w:color w:val="000000"/>
                <w:sz w:val="18"/>
              </w:rPr>
              <w:t>per share</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5,308.7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2,991.9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6,201.5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1227" w:type="dxa"/>
        <w:jc w:val="left"/>
        <w:tblInd w:w="0" w:type="dxa"/>
        <w:tblLayout w:type="fixed"/>
        <w:tblCellMar>
          <w:top w:w="28" w:type="dxa"/>
          <w:left w:w="28" w:type="dxa"/>
          <w:bottom w:w="28" w:type="dxa"/>
          <w:right w:w="28" w:type="dxa"/>
        </w:tblCellMar>
      </w:tblPr>
      <w:tblGrid>
        <w:gridCol w:w="1196"/>
        <w:gridCol w:w="146"/>
        <w:gridCol w:w="153"/>
        <w:gridCol w:w="538"/>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81"/>
        <w:gridCol w:w="820"/>
        <w:gridCol w:w="166"/>
        <w:gridCol w:w="146"/>
        <w:gridCol w:w="241"/>
        <w:gridCol w:w="795"/>
        <w:gridCol w:w="311"/>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7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 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June 30, 2022</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270.3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5,039.3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2,473.3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(505.0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(954.9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6,112.1</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1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159.8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Foreign exchange translation adjustment</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(248.6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(248.6</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11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change in interest rate swaps</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1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Exercise of options, net of withholding taxes</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15.0</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Purchases of common stock</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(214.5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(214.5</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119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18"/>
              </w:rPr>
              <w:t>Cash dividends declared - $0.20</w:t>
            </w:r>
            <w:r>
              <w:rPr>
                <w:rFonts w:ascii="Times New Roman" w:hAnsi="Times New Roman"/>
                <w:color w:val="000000"/>
                <w:sz w:val="20"/>
              </w:rPr>
              <w:t> </w:t>
            </w:r>
            <w:r>
              <w:rPr>
                <w:rFonts w:ascii="Times New Roman" w:hAnsi="Times New Roman"/>
                <w:b w:val="false"/>
                <w:color w:val="000000"/>
                <w:sz w:val="18"/>
              </w:rPr>
              <w:t>per share</w:t>
            </w:r>
          </w:p>
        </w:tc>
        <w:tc>
          <w:tcPr>
            <w:tcW w:w="146" w:type="dxa"/>
            <w:tcBorders/>
            <w:shd w:fill="CFF0FC" w:val="cle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September 30, 2022</w:t>
            </w:r>
          </w:p>
        </w:tc>
        <w:tc>
          <w:tcPr>
            <w:tcW w:w="146"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5,061.7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2,582.3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(1,169.4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5,783.5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condensed consolidated financial statements.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CONDENSED CONSOLIDATED STATEMENTS OF CHANGES IN STOCKHOLDERS’ EQUITY</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p>
      <w:pPr>
        <w:pStyle w:val="TextBody"/>
        <w:bidi w:val="0"/>
        <w:jc w:val="left"/>
        <w:rPr/>
      </w:pPr>
      <w:r>
        <w:rPr/>
        <w:t> </w:t>
      </w:r>
    </w:p>
    <w:tbl>
      <w:tblPr>
        <w:tblW w:w="11207" w:type="dxa"/>
        <w:jc w:val="left"/>
        <w:tblInd w:w="0" w:type="dxa"/>
        <w:tblLayout w:type="fixed"/>
        <w:tblCellMar>
          <w:top w:w="28" w:type="dxa"/>
          <w:left w:w="28" w:type="dxa"/>
          <w:bottom w:w="28" w:type="dxa"/>
          <w:right w:w="28" w:type="dxa"/>
        </w:tblCellMar>
      </w:tblPr>
      <w:tblGrid>
        <w:gridCol w:w="1196"/>
        <w:gridCol w:w="146"/>
        <w:gridCol w:w="205"/>
        <w:gridCol w:w="486"/>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December 31, 2022</w:t>
            </w:r>
          </w:p>
        </w:tc>
        <w:tc>
          <w:tcPr>
            <w:tcW w:w="146" w:type="dxa"/>
            <w:tcBorders/>
            <w:shd w:fill="CFF0FC" w:val="clear"/>
            <w:vAlign w:val="center"/>
          </w:tcPr>
          <w:p>
            <w:pPr>
              <w:pStyle w:val="TableContents"/>
              <w:bidi w:val="0"/>
              <w:spacing w:before="0" w:after="283"/>
              <w:jc w:val="left"/>
              <w:rPr/>
            </w:pPr>
            <w:r>
              <w:rPr/>
              <w:t> </w:t>
            </w:r>
          </w:p>
        </w:tc>
        <w:tc>
          <w:tcPr>
            <w:tcW w:w="691" w:type="dxa"/>
            <w:gridSpan w:val="2"/>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271.9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2,740.1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(1,260.1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6,100.8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income</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413.7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1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Foreign exchange translation adjustment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1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117.5</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1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Exercise of options, net of withholding taxes</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48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79.6</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Purchases of common stock</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48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(344.4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(344.4</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1196" w:type="dxa"/>
            <w:tcBorders/>
            <w:shd w:fill="CFF0FC"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18"/>
              </w:rPr>
              <w:t>Cash dividends declared - $0.64</w:t>
            </w:r>
            <w:r>
              <w:rPr>
                <w:rFonts w:ascii="Times New Roman" w:hAnsi="Times New Roman"/>
                <w:color w:val="000000"/>
                <w:sz w:val="20"/>
              </w:rPr>
              <w:t> </w:t>
            </w:r>
            <w:r>
              <w:rPr>
                <w:rFonts w:ascii="Times New Roman" w:hAnsi="Times New Roman"/>
                <w:b w:val="false"/>
                <w:color w:val="000000"/>
                <w:sz w:val="18"/>
              </w:rPr>
              <w:t>per share</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(160.9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5,308.7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2,991.9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6,201.5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1227" w:type="dxa"/>
        <w:jc w:val="left"/>
        <w:tblInd w:w="0" w:type="dxa"/>
        <w:tblLayout w:type="fixed"/>
        <w:tblCellMar>
          <w:top w:w="28" w:type="dxa"/>
          <w:left w:w="28" w:type="dxa"/>
          <w:bottom w:w="28" w:type="dxa"/>
          <w:right w:w="28" w:type="dxa"/>
        </w:tblCellMar>
      </w:tblPr>
      <w:tblGrid>
        <w:gridCol w:w="1196"/>
        <w:gridCol w:w="146"/>
        <w:gridCol w:w="153"/>
        <w:gridCol w:w="538"/>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81"/>
        <w:gridCol w:w="820"/>
        <w:gridCol w:w="166"/>
        <w:gridCol w:w="146"/>
        <w:gridCol w:w="241"/>
        <w:gridCol w:w="795"/>
        <w:gridCol w:w="311"/>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7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 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December 31, 2021</w:t>
            </w:r>
          </w:p>
        </w:tc>
        <w:tc>
          <w:tcPr>
            <w:tcW w:w="146" w:type="dxa"/>
            <w:tcBorders/>
            <w:shd w:fill="FFFFFF" w:val="clear"/>
            <w:vAlign w:val="center"/>
          </w:tcPr>
          <w:p>
            <w:pPr>
              <w:pStyle w:val="TableContents"/>
              <w:bidi w:val="0"/>
              <w:spacing w:before="0" w:after="283"/>
              <w:jc w:val="left"/>
              <w:rPr/>
            </w:pPr>
            <w:r>
              <w:rPr/>
              <w:t> </w:t>
            </w:r>
          </w:p>
        </w:tc>
        <w:tc>
          <w:tcPr>
            <w:tcW w:w="691" w:type="dxa"/>
            <w:gridSpan w:val="2"/>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269.1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4,895.7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(242.0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(784.0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6,223.2</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1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441.4</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Foreign exchange translation adjustment</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(512.0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(512.0</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11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Net change in interest rate swaps</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Change in defined benefit plan obligation</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11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119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Exercise of options, net of withholding taxes</w:t>
            </w:r>
          </w:p>
        </w:tc>
        <w:tc>
          <w:tcPr>
            <w:tcW w:w="146"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44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6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79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119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8"/>
              </w:rPr>
            </w:pPr>
            <w:r>
              <w:rPr>
                <w:rFonts w:ascii="Times New Roman" w:hAnsi="Times New Roman"/>
                <w:b w:val="false"/>
                <w:color w:val="000000"/>
                <w:sz w:val="18"/>
              </w:rPr>
              <w:t>Purchases of common stock</w:t>
            </w:r>
          </w:p>
        </w:tc>
        <w:tc>
          <w:tcPr>
            <w:tcW w:w="146" w:type="dxa"/>
            <w:tcBorders/>
            <w:shd w:fill="CFF0FC" w:val="clear"/>
            <w:vAlign w:val="center"/>
          </w:tcPr>
          <w:p>
            <w:pPr>
              <w:pStyle w:val="TableContents"/>
              <w:bidi w:val="0"/>
              <w:spacing w:before="0" w:after="283"/>
              <w:jc w:val="left"/>
              <w:rPr/>
            </w:pPr>
            <w:r>
              <w:rPr/>
              <w:t> </w:t>
            </w:r>
          </w:p>
        </w:tc>
        <w:tc>
          <w:tcPr>
            <w:tcW w:w="153"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44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6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(385.4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81"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79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(385.4</w:t>
            </w:r>
          </w:p>
        </w:tc>
        <w:tc>
          <w:tcPr>
            <w:tcW w:w="311"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8"/>
              </w:rPr>
            </w:pPr>
            <w:r>
              <w:rPr>
                <w:rFonts w:ascii="Times New Roman" w:hAnsi="Times New Roman"/>
                <w:b w:val="false"/>
                <w:color w:val="000000"/>
                <w:sz w:val="18"/>
              </w:rPr>
              <w:t>)</w:t>
            </w:r>
          </w:p>
        </w:tc>
      </w:tr>
      <w:tr>
        <w:trPr/>
        <w:tc>
          <w:tcPr>
            <w:tcW w:w="1196" w:type="dxa"/>
            <w:tcBorders/>
            <w:shd w:fill="FFFFFF" w:val="cle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b w:val="false"/>
                <w:color w:val="000000"/>
                <w:sz w:val="18"/>
              </w:rPr>
              <w:t>Cash dividends declared - $0.60</w:t>
            </w:r>
            <w:r>
              <w:rPr>
                <w:rFonts w:ascii="Times New Roman" w:hAnsi="Times New Roman"/>
                <w:color w:val="000000"/>
                <w:sz w:val="20"/>
              </w:rPr>
              <w:t> </w:t>
            </w:r>
            <w:r>
              <w:rPr>
                <w:rFonts w:ascii="Times New Roman" w:hAnsi="Times New Roman"/>
                <w:b w:val="false"/>
                <w:color w:val="000000"/>
                <w:sz w:val="18"/>
              </w:rPr>
              <w:t>per share</w:t>
            </w:r>
          </w:p>
        </w:tc>
        <w:tc>
          <w:tcPr>
            <w:tcW w:w="146" w:type="dxa"/>
            <w:tcBorders/>
            <w:shd w:fill="FFFFFF" w:val="cle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Balance, at September 30, 2022</w:t>
            </w:r>
          </w:p>
        </w:tc>
        <w:tc>
          <w:tcPr>
            <w:tcW w:w="146" w:type="dxa"/>
            <w:tcBorders/>
            <w:shd w:fill="CFF0FC" w:val="cle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5,061.7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2,582.3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(1,169.4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5,783.5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sz w:val="20"/>
        </w:rPr>
      </w:pPr>
      <w:bookmarkStart w:id="8" w:name="notes_to_financial_statements"/>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1—Basis of Presentation and Principles of Consolidation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for the year ended December 31, 2022, filed with the Securities and Exchange Commission (the “SEC”) on February 28, 2023 (the “2022 Form 10-K”).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September 30, 2023, the results of our operations for the three and nine months ended September 30, 2023 and 2022, and our cash flows for the nine months ended September 30, 2023 and 2022. These statements do not include all of the information and footnotes required by GAAP for annual financial statements. The Condensed Consolidated Financial Statements contained herein should be read in conjunction with the audited Consolidated Financial Statements and footnotes as of and for the year ended December 31, 2022, which were included in the 2022 Form 10-K. The December 31, 2022 Consolidated Balance Sheet data were derived from audited financial statements but do not include all disclosures required by GAAP for annual financial statements. The results of operations for the three and nine months ended September 30, 2023 are not necessarily indicative of the expected results for any subsequent quarters or the full year.</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Recently Adopted Accounting Pronouncement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In March 2020, the FASB issued ASU 2020-04, </w:t>
      </w:r>
      <w:r>
        <w:rPr>
          <w:rFonts w:ascii="Times New Roman" w:hAnsi="Times New Roman"/>
          <w:b w:val="false"/>
          <w:i/>
          <w:color w:val="000000"/>
          <w:sz w:val="20"/>
        </w:rPr>
        <w:t>Reference Rate Reform (Topic 848): Facilitation of the Effects of Reference Rate Reform on Financial Reporting</w:t>
      </w:r>
      <w:r>
        <w:rPr>
          <w:rFonts w:ascii="Times New Roman" w:hAnsi="Times New Roman"/>
          <w:b w:val="false"/>
          <w:color w:val="000000"/>
          <w:sz w:val="20"/>
        </w:rPr>
        <w:t xml:space="preserve">. ASU 2020-04 provides optional expedients and exceptions for applying U.S. GAAP if certain criteria are met to contracts, hedging relationships and other transactions that reference LIBOR or another reference rate expected to be discontinued. In January 2021, the FASB issued ASU 2021-01, </w:t>
      </w:r>
      <w:r>
        <w:rPr>
          <w:rFonts w:ascii="Times New Roman" w:hAnsi="Times New Roman"/>
          <w:b w:val="false"/>
          <w:i/>
          <w:color w:val="000000"/>
          <w:sz w:val="20"/>
        </w:rPr>
        <w:t>Reference Rate Reform (Topic 848): Scope</w:t>
      </w:r>
      <w:r>
        <w:rPr>
          <w:rFonts w:ascii="Times New Roman" w:hAnsi="Times New Roman"/>
          <w:b w:val="false"/>
          <w:color w:val="000000"/>
          <w:sz w:val="20"/>
        </w:rPr>
        <w:t xml:space="preserve">.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Additionally, in December 2022, the FASB issued ASU 2022-06, </w:t>
      </w:r>
      <w:r>
        <w:rPr>
          <w:rFonts w:ascii="Times New Roman" w:hAnsi="Times New Roman"/>
          <w:b w:val="false"/>
          <w:i/>
          <w:color w:val="000000"/>
          <w:sz w:val="20"/>
        </w:rPr>
        <w:t>Reference Rate Reform: Deferral of the Sunset Date of Topic 848,</w:t>
      </w:r>
      <w:r>
        <w:rPr>
          <w:rFonts w:ascii="Times New Roman" w:hAnsi="Times New Roman"/>
          <w:color w:val="000000"/>
          <w:sz w:val="20"/>
        </w:rPr>
        <w:t xml:space="preserve"> </w:t>
      </w:r>
      <w:r>
        <w:rPr>
          <w:rFonts w:ascii="Times New Roman" w:hAnsi="Times New Roman"/>
          <w:b w:val="false"/>
          <w:color w:val="000000"/>
          <w:sz w:val="20"/>
        </w:rPr>
        <w:t>which deferred the sunset date of Topic 848 from December 31, 2022 to December 31, 2024 to align with the amended cessation date of LIBOR. We have adopted ASU 2020-04 and the adoption of this standard did not have a material impact on our financial position, results of operations or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2—Property, Plant and Equipment, net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Property, plant and equipment and the related accumulated depreciation are as follows (in millions):</w:t>
      </w:r>
    </w:p>
    <w:tbl>
      <w:tblPr>
        <w:tblW w:w="6310" w:type="dxa"/>
        <w:jc w:val="left"/>
        <w:tblInd w:w="0" w:type="dxa"/>
        <w:tblLayout w:type="fixed"/>
        <w:tblCellMar>
          <w:top w:w="28" w:type="dxa"/>
          <w:left w:w="28" w:type="dxa"/>
          <w:bottom w:w="28" w:type="dxa"/>
          <w:right w:w="28" w:type="dxa"/>
        </w:tblCellMar>
      </w:tblPr>
      <w:tblGrid>
        <w:gridCol w:w="3406"/>
        <w:gridCol w:w="146"/>
        <w:gridCol w:w="285"/>
        <w:gridCol w:w="855"/>
        <w:gridCol w:w="166"/>
        <w:gridCol w:w="146"/>
        <w:gridCol w:w="274"/>
        <w:gridCol w:w="821"/>
        <w:gridCol w:w="2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Land</w:t>
            </w:r>
          </w:p>
        </w:tc>
        <w:tc>
          <w:tcPr>
            <w:tcW w:w="146" w:type="dxa"/>
            <w:tcBorders/>
            <w:shd w:fill="CFF0FC" w:val="clear"/>
            <w:vAlign w:val="center"/>
          </w:tcPr>
          <w:p>
            <w:pPr>
              <w:pStyle w:val="TableContents"/>
              <w:bidi w:val="0"/>
              <w:spacing w:before="0" w:after="283"/>
              <w:jc w:val="left"/>
              <w:rPr/>
            </w:pPr>
            <w:r>
              <w:rPr/>
              <w:t> </w:t>
            </w:r>
          </w:p>
        </w:tc>
        <w:tc>
          <w:tcPr>
            <w:tcW w:w="28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w:t>
            </w:r>
          </w:p>
        </w:tc>
        <w:tc>
          <w:tcPr>
            <w:tcW w:w="21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Building and improvements</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279.2</w:t>
            </w:r>
          </w:p>
        </w:tc>
        <w:tc>
          <w:tcPr>
            <w:tcW w:w="2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Equipment, furniture, and fixtures</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842.2</w:t>
            </w:r>
          </w:p>
        </w:tc>
        <w:tc>
          <w:tcPr>
            <w:tcW w:w="2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4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property, plant and equipment, net</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Depreciation expense for the three and nine months ended September 30, 2023 was $18.0</w:t>
      </w:r>
      <w:r>
        <w:rPr>
          <w:rFonts w:ascii="Times New Roman" w:hAnsi="Times New Roman"/>
          <w:color w:val="000000"/>
          <w:sz w:val="20"/>
        </w:rPr>
        <w:t xml:space="preserve"> </w:t>
      </w:r>
      <w:r>
        <w:rPr>
          <w:rFonts w:ascii="Times New Roman" w:hAnsi="Times New Roman"/>
          <w:b w:val="false"/>
          <w:color w:val="000000"/>
          <w:sz w:val="20"/>
        </w:rPr>
        <w:t>million and $55.1</w:t>
      </w:r>
      <w:r>
        <w:rPr>
          <w:rFonts w:ascii="Times New Roman" w:hAnsi="Times New Roman"/>
          <w:color w:val="000000"/>
          <w:sz w:val="20"/>
        </w:rPr>
        <w:t xml:space="preserve"> </w:t>
      </w:r>
      <w:r>
        <w:rPr>
          <w:rFonts w:ascii="Times New Roman" w:hAnsi="Times New Roman"/>
          <w:b w:val="false"/>
          <w:color w:val="000000"/>
          <w:sz w:val="20"/>
        </w:rPr>
        <w:t>million, respectively. Depreciation expense for the three and nine months ended September 30, 2022 was $18.7</w:t>
      </w:r>
      <w:r>
        <w:rPr>
          <w:rFonts w:ascii="Times New Roman" w:hAnsi="Times New Roman"/>
          <w:color w:val="000000"/>
          <w:sz w:val="20"/>
        </w:rPr>
        <w:t xml:space="preserve"> </w:t>
      </w:r>
      <w:r>
        <w:rPr>
          <w:rFonts w:ascii="Times New Roman" w:hAnsi="Times New Roman"/>
          <w:b w:val="false"/>
          <w:color w:val="000000"/>
          <w:sz w:val="20"/>
        </w:rPr>
        <w:t>million and $56.9</w:t>
      </w:r>
      <w:r>
        <w:rPr>
          <w:rFonts w:ascii="Times New Roman" w:hAnsi="Times New Roman"/>
          <w:color w:val="000000"/>
          <w:sz w:val="20"/>
        </w:rPr>
        <w:t xml:space="preserve"> </w:t>
      </w:r>
      <w:r>
        <w:rPr>
          <w:rFonts w:ascii="Times New Roman" w:hAnsi="Times New Roman"/>
          <w:b w:val="false"/>
          <w:color w:val="000000"/>
          <w:sz w:val="20"/>
        </w:rPr>
        <w:t>million, respectively. As of September 30, 2023</w:t>
      </w:r>
      <w:r>
        <w:rPr>
          <w:rFonts w:ascii="Times New Roman" w:hAnsi="Times New Roman"/>
          <w:color w:val="000000"/>
          <w:sz w:val="20"/>
        </w:rPr>
        <w:t xml:space="preserve"> </w:t>
      </w:r>
      <w:r>
        <w:rPr>
          <w:rFonts w:ascii="Times New Roman" w:hAnsi="Times New Roman"/>
          <w:b w:val="false"/>
          <w:color w:val="000000"/>
          <w:sz w:val="20"/>
        </w:rPr>
        <w:t>and December 31, 2022, assets held for sale were $11.6</w:t>
      </w:r>
      <w:r>
        <w:rPr>
          <w:rFonts w:ascii="Times New Roman" w:hAnsi="Times New Roman"/>
          <w:color w:val="000000"/>
          <w:sz w:val="20"/>
        </w:rPr>
        <w:t xml:space="preserve"> </w:t>
      </w:r>
      <w:r>
        <w:rPr>
          <w:rFonts w:ascii="Times New Roman" w:hAnsi="Times New Roman"/>
          <w:b w:val="false"/>
          <w:color w:val="000000"/>
          <w:sz w:val="20"/>
        </w:rPr>
        <w:t>million and $8.7</w:t>
      </w:r>
      <w:r>
        <w:rPr>
          <w:rFonts w:ascii="Times New Roman" w:hAnsi="Times New Roman"/>
          <w:color w:val="000000"/>
          <w:sz w:val="20"/>
        </w:rPr>
        <w:t xml:space="preserve"> </w:t>
      </w:r>
      <w:r>
        <w:rPr>
          <w:rFonts w:ascii="Times New Roman" w:hAnsi="Times New Roman"/>
          <w:b w:val="false"/>
          <w:color w:val="000000"/>
          <w:sz w:val="20"/>
        </w:rPr>
        <w:t>million, respectively,</w:t>
      </w:r>
      <w:r>
        <w:rPr>
          <w:rFonts w:ascii="Times New Roman" w:hAnsi="Times New Roman"/>
          <w:color w:val="000000"/>
          <w:sz w:val="20"/>
        </w:rPr>
        <w:t xml:space="preserve"> </w:t>
      </w:r>
      <w:r>
        <w:rPr>
          <w:rFonts w:ascii="Times New Roman" w:hAnsi="Times New Roman"/>
          <w:b w:val="false"/>
          <w:color w:val="000000"/>
          <w:sz w:val="20"/>
        </w:rPr>
        <w:t>and are presented in prepaid expenses and other current assets in our condensed consolidated balance sheet. Unpaid property, plant and equipment additions of $7.9</w:t>
      </w:r>
      <w:r>
        <w:rPr>
          <w:rFonts w:ascii="Times New Roman" w:hAnsi="Times New Roman"/>
          <w:color w:val="000000"/>
          <w:sz w:val="20"/>
        </w:rPr>
        <w:t xml:space="preserve"> </w:t>
      </w:r>
      <w:r>
        <w:rPr>
          <w:rFonts w:ascii="Times New Roman" w:hAnsi="Times New Roman"/>
          <w:b w:val="false"/>
          <w:color w:val="000000"/>
          <w:sz w:val="20"/>
        </w:rPr>
        <w:t>million and $5.1</w:t>
      </w:r>
      <w:r>
        <w:rPr>
          <w:rFonts w:ascii="Times New Roman" w:hAnsi="Times New Roman"/>
          <w:color w:val="000000"/>
          <w:sz w:val="20"/>
        </w:rPr>
        <w:t xml:space="preserve"> </w:t>
      </w:r>
      <w:r>
        <w:rPr>
          <w:rFonts w:ascii="Times New Roman" w:hAnsi="Times New Roman"/>
          <w:b w:val="false"/>
          <w:color w:val="000000"/>
          <w:sz w:val="20"/>
        </w:rPr>
        <w:t>million are included in accounts payable and other accrued expenses as of September 30, 2023</w:t>
      </w:r>
      <w:r>
        <w:rPr>
          <w:rFonts w:ascii="Times New Roman" w:hAnsi="Times New Roman"/>
          <w:color w:val="000000"/>
          <w:sz w:val="20"/>
        </w:rPr>
        <w:t xml:space="preserve"> </w:t>
      </w:r>
      <w:r>
        <w:rPr>
          <w:rFonts w:ascii="Times New Roman" w:hAnsi="Times New Roman"/>
          <w:b w:val="false"/>
          <w:color w:val="000000"/>
          <w:sz w:val="20"/>
        </w:rPr>
        <w:t>and December 31, 2022, respectively, in our condensed consolidated balance sheet.</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3—Investments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Investments are as follows (in millions):</w:t>
      </w:r>
    </w:p>
    <w:tbl>
      <w:tblPr>
        <w:tblW w:w="6610" w:type="dxa"/>
        <w:jc w:val="left"/>
        <w:tblInd w:w="0" w:type="dxa"/>
        <w:tblLayout w:type="fixed"/>
        <w:tblCellMar>
          <w:top w:w="28" w:type="dxa"/>
          <w:left w:w="28" w:type="dxa"/>
          <w:bottom w:w="28" w:type="dxa"/>
          <w:right w:w="28" w:type="dxa"/>
        </w:tblCellMar>
      </w:tblPr>
      <w:tblGrid>
        <w:gridCol w:w="3646"/>
        <w:gridCol w:w="146"/>
        <w:gridCol w:w="307"/>
        <w:gridCol w:w="833"/>
        <w:gridCol w:w="146"/>
        <w:gridCol w:w="146"/>
        <w:gridCol w:w="294"/>
        <w:gridCol w:w="801"/>
        <w:gridCol w:w="2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vAlign w:val="center"/>
          </w:tcPr>
          <w:p>
            <w:pPr>
              <w:pStyle w:val="TableContents"/>
              <w:bidi w:val="0"/>
              <w:spacing w:before="0" w:after="283"/>
              <w:jc w:val="center"/>
              <w:rPr/>
            </w:pPr>
            <w:r>
              <w:rPr/>
              <w:t> </w:t>
            </w:r>
          </w:p>
        </w:tc>
      </w:tr>
      <w:tr>
        <w:trPr/>
        <w:tc>
          <w:tcPr>
            <w:tcW w:w="3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Non-marketable equity securities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124.0</w:t>
            </w:r>
          </w:p>
        </w:tc>
        <w:tc>
          <w:tcPr>
            <w:tcW w:w="291" w:type="dxa"/>
            <w:tcBorders/>
            <w:shd w:fill="CFF0FC" w:val="cle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Seed capital investments</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w:t>
            </w:r>
          </w:p>
        </w:tc>
        <w:tc>
          <w:tcPr>
            <w:tcW w:w="291" w:type="dxa"/>
            <w:tcBorders/>
            <w:shd w:fill="FFFFFF" w:val="clear"/>
            <w:vAlign w:val="center"/>
          </w:tcPr>
          <w:p>
            <w:pPr>
              <w:pStyle w:val="TableContents"/>
              <w:bidi w:val="0"/>
              <w:spacing w:before="0" w:after="283"/>
              <w:jc w:val="left"/>
              <w:rPr/>
            </w:pPr>
            <w:r>
              <w:rPr/>
              <w:t> </w:t>
            </w:r>
          </w:p>
        </w:tc>
      </w:tr>
      <w:tr>
        <w:trPr/>
        <w:tc>
          <w:tcPr>
            <w:tcW w:w="36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Marketable equity securities</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c>
          <w:tcPr>
            <w:tcW w:w="80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w:t>
            </w:r>
          </w:p>
        </w:tc>
        <w:tc>
          <w:tcPr>
            <w:tcW w:w="291" w:type="dxa"/>
            <w:tcBorders/>
            <w:shd w:fill="CFF0FC" w:val="cle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Partnership interests in private equity funds</w:t>
            </w:r>
          </w:p>
        </w:tc>
        <w:tc>
          <w:tcPr>
            <w:tcW w:w="146" w:type="dxa"/>
            <w:tcBorders/>
            <w:shd w:fill="FFFFFF" w:val="cle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investments</w:t>
            </w:r>
          </w:p>
        </w:tc>
        <w:tc>
          <w:tcPr>
            <w:tcW w:w="146" w:type="dxa"/>
            <w:tcBorders/>
            <w:shd w:fill="CFF0FC" w:val="cle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Realized and unrealized gains and losses for our equity securities are as follows (in millions):</w:t>
      </w:r>
    </w:p>
    <w:tbl>
      <w:tblPr>
        <w:tblW w:w="10205" w:type="dxa"/>
        <w:jc w:val="left"/>
        <w:tblInd w:w="0" w:type="dxa"/>
        <w:tblLayout w:type="fixed"/>
        <w:tblCellMar>
          <w:top w:w="28" w:type="dxa"/>
          <w:left w:w="28" w:type="dxa"/>
          <w:bottom w:w="28" w:type="dxa"/>
          <w:right w:w="28" w:type="dxa"/>
        </w:tblCellMar>
      </w:tblPr>
      <w:tblGrid>
        <w:gridCol w:w="4635"/>
        <w:gridCol w:w="146"/>
        <w:gridCol w:w="324"/>
        <w:gridCol w:w="647"/>
        <w:gridCol w:w="254"/>
        <w:gridCol w:w="224"/>
        <w:gridCol w:w="324"/>
        <w:gridCol w:w="647"/>
        <w:gridCol w:w="166"/>
        <w:gridCol w:w="146"/>
        <w:gridCol w:w="298"/>
        <w:gridCol w:w="596"/>
        <w:gridCol w:w="234"/>
        <w:gridCol w:w="206"/>
        <w:gridCol w:w="298"/>
        <w:gridCol w:w="744"/>
        <w:gridCol w:w="316"/>
      </w:tblGrid>
      <w:tr>
        <w:trPr/>
        <w:tc>
          <w:tcPr>
            <w:tcW w:w="4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4" w:type="dxa"/>
            <w:tcBorders/>
            <w:shd w:fill="FFFFFF" w:val="clear"/>
            <w:vAlign w:val="center"/>
          </w:tcPr>
          <w:p>
            <w:pPr>
              <w:pStyle w:val="TableContents"/>
              <w:bidi w:val="0"/>
              <w:spacing w:before="0" w:after="283"/>
              <w:jc w:val="center"/>
              <w:rPr/>
            </w:pPr>
            <w:r>
              <w:rPr/>
              <w:t> </w:t>
            </w:r>
          </w:p>
        </w:tc>
        <w:tc>
          <w:tcPr>
            <w:tcW w:w="9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shd w:fill="FFFFFF" w:val="clear"/>
            <w:vAlign w:val="center"/>
          </w:tcPr>
          <w:p>
            <w:pPr>
              <w:pStyle w:val="TableContents"/>
              <w:bidi w:val="0"/>
              <w:spacing w:before="0" w:after="283"/>
              <w:jc w:val="center"/>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Unrealized losses on equity securities held as of the end of the period</w:t>
            </w:r>
          </w:p>
        </w:tc>
        <w:tc>
          <w:tcPr>
            <w:tcW w:w="146"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4" w:type="dxa"/>
            <w:tcBorders/>
            <w:shd w:fill="CFF0FC" w:val="clear"/>
            <w:vAlign w:val="center"/>
          </w:tcPr>
          <w:p>
            <w:pPr>
              <w:pStyle w:val="TableContents"/>
              <w:bidi w:val="0"/>
              <w:spacing w:before="0" w:after="283"/>
              <w:jc w:val="left"/>
              <w:rPr/>
            </w:pPr>
            <w:r>
              <w:rPr/>
              <w:t> </w:t>
            </w:r>
          </w:p>
        </w:tc>
        <w:tc>
          <w:tcPr>
            <w:tcW w:w="32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3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6" w:type="dxa"/>
            <w:tcBorders/>
            <w:shd w:fill="CFF0FC" w:val="clear"/>
            <w:vAlign w:val="center"/>
          </w:tcPr>
          <w:p>
            <w:pPr>
              <w:pStyle w:val="TableContents"/>
              <w:bidi w:val="0"/>
              <w:spacing w:before="0" w:after="283"/>
              <w:jc w:val="left"/>
              <w:rPr/>
            </w:pPr>
            <w:r>
              <w:rPr/>
              <w:t> </w:t>
            </w:r>
          </w:p>
        </w:tc>
        <w:tc>
          <w:tcPr>
            <w:tcW w:w="29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(15.0</w:t>
            </w:r>
          </w:p>
        </w:tc>
        <w:tc>
          <w:tcPr>
            <w:tcW w:w="3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463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Realized gains (losses) for equity securities sold during the period</w:t>
            </w:r>
          </w:p>
        </w:tc>
        <w:tc>
          <w:tcPr>
            <w:tcW w:w="146" w:type="dxa"/>
            <w:tcBorders/>
            <w:shd w:fill="FFFFFF" w:val="cle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4635"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 (losses) gains recognized in other (expense) income, net</w:t>
            </w:r>
          </w:p>
        </w:tc>
        <w:tc>
          <w:tcPr>
            <w:tcW w:w="146" w:type="dxa"/>
            <w:tcBorders/>
            <w:shd w:fill="CFF0FC" w:val="cle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4" w:type="dxa"/>
            <w:tcBorders/>
            <w:shd w:fill="CFF0FC" w:val="cle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Fair Value Measurement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As of September 30, 2023 and December 31, 2022,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following tables present assets and liabilities measured at fair value on a recurring basis (in millions):</w:t>
      </w:r>
    </w:p>
    <w:tbl>
      <w:tblPr>
        <w:tblW w:w="10205" w:type="dxa"/>
        <w:jc w:val="left"/>
        <w:tblInd w:w="0" w:type="dxa"/>
        <w:tblLayout w:type="fixed"/>
        <w:tblCellMar>
          <w:top w:w="28" w:type="dxa"/>
          <w:left w:w="28" w:type="dxa"/>
          <w:bottom w:w="28" w:type="dxa"/>
          <w:right w:w="28" w:type="dxa"/>
        </w:tblCellMar>
      </w:tblPr>
      <w:tblGrid>
        <w:gridCol w:w="1906"/>
        <w:gridCol w:w="146"/>
        <w:gridCol w:w="299"/>
        <w:gridCol w:w="809"/>
        <w:gridCol w:w="166"/>
        <w:gridCol w:w="146"/>
        <w:gridCol w:w="570"/>
        <w:gridCol w:w="1544"/>
        <w:gridCol w:w="195"/>
        <w:gridCol w:w="172"/>
        <w:gridCol w:w="683"/>
        <w:gridCol w:w="1125"/>
        <w:gridCol w:w="172"/>
        <w:gridCol w:w="172"/>
        <w:gridCol w:w="683"/>
        <w:gridCol w:w="1121"/>
        <w:gridCol w:w="296"/>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 (1)</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713.1</w:t>
            </w:r>
          </w:p>
        </w:tc>
        <w:tc>
          <w:tcPr>
            <w:tcW w:w="195"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5" w:type="dxa"/>
            <w:tcBorders/>
            <w:shd w:fill="CFF0FC" w:val="clear"/>
            <w:vAlign w:val="center"/>
          </w:tcPr>
          <w:p>
            <w:pPr>
              <w:pStyle w:val="TableContents"/>
              <w:bidi w:val="0"/>
              <w:spacing w:before="0" w:after="283"/>
              <w:jc w:val="right"/>
              <w:rPr>
                <w:color w:val="000000"/>
              </w:rPr>
            </w:pPr>
            <w:r>
              <w:rPr>
                <w:color w:val="000000"/>
              </w:rPr>
              <w:t>—</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1"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jc w:val="left"/>
              <w:rPr/>
            </w:pPr>
            <w:r>
              <w:rPr/>
              <w:t> </w:t>
            </w:r>
          </w:p>
        </w:tc>
      </w:tr>
      <w:tr>
        <w:trPr/>
        <w:tc>
          <w:tcPr>
            <w:tcW w:w="19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Seed capital investments (2)</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8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left"/>
              <w:rPr/>
            </w:pPr>
            <w:r>
              <w:rPr/>
              <w:t> </w:t>
            </w:r>
          </w:p>
        </w:tc>
        <w:tc>
          <w:tcPr>
            <w:tcW w:w="15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26.7</w:t>
            </w:r>
          </w:p>
        </w:tc>
        <w:tc>
          <w:tcPr>
            <w:tcW w:w="195"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color w:val="000000"/>
              </w:rPr>
            </w:pPr>
            <w:r>
              <w:rPr>
                <w:color w:val="000000"/>
              </w:rPr>
              <w:t>—</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color w:val="000000"/>
              </w:rPr>
            </w:pPr>
            <w:r>
              <w:rPr>
                <w:color w:val="000000"/>
              </w:rPr>
              <w:t>—</w:t>
            </w:r>
          </w:p>
        </w:tc>
        <w:tc>
          <w:tcPr>
            <w:tcW w:w="296" w:type="dxa"/>
            <w:tcBorders/>
            <w:shd w:fill="FFFFFF" w:val="clear"/>
            <w:vAlign w:val="center"/>
          </w:tcPr>
          <w:p>
            <w:pPr>
              <w:pStyle w:val="TableContents"/>
              <w:bidi w:val="0"/>
              <w:spacing w:before="0" w:after="283"/>
              <w:jc w:val="left"/>
              <w:rPr/>
            </w:pPr>
            <w:r>
              <w:rPr/>
              <w:t> </w:t>
            </w:r>
          </w:p>
        </w:tc>
      </w:tr>
      <w:tr>
        <w:trPr/>
        <w:tc>
          <w:tcPr>
            <w:tcW w:w="19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Marketable equity securities (2)</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8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0" w:type="dxa"/>
            <w:tcBorders/>
            <w:shd w:fill="CFF0FC" w:val="clear"/>
            <w:vAlign w:val="center"/>
          </w:tcPr>
          <w:p>
            <w:pPr>
              <w:pStyle w:val="TableContents"/>
              <w:bidi w:val="0"/>
              <w:spacing w:before="0" w:after="283"/>
              <w:jc w:val="left"/>
              <w:rPr/>
            </w:pPr>
            <w:r>
              <w:rPr/>
              <w:t> </w:t>
            </w:r>
          </w:p>
        </w:tc>
        <w:tc>
          <w:tcPr>
            <w:tcW w:w="15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22.1</w:t>
            </w:r>
          </w:p>
        </w:tc>
        <w:tc>
          <w:tcPr>
            <w:tcW w:w="195"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1125" w:type="dxa"/>
            <w:tcBorders/>
            <w:shd w:fill="CFF0FC" w:val="clear"/>
            <w:vAlign w:val="center"/>
          </w:tcPr>
          <w:p>
            <w:pPr>
              <w:pStyle w:val="TableContents"/>
              <w:bidi w:val="0"/>
              <w:spacing w:before="0" w:after="283"/>
              <w:jc w:val="right"/>
              <w:rPr>
                <w:color w:val="000000"/>
              </w:rPr>
            </w:pPr>
            <w:r>
              <w:rPr>
                <w:color w:val="000000"/>
              </w:rPr>
              <w:t>—</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pPr>
            <w:r>
              <w:rPr/>
              <w:t> </w:t>
            </w:r>
          </w:p>
        </w:tc>
        <w:tc>
          <w:tcPr>
            <w:tcW w:w="1121"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jc w:val="left"/>
              <w:rPr/>
            </w:pPr>
            <w:r>
              <w:rPr/>
              <w:t> </w:t>
            </w:r>
          </w:p>
        </w:tc>
      </w:tr>
      <w:tr>
        <w:trPr/>
        <w:tc>
          <w:tcPr>
            <w:tcW w:w="19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compensation liabilities (3)</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2" w:type="dxa"/>
            <w:tcBorders/>
            <w:shd w:fill="FFFFFF" w:val="cle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0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3"/>
        <w:gridCol w:w="146"/>
        <w:gridCol w:w="286"/>
        <w:gridCol w:w="779"/>
        <w:gridCol w:w="166"/>
        <w:gridCol w:w="146"/>
        <w:gridCol w:w="574"/>
        <w:gridCol w:w="1555"/>
        <w:gridCol w:w="196"/>
        <w:gridCol w:w="172"/>
        <w:gridCol w:w="687"/>
        <w:gridCol w:w="1131"/>
        <w:gridCol w:w="172"/>
        <w:gridCol w:w="172"/>
        <w:gridCol w:w="686"/>
        <w:gridCol w:w="1126"/>
        <w:gridCol w:w="298"/>
      </w:tblGrid>
      <w:tr>
        <w:trPr/>
        <w:tc>
          <w:tcPr>
            <w:tcW w:w="1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9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7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vAlign w:val="center"/>
          </w:tcPr>
          <w:p>
            <w:pPr>
              <w:pStyle w:val="TableContents"/>
              <w:bidi w:val="0"/>
              <w:spacing w:before="0" w:after="283"/>
              <w:jc w:val="left"/>
              <w:rPr/>
            </w:pPr>
            <w:r>
              <w:rPr/>
              <w:t> </w:t>
            </w:r>
          </w:p>
        </w:tc>
        <w:tc>
          <w:tcPr>
            <w:tcW w:w="1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Money market funds (1)</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674.5</w:t>
            </w:r>
          </w:p>
        </w:tc>
        <w:tc>
          <w:tcPr>
            <w:tcW w:w="19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298" w:type="dxa"/>
            <w:tcBorders/>
            <w:shd w:fill="CFF0FC" w:val="clear"/>
            <w:vAlign w:val="center"/>
          </w:tcPr>
          <w:p>
            <w:pPr>
              <w:pStyle w:val="TableContents"/>
              <w:bidi w:val="0"/>
              <w:spacing w:before="0" w:after="283"/>
              <w:jc w:val="left"/>
              <w:rPr/>
            </w:pPr>
            <w:r>
              <w:rPr/>
              <w:t> </w:t>
            </w:r>
          </w:p>
        </w:tc>
      </w:tr>
      <w:tr>
        <w:trPr/>
        <w:tc>
          <w:tcPr>
            <w:tcW w:w="19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Seed capital investments (2)</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4" w:type="dxa"/>
            <w:tcBorders/>
            <w:shd w:fill="FFFFFF" w:val="clear"/>
            <w:vAlign w:val="center"/>
          </w:tcPr>
          <w:p>
            <w:pPr>
              <w:pStyle w:val="TableContents"/>
              <w:bidi w:val="0"/>
              <w:spacing w:before="0" w:after="283"/>
              <w:jc w:val="left"/>
              <w:rPr/>
            </w:pPr>
            <w:r>
              <w:rPr/>
              <w:t> </w:t>
            </w:r>
          </w:p>
        </w:tc>
        <w:tc>
          <w:tcPr>
            <w:tcW w:w="155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30.6</w:t>
            </w:r>
          </w:p>
        </w:tc>
        <w:tc>
          <w:tcPr>
            <w:tcW w:w="19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7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color w:val="000000"/>
              </w:rPr>
            </w:pPr>
            <w:r>
              <w:rPr>
                <w:color w:val="000000"/>
              </w:rPr>
              <w:t>—</w:t>
            </w:r>
          </w:p>
        </w:tc>
        <w:tc>
          <w:tcPr>
            <w:tcW w:w="298" w:type="dxa"/>
            <w:tcBorders/>
            <w:shd w:fill="FFFFFF" w:val="clear"/>
            <w:vAlign w:val="center"/>
          </w:tcPr>
          <w:p>
            <w:pPr>
              <w:pStyle w:val="TableContents"/>
              <w:bidi w:val="0"/>
              <w:spacing w:before="0" w:after="283"/>
              <w:jc w:val="left"/>
              <w:rPr/>
            </w:pPr>
            <w:r>
              <w:rPr/>
              <w:t> </w:t>
            </w:r>
          </w:p>
        </w:tc>
      </w:tr>
      <w:tr>
        <w:trPr/>
        <w:tc>
          <w:tcPr>
            <w:tcW w:w="19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Marketable equity securities (2)</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pPr>
            <w:r>
              <w:rPr/>
              <w:t> </w:t>
            </w:r>
          </w:p>
        </w:tc>
        <w:tc>
          <w:tcPr>
            <w:tcW w:w="77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left"/>
              <w:rPr/>
            </w:pPr>
            <w:r>
              <w:rPr/>
              <w:t> </w:t>
            </w:r>
          </w:p>
        </w:tc>
        <w:tc>
          <w:tcPr>
            <w:tcW w:w="155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w:t>
            </w:r>
          </w:p>
        </w:tc>
        <w:tc>
          <w:tcPr>
            <w:tcW w:w="19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left"/>
              <w:rPr/>
            </w:pPr>
            <w:r>
              <w:rPr/>
              <w:t> </w:t>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72"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6" w:type="dxa"/>
            <w:tcBorders/>
            <w:shd w:fill="CFF0FC" w:val="clear"/>
            <w:vAlign w:val="center"/>
          </w:tcPr>
          <w:p>
            <w:pPr>
              <w:pStyle w:val="TableContents"/>
              <w:bidi w:val="0"/>
              <w:spacing w:before="0" w:after="283"/>
              <w:jc w:val="left"/>
              <w:rPr/>
            </w:pPr>
            <w:r>
              <w:rPr/>
              <w:t> </w:t>
            </w:r>
          </w:p>
        </w:tc>
        <w:tc>
          <w:tcPr>
            <w:tcW w:w="1126" w:type="dxa"/>
            <w:tcBorders/>
            <w:shd w:fill="CFF0FC" w:val="clear"/>
            <w:vAlign w:val="center"/>
          </w:tcPr>
          <w:p>
            <w:pPr>
              <w:pStyle w:val="TableContents"/>
              <w:bidi w:val="0"/>
              <w:spacing w:before="0" w:after="283"/>
              <w:jc w:val="right"/>
              <w:rPr>
                <w:color w:val="000000"/>
              </w:rPr>
            </w:pPr>
            <w:r>
              <w:rPr>
                <w:color w:val="000000"/>
              </w:rPr>
              <w:t>—</w:t>
            </w:r>
          </w:p>
        </w:tc>
        <w:tc>
          <w:tcPr>
            <w:tcW w:w="298" w:type="dxa"/>
            <w:tcBorders/>
            <w:shd w:fill="CFF0FC" w:val="clear"/>
            <w:vAlign w:val="center"/>
          </w:tcPr>
          <w:p>
            <w:pPr>
              <w:pStyle w:val="TableContents"/>
              <w:bidi w:val="0"/>
              <w:spacing w:before="0" w:after="283"/>
              <w:jc w:val="left"/>
              <w:rPr/>
            </w:pPr>
            <w:r>
              <w:rPr/>
              <w:t> </w:t>
            </w:r>
          </w:p>
        </w:tc>
      </w:tr>
      <w:tr>
        <w:trPr/>
        <w:tc>
          <w:tcPr>
            <w:tcW w:w="191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compensation liabilities (3)</w:t>
            </w:r>
          </w:p>
        </w:tc>
        <w:tc>
          <w:tcPr>
            <w:tcW w:w="146" w:type="dxa"/>
            <w:tcBorders/>
            <w:shd w:fill="FFFFFF" w:val="cle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2" w:type="dxa"/>
            <w:tcBorders/>
            <w:shd w:fill="FFFFFF" w:val="cle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13"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1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t>_________________________________________________</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sz w:val="20"/>
        </w:rPr>
      </w:pPr>
      <w:r>
        <w:rPr>
          <w:rFonts w:ascii="Times New Roman" w:hAnsi="Times New Roman"/>
          <w:b w:val="false"/>
          <w:color w:val="000000"/>
          <w:sz w:val="20"/>
        </w:rPr>
        <w:t>Included in Cash and cash equivalents and Funds receivable and funds held on behalf of clients on the Condensed Consolidated Balance Sheet.</w:t>
      </w:r>
      <w:r>
        <w:rPr>
          <w:rFonts w:ascii="Times New Roman" w:hAnsi="Times New Roman"/>
          <w:color w:val="000000"/>
          <w:sz w:val="20"/>
        </w:rPr>
        <w:t xml:space="preserve">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Included in Investments on the Condensed Consolidated Balance Sheet. </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xml:space="preserve">Included in Other long-term liabilities on the Condensed Consolidated Balance Sheet. </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We have partnership interests in various private equity funds that are not included in the tables above. Our investments in private equity funds were $11.6</w:t>
      </w:r>
      <w:r>
        <w:rPr>
          <w:rFonts w:ascii="Times New Roman" w:hAnsi="Times New Roman"/>
          <w:color w:val="000000"/>
          <w:sz w:val="20"/>
        </w:rPr>
        <w:t xml:space="preserve"> </w:t>
      </w:r>
      <w:r>
        <w:rPr>
          <w:rFonts w:ascii="Times New Roman" w:hAnsi="Times New Roman"/>
          <w:b w:val="false"/>
          <w:color w:val="000000"/>
          <w:sz w:val="20"/>
        </w:rPr>
        <w:t>million and $15.0</w:t>
      </w:r>
      <w:r>
        <w:rPr>
          <w:rFonts w:ascii="Times New Roman" w:hAnsi="Times New Roman"/>
          <w:color w:val="000000"/>
          <w:sz w:val="20"/>
        </w:rPr>
        <w:t xml:space="preserve"> </w:t>
      </w:r>
      <w:r>
        <w:rPr>
          <w:rFonts w:ascii="Times New Roman" w:hAnsi="Times New Roman"/>
          <w:b w:val="false"/>
          <w:color w:val="000000"/>
          <w:sz w:val="20"/>
        </w:rPr>
        <w:t>million at September 30, 2023 and December 31, 2022, respectively, of which $9.2</w:t>
      </w:r>
      <w:r>
        <w:rPr>
          <w:rFonts w:ascii="Times New Roman" w:hAnsi="Times New Roman"/>
          <w:color w:val="000000"/>
          <w:sz w:val="20"/>
        </w:rPr>
        <w:t xml:space="preserve"> </w:t>
      </w:r>
      <w:r>
        <w:rPr>
          <w:rFonts w:ascii="Times New Roman" w:hAnsi="Times New Roman"/>
          <w:b w:val="false"/>
          <w:color w:val="000000"/>
          <w:sz w:val="20"/>
        </w:rPr>
        <w:t>million and $10.8</w:t>
      </w:r>
      <w:r>
        <w:rPr>
          <w:rFonts w:ascii="Times New Roman" w:hAnsi="Times New Roman"/>
          <w:color w:val="000000"/>
          <w:sz w:val="20"/>
        </w:rPr>
        <w:t xml:space="preserve"> </w:t>
      </w:r>
      <w:r>
        <w:rPr>
          <w:rFonts w:ascii="Times New Roman" w:hAnsi="Times New Roman"/>
          <w:b w:val="false"/>
          <w:color w:val="000000"/>
          <w:sz w:val="20"/>
        </w:rPr>
        <w:t>million, respectively, were measured using net asset value as a practical expedient for fair value and $2.4</w:t>
      </w:r>
      <w:r>
        <w:rPr>
          <w:rFonts w:ascii="Times New Roman" w:hAnsi="Times New Roman"/>
          <w:color w:val="000000"/>
          <w:sz w:val="20"/>
        </w:rPr>
        <w:t xml:space="preserve"> </w:t>
      </w:r>
      <w:r>
        <w:rPr>
          <w:rFonts w:ascii="Times New Roman" w:hAnsi="Times New Roman"/>
          <w:b w:val="false"/>
          <w:color w:val="000000"/>
          <w:sz w:val="20"/>
        </w:rPr>
        <w:t>million and $4.2</w:t>
      </w:r>
      <w:r>
        <w:rPr>
          <w:rFonts w:ascii="Times New Roman" w:hAnsi="Times New Roman"/>
          <w:color w:val="000000"/>
          <w:sz w:val="20"/>
        </w:rPr>
        <w:t xml:space="preserve"> </w:t>
      </w:r>
      <w:r>
        <w:rPr>
          <w:rFonts w:ascii="Times New Roman" w:hAnsi="Times New Roman"/>
          <w:b w:val="false"/>
          <w:color w:val="000000"/>
          <w:sz w:val="20"/>
        </w:rPr>
        <w:t>million, respectively, were accounted for under the equity method of accounting. The investments in private equity funds represent underlying investments in domestic and international markets across various industry sectors.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add new investment products such as mutual funds and exchange traded funds, through our subsidiary, ALPS Advisors, from time to time by providing the initial cash investments as seed capital. We consolidate seed capital investments when our ownership percentage exceeds 50%. Shares in those investments not owned by us are reflected as a redeemable noncontrolling interest on the condensed consolidated balance sheet.</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4—Unconsolidated Affiliates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Investments in unconsolidated affiliates are as follows (in millions):</w:t>
      </w:r>
    </w:p>
    <w:tbl>
      <w:tblPr>
        <w:tblW w:w="10205" w:type="dxa"/>
        <w:jc w:val="left"/>
        <w:tblInd w:w="0" w:type="dxa"/>
        <w:tblLayout w:type="fixed"/>
        <w:tblCellMar>
          <w:top w:w="28" w:type="dxa"/>
          <w:left w:w="28" w:type="dxa"/>
          <w:bottom w:w="28" w:type="dxa"/>
          <w:right w:w="28" w:type="dxa"/>
        </w:tblCellMar>
      </w:tblPr>
      <w:tblGrid>
        <w:gridCol w:w="1866"/>
        <w:gridCol w:w="146"/>
        <w:gridCol w:w="1085"/>
        <w:gridCol w:w="146"/>
        <w:gridCol w:w="236"/>
        <w:gridCol w:w="640"/>
        <w:gridCol w:w="146"/>
        <w:gridCol w:w="146"/>
        <w:gridCol w:w="543"/>
        <w:gridCol w:w="1476"/>
        <w:gridCol w:w="146"/>
        <w:gridCol w:w="146"/>
        <w:gridCol w:w="236"/>
        <w:gridCol w:w="640"/>
        <w:gridCol w:w="146"/>
        <w:gridCol w:w="146"/>
        <w:gridCol w:w="543"/>
        <w:gridCol w:w="1476"/>
        <w:gridCol w:w="296"/>
      </w:tblGrid>
      <w:tr>
        <w:trPr/>
        <w:tc>
          <w:tcPr>
            <w:tcW w:w="1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 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Orbit Private Investments L.P.</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9.8%</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6" w:type="dxa"/>
            <w:tcBorders/>
            <w:shd w:fill="CFF0FC" w:val="clear"/>
            <w:vAlign w:val="center"/>
          </w:tcPr>
          <w:p>
            <w:pPr>
              <w:pStyle w:val="TableContents"/>
              <w:bidi w:val="0"/>
              <w:spacing w:before="0" w:after="283"/>
              <w:jc w:val="right"/>
              <w:rPr>
                <w:color w:val="000000"/>
              </w:rPr>
            </w:pPr>
            <w:r>
              <w:rPr>
                <w:color w:val="000000"/>
              </w:rPr>
              <w:t>—</w:t>
            </w:r>
          </w:p>
        </w:tc>
        <w:tc>
          <w:tcPr>
            <w:tcW w:w="296" w:type="dxa"/>
            <w:tcBorders/>
            <w:shd w:fill="CFF0FC" w:val="clear"/>
            <w:vAlign w:val="center"/>
          </w:tcPr>
          <w:p>
            <w:pPr>
              <w:pStyle w:val="TableContents"/>
              <w:bidi w:val="0"/>
              <w:spacing w:before="0" w:after="283"/>
              <w:jc w:val="left"/>
              <w:rPr/>
            </w:pPr>
            <w:r>
              <w:rPr/>
              <w:t> </w:t>
            </w:r>
          </w:p>
        </w:tc>
      </w:tr>
      <w:tr>
        <w:trPr/>
        <w:tc>
          <w:tcPr>
            <w:tcW w:w="18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International Financial Data Services L.P.</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50.0%</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w:t>
            </w:r>
          </w:p>
        </w:tc>
        <w:tc>
          <w:tcPr>
            <w:tcW w:w="296" w:type="dxa"/>
            <w:tcBorders/>
            <w:shd w:fill="FFFFFF" w:val="clear"/>
            <w:vAlign w:val="center"/>
          </w:tcPr>
          <w:p>
            <w:pPr>
              <w:pStyle w:val="TableContents"/>
              <w:bidi w:val="0"/>
              <w:spacing w:before="0" w:after="283"/>
              <w:jc w:val="left"/>
              <w:rPr/>
            </w:pPr>
            <w:r>
              <w:rPr/>
              <w:t> </w:t>
            </w:r>
          </w:p>
        </w:tc>
      </w:tr>
      <w:tr>
        <w:trPr/>
        <w:tc>
          <w:tcPr>
            <w:tcW w:w="1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Pershing Road Development Company, LLC</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50.0%</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left"/>
              <w:rPr/>
            </w:pPr>
            <w:r>
              <w:rPr/>
              <w:t> </w:t>
            </w:r>
          </w:p>
        </w:tc>
        <w:tc>
          <w:tcPr>
            <w:tcW w:w="14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64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shd w:fill="CFF0FC" w:val="clear"/>
            <w:vAlign w:val="center"/>
          </w:tcPr>
          <w:p>
            <w:pPr>
              <w:pStyle w:val="TableContents"/>
              <w:bidi w:val="0"/>
              <w:spacing w:before="0" w:after="283"/>
              <w:jc w:val="left"/>
              <w:rPr/>
            </w:pPr>
            <w:r>
              <w:rPr/>
              <w:t> </w:t>
            </w:r>
          </w:p>
        </w:tc>
        <w:tc>
          <w:tcPr>
            <w:tcW w:w="14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57.9</w:t>
            </w:r>
          </w:p>
        </w:tc>
        <w:tc>
          <w:tcPr>
            <w:tcW w:w="296" w:type="dxa"/>
            <w:tcBorders/>
            <w:shd w:fill="CFF0FC" w:val="clear"/>
            <w:vAlign w:val="center"/>
          </w:tcPr>
          <w:p>
            <w:pPr>
              <w:pStyle w:val="TableContents"/>
              <w:bidi w:val="0"/>
              <w:spacing w:before="0" w:after="283"/>
              <w:jc w:val="left"/>
              <w:rPr/>
            </w:pPr>
            <w:r>
              <w:rPr/>
              <w:t> </w:t>
            </w:r>
          </w:p>
        </w:tc>
      </w:tr>
      <w:tr>
        <w:trPr/>
        <w:tc>
          <w:tcPr>
            <w:tcW w:w="18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Broadway Square Partners, LLP</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50.0%</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14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w:t>
            </w:r>
          </w:p>
        </w:tc>
        <w:tc>
          <w:tcPr>
            <w:tcW w:w="296" w:type="dxa"/>
            <w:tcBorders/>
            <w:shd w:fill="FFFFFF" w:val="clear"/>
            <w:vAlign w:val="center"/>
          </w:tcPr>
          <w:p>
            <w:pPr>
              <w:pStyle w:val="TableContents"/>
              <w:bidi w:val="0"/>
              <w:spacing w:before="0" w:after="283"/>
              <w:jc w:val="left"/>
              <w:rPr/>
            </w:pPr>
            <w:r>
              <w:rPr/>
              <w:t> </w:t>
            </w:r>
          </w:p>
        </w:tc>
      </w:tr>
      <w:tr>
        <w:trPr/>
        <w:tc>
          <w:tcPr>
            <w:tcW w:w="18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unconsolidated affiliates</w:t>
            </w:r>
          </w:p>
        </w:tc>
        <w:tc>
          <w:tcPr>
            <w:tcW w:w="146"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123.0</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Condensed Consolidated Statements of Comprehensive Income (Loss).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Equity in earnings of unconsolidated affiliates, net are as follows (in millions):</w:t>
      </w:r>
    </w:p>
    <w:p>
      <w:pPr>
        <w:pStyle w:val="TextBody"/>
        <w:bidi w:val="0"/>
        <w:jc w:val="left"/>
        <w:rPr/>
      </w:pPr>
      <w:r>
        <w:rPr/>
        <w:t> </w:t>
      </w:r>
    </w:p>
    <w:tbl>
      <w:tblPr>
        <w:tblW w:w="9795" w:type="dxa"/>
        <w:jc w:val="left"/>
        <w:tblInd w:w="0" w:type="dxa"/>
        <w:tblLayout w:type="fixed"/>
        <w:tblCellMar>
          <w:top w:w="28" w:type="dxa"/>
          <w:left w:w="28" w:type="dxa"/>
          <w:bottom w:w="28" w:type="dxa"/>
          <w:right w:w="28" w:type="dxa"/>
        </w:tblCellMar>
      </w:tblPr>
      <w:tblGrid>
        <w:gridCol w:w="3751"/>
        <w:gridCol w:w="146"/>
        <w:gridCol w:w="349"/>
        <w:gridCol w:w="772"/>
        <w:gridCol w:w="275"/>
        <w:gridCol w:w="241"/>
        <w:gridCol w:w="349"/>
        <w:gridCol w:w="697"/>
        <w:gridCol w:w="166"/>
        <w:gridCol w:w="146"/>
        <w:gridCol w:w="337"/>
        <w:gridCol w:w="746"/>
        <w:gridCol w:w="265"/>
        <w:gridCol w:w="233"/>
        <w:gridCol w:w="337"/>
        <w:gridCol w:w="674"/>
        <w:gridCol w:w="31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center"/>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 w:type="dxa"/>
            <w:tcBorders/>
            <w:shd w:fill="FFFFFF" w:val="clear"/>
            <w:vAlign w:val="center"/>
          </w:tcPr>
          <w:p>
            <w:pPr>
              <w:pStyle w:val="TableContents"/>
              <w:bidi w:val="0"/>
              <w:spacing w:before="0" w:after="283"/>
              <w:jc w:val="left"/>
              <w:rPr/>
            </w:pPr>
            <w:r>
              <w:rPr/>
              <w:t> </w:t>
            </w:r>
          </w:p>
        </w:tc>
        <w:tc>
          <w:tcPr>
            <w:tcW w:w="10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Orbit Private Investments L.P.</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w:t>
            </w:r>
          </w:p>
        </w:tc>
        <w:tc>
          <w:tcPr>
            <w:tcW w:w="275"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38.8</w:t>
            </w:r>
          </w:p>
        </w:tc>
        <w:tc>
          <w:tcPr>
            <w:tcW w:w="265"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4"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jc w:val="left"/>
              <w:rPr/>
            </w:pPr>
            <w:r>
              <w:rPr/>
              <w:t> </w:t>
            </w:r>
          </w:p>
        </w:tc>
      </w:tr>
      <w:tr>
        <w:trPr/>
        <w:tc>
          <w:tcPr>
            <w:tcW w:w="37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International Financial Data Services L.P.</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w:t>
            </w:r>
          </w:p>
        </w:tc>
        <w:tc>
          <w:tcPr>
            <w:tcW w:w="27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265"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311" w:type="dxa"/>
            <w:tcBorders/>
            <w:shd w:fill="FFFFFF" w:val="clear"/>
            <w:vAlign w:val="center"/>
          </w:tcPr>
          <w:p>
            <w:pPr>
              <w:pStyle w:val="TableContents"/>
              <w:bidi w:val="0"/>
              <w:spacing w:before="0" w:after="283"/>
              <w:jc w:val="left"/>
              <w:rPr/>
            </w:pPr>
            <w:r>
              <w:rPr/>
              <w:t> </w:t>
            </w:r>
          </w:p>
        </w:tc>
      </w:tr>
      <w:tr>
        <w:trPr/>
        <w:tc>
          <w:tcPr>
            <w:tcW w:w="37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Pershing Road Development Company, LLC</w:t>
            </w:r>
          </w:p>
        </w:tc>
        <w:tc>
          <w:tcPr>
            <w:tcW w:w="146"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75"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pPr>
            <w:r>
              <w:rPr/>
              <w:t> </w:t>
            </w:r>
          </w:p>
        </w:tc>
        <w:tc>
          <w:tcPr>
            <w:tcW w:w="6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74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26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3"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67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3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7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Broadway Square Partners, LLP</w:t>
            </w:r>
          </w:p>
        </w:tc>
        <w:tc>
          <w:tcPr>
            <w:tcW w:w="146"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color w:val="000000"/>
              </w:rPr>
            </w:pPr>
            <w:r>
              <w:rPr>
                <w:color w:val="000000"/>
              </w:rPr>
              <w:t>—</w:t>
            </w:r>
          </w:p>
        </w:tc>
        <w:tc>
          <w:tcPr>
            <w:tcW w:w="27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49"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color w:val="000000"/>
              </w:rPr>
            </w:pPr>
            <w:r>
              <w:rPr>
                <w:color w:val="000000"/>
              </w:rPr>
              <w:t>—</w:t>
            </w:r>
          </w:p>
        </w:tc>
        <w:tc>
          <w:tcPr>
            <w:tcW w:w="265"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67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w:t>
            </w:r>
          </w:p>
        </w:tc>
        <w:tc>
          <w:tcPr>
            <w:tcW w:w="311" w:type="dxa"/>
            <w:tcBorders/>
            <w:shd w:fill="FFFFFF" w:val="clear"/>
            <w:vAlign w:val="center"/>
          </w:tcPr>
          <w:p>
            <w:pPr>
              <w:pStyle w:val="TableContents"/>
              <w:bidi w:val="0"/>
              <w:spacing w:before="0" w:after="283"/>
              <w:jc w:val="left"/>
              <w:rPr/>
            </w:pPr>
            <w:r>
              <w:rPr/>
              <w:t> </w:t>
            </w:r>
          </w:p>
        </w:tc>
      </w:tr>
      <w:tr>
        <w:trPr/>
        <w:tc>
          <w:tcPr>
            <w:tcW w:w="37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unconsolidated affiliates</w:t>
            </w:r>
          </w:p>
        </w:tc>
        <w:tc>
          <w:tcPr>
            <w:tcW w:w="146" w:type="dxa"/>
            <w:tcBorders/>
            <w:shd w:fill="CFF0FC" w:val="cle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41" w:type="dxa"/>
            <w:tcBorders/>
            <w:shd w:fill="CFF0FC" w:val="cle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75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27.5</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5—Acquisitions</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xml:space="preserve">The following unaudited pro forma information is provided for illustrative purposes only and assumes that the acquisitions of Blue Prism Group plc (“Blue Prism”), Hubwise Holdings Limited (“Hubwise”), 5 M’s Minerals Management, LLC (“MineralWare”), the sell-side Tier1 customer relationship management business (“Tier1”) and Complete Financial Ops, Inc. (“CFO”) occurred on January 1, 2021,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acquisitions had actually occurred on those dates, nor of the results that may be obtained in the future. </w:t>
      </w:r>
    </w:p>
    <w:p>
      <w:pPr>
        <w:pStyle w:val="TextBody"/>
        <w:bidi w:val="0"/>
        <w:jc w:val="left"/>
        <w:rPr/>
      </w:pPr>
      <w:r>
        <w:rPr/>
        <w:t> </w:t>
      </w:r>
    </w:p>
    <w:tbl>
      <w:tblPr>
        <w:tblW w:w="6956" w:type="dxa"/>
        <w:jc w:val="left"/>
        <w:tblInd w:w="0" w:type="dxa"/>
        <w:tblLayout w:type="fixed"/>
        <w:tblCellMar>
          <w:top w:w="28" w:type="dxa"/>
          <w:left w:w="28" w:type="dxa"/>
          <w:bottom w:w="28" w:type="dxa"/>
          <w:right w:w="28" w:type="dxa"/>
        </w:tblCellMar>
      </w:tblPr>
      <w:tblGrid>
        <w:gridCol w:w="1051"/>
        <w:gridCol w:w="146"/>
        <w:gridCol w:w="262"/>
        <w:gridCol w:w="898"/>
        <w:gridCol w:w="181"/>
        <w:gridCol w:w="181"/>
        <w:gridCol w:w="262"/>
        <w:gridCol w:w="898"/>
        <w:gridCol w:w="146"/>
        <w:gridCol w:w="146"/>
        <w:gridCol w:w="254"/>
        <w:gridCol w:w="868"/>
        <w:gridCol w:w="175"/>
        <w:gridCol w:w="175"/>
        <w:gridCol w:w="254"/>
        <w:gridCol w:w="868"/>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center"/>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Revenues</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1,365.9</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right"/>
              <w:rPr/>
            </w:pPr>
            <w:r>
              <w:rPr/>
              <w:t> </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4,091.2</w:t>
            </w:r>
          </w:p>
        </w:tc>
        <w:tc>
          <w:tcPr>
            <w:tcW w:w="175"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righ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4,013.3</w:t>
            </w:r>
          </w:p>
        </w:tc>
        <w:tc>
          <w:tcPr>
            <w:tcW w:w="191" w:type="dxa"/>
            <w:tcBorders/>
            <w:shd w:fill="CFF0FC" w:val="clear"/>
            <w:vAlign w:val="center"/>
          </w:tcPr>
          <w:p>
            <w:pPr>
              <w:pStyle w:val="TableContents"/>
              <w:bidi w:val="0"/>
              <w:spacing w:before="0" w:after="283"/>
              <w:jc w:val="left"/>
              <w:rPr/>
            </w:pPr>
            <w:r>
              <w:rPr/>
              <w:t> </w:t>
            </w:r>
          </w:p>
        </w:tc>
      </w:tr>
      <w:tr>
        <w:trPr/>
        <w:tc>
          <w:tcPr>
            <w:tcW w:w="10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156.0</w:t>
            </w:r>
          </w:p>
        </w:tc>
        <w:tc>
          <w:tcPr>
            <w:tcW w:w="18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right"/>
              <w:rPr/>
            </w:pPr>
            <w:r>
              <w:rPr/>
              <w:t> </w:t>
            </w:r>
          </w:p>
        </w:tc>
        <w:tc>
          <w:tcPr>
            <w:tcW w:w="26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412.4</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right"/>
              <w:rPr/>
            </w:pPr>
            <w:r>
              <w:rPr/>
              <w:t> </w:t>
            </w:r>
          </w:p>
        </w:tc>
        <w:tc>
          <w:tcPr>
            <w:tcW w:w="25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425.8</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During the nine months ended September 30, 2023 and 2022, we recorded severance expense related to personnel reductions in several of our financial services and healthcare businesses. The amount of severance expense recognized in our Condensed Consolidated Statements of Comprehensive Income (Loss) for the nine months ended September 30, 2023 and 2022 was as follows (in millions):</w:t>
      </w:r>
    </w:p>
    <w:tbl>
      <w:tblPr>
        <w:tblW w:w="8555" w:type="dxa"/>
        <w:jc w:val="left"/>
        <w:tblInd w:w="0" w:type="dxa"/>
        <w:tblLayout w:type="fixed"/>
        <w:tblCellMar>
          <w:top w:w="28" w:type="dxa"/>
          <w:left w:w="28" w:type="dxa"/>
          <w:bottom w:w="28" w:type="dxa"/>
          <w:right w:w="28" w:type="dxa"/>
        </w:tblCellMar>
      </w:tblPr>
      <w:tblGrid>
        <w:gridCol w:w="5326"/>
        <w:gridCol w:w="146"/>
        <w:gridCol w:w="332"/>
        <w:gridCol w:w="734"/>
        <w:gridCol w:w="230"/>
        <w:gridCol w:w="230"/>
        <w:gridCol w:w="332"/>
        <w:gridCol w:w="734"/>
        <w:gridCol w:w="491"/>
      </w:tblGrid>
      <w:tr>
        <w:trPr/>
        <w:tc>
          <w:tcPr>
            <w:tcW w:w="5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3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Statements of Comprehensive Income (Loss)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lef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software-enabled services</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w:t>
            </w:r>
          </w:p>
        </w:tc>
        <w:tc>
          <w:tcPr>
            <w:tcW w:w="230"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491"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license, maintenance and other related</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326"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cost of revenues</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and marketing</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23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491" w:type="dxa"/>
            <w:tcBorders/>
            <w:shd w:fill="FFFFFF" w:val="clear"/>
            <w:vAlign w:val="center"/>
          </w:tcPr>
          <w:p>
            <w:pPr>
              <w:pStyle w:val="TableContents"/>
              <w:bidi w:val="0"/>
              <w:spacing w:before="0" w:after="283"/>
              <w:jc w:val="left"/>
              <w:rPr/>
            </w:pPr>
            <w:r>
              <w:rPr/>
              <w:t> </w:t>
            </w:r>
          </w:p>
        </w:tc>
      </w:tr>
      <w:tr>
        <w:trPr/>
        <w:tc>
          <w:tcPr>
            <w:tcW w:w="53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w:t>
            </w:r>
          </w:p>
        </w:tc>
        <w:tc>
          <w:tcPr>
            <w:tcW w:w="230"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491" w:type="dxa"/>
            <w:tcBorders/>
            <w:shd w:fill="CFF0FC" w:val="cle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326"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 severance expense</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6—Goodwill</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change in carrying value of goodwill as of and for the nine months ended September 30, 2023 is as follows (in millions):</w:t>
      </w:r>
    </w:p>
    <w:tbl>
      <w:tblPr>
        <w:tblW w:w="4595" w:type="dxa"/>
        <w:jc w:val="left"/>
        <w:tblInd w:w="0" w:type="dxa"/>
        <w:tblLayout w:type="fixed"/>
        <w:tblCellMar>
          <w:top w:w="28" w:type="dxa"/>
          <w:left w:w="28" w:type="dxa"/>
          <w:bottom w:w="28" w:type="dxa"/>
          <w:right w:w="28" w:type="dxa"/>
        </w:tblCellMar>
      </w:tblPr>
      <w:tblGrid>
        <w:gridCol w:w="3206"/>
        <w:gridCol w:w="146"/>
        <w:gridCol w:w="211"/>
        <w:gridCol w:w="721"/>
        <w:gridCol w:w="31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206"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right"/>
              <w:rPr/>
            </w:pPr>
            <w:r>
              <w:rPr/>
              <w:t> </w:t>
            </w:r>
          </w:p>
        </w:tc>
      </w:tr>
      <w:tr>
        <w:trPr/>
        <w:tc>
          <w:tcPr>
            <w:tcW w:w="32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December 31, 2022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8,863.0</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20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Adjustments to prior acquisitions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311"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320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Effect of foreign currency translation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20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Balance at September 30, 2023</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8,854.9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7—Debt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At September 30, 2023 and December 31, 2022, debt consisted of the following (in millions):</w:t>
      </w:r>
    </w:p>
    <w:tbl>
      <w:tblPr>
        <w:tblW w:w="10205" w:type="dxa"/>
        <w:jc w:val="left"/>
        <w:tblInd w:w="0" w:type="dxa"/>
        <w:tblLayout w:type="fixed"/>
        <w:tblCellMar>
          <w:top w:w="28" w:type="dxa"/>
          <w:left w:w="28" w:type="dxa"/>
          <w:bottom w:w="28" w:type="dxa"/>
          <w:right w:w="28" w:type="dxa"/>
        </w:tblCellMar>
      </w:tblPr>
      <w:tblGrid>
        <w:gridCol w:w="7097"/>
        <w:gridCol w:w="146"/>
        <w:gridCol w:w="252"/>
        <w:gridCol w:w="863"/>
        <w:gridCol w:w="166"/>
        <w:gridCol w:w="146"/>
        <w:gridCol w:w="243"/>
        <w:gridCol w:w="832"/>
        <w:gridCol w:w="166"/>
        <w:gridCol w:w="294"/>
      </w:tblGrid>
      <w:tr>
        <w:trPr/>
        <w:tc>
          <w:tcPr>
            <w:tcW w:w="7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0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70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70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secured credit facilities, weighted-average interest rate of 7.31% and 5.00%, respectively</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4,830.1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5,129.1</w:t>
            </w:r>
          </w:p>
        </w:tc>
        <w:tc>
          <w:tcPr>
            <w:tcW w:w="16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r>
      <w:tr>
        <w:trPr/>
        <w:tc>
          <w:tcPr>
            <w:tcW w:w="70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5.5% senior notes due 2027</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2,000.0</w:t>
            </w:r>
          </w:p>
        </w:tc>
        <w:tc>
          <w:tcPr>
            <w:tcW w:w="16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70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Senior secured credit facilities revolving portion, weighted-average interest rate of 8.75%</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86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32"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jc w:val="left"/>
              <w:rPr/>
            </w:pPr>
            <w:r>
              <w:rPr/>
              <w:t> </w:t>
            </w:r>
          </w:p>
        </w:tc>
      </w:tr>
      <w:tr>
        <w:trPr/>
        <w:tc>
          <w:tcPr>
            <w:tcW w:w="70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indebtedness</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16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70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Unamortized original issue discount and debt issuance costs</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4" w:type="dxa"/>
            <w:tcBorders/>
            <w:shd w:fill="CFF0FC" w:val="clear"/>
            <w:vAlign w:val="center"/>
          </w:tcPr>
          <w:p>
            <w:pPr>
              <w:pStyle w:val="TableContents"/>
              <w:bidi w:val="0"/>
              <w:spacing w:before="0" w:after="283"/>
              <w:jc w:val="left"/>
              <w:rPr/>
            </w:pPr>
            <w:r>
              <w:rPr/>
              <w:t> </w:t>
            </w:r>
          </w:p>
        </w:tc>
      </w:tr>
      <w:tr>
        <w:trPr/>
        <w:tc>
          <w:tcPr>
            <w:tcW w:w="70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6,866.0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7,079.6</w:t>
            </w:r>
          </w:p>
        </w:tc>
        <w:tc>
          <w:tcPr>
            <w:tcW w:w="16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r>
      <w:tr>
        <w:trPr/>
        <w:tc>
          <w:tcPr>
            <w:tcW w:w="70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Less: current portion of long-term debt</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shd w:fill="CFF0FC" w:val="clear"/>
            <w:vAlign w:val="center"/>
          </w:tcPr>
          <w:p>
            <w:pPr>
              <w:pStyle w:val="TableContents"/>
              <w:bidi w:val="0"/>
              <w:spacing w:before="0" w:after="283"/>
              <w:ind w:left="0" w:right="0" w:firstLine="100"/>
              <w:jc w:val="left"/>
              <w:rPr/>
            </w:pPr>
            <w:r>
              <w:rPr/>
              <w:t> </w:t>
            </w:r>
          </w:p>
        </w:tc>
      </w:tr>
      <w:tr>
        <w:trPr/>
        <w:tc>
          <w:tcPr>
            <w:tcW w:w="7097"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Long-term debt</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7,023.9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The table below provides a summary of the key terms of our Senior Secured Credit Facilities and Senior Notes:</w:t>
      </w:r>
    </w:p>
    <w:tbl>
      <w:tblPr>
        <w:tblW w:w="8507" w:type="dxa"/>
        <w:jc w:val="left"/>
        <w:tblInd w:w="0" w:type="dxa"/>
        <w:tblLayout w:type="fixed"/>
        <w:tblCellMar>
          <w:top w:w="28" w:type="dxa"/>
          <w:left w:w="28" w:type="dxa"/>
          <w:bottom w:w="28" w:type="dxa"/>
          <w:right w:w="28" w:type="dxa"/>
        </w:tblCellMar>
      </w:tblPr>
      <w:tblGrid>
        <w:gridCol w:w="2806"/>
        <w:gridCol w:w="146"/>
        <w:gridCol w:w="392"/>
        <w:gridCol w:w="1348"/>
        <w:gridCol w:w="146"/>
        <w:gridCol w:w="146"/>
        <w:gridCol w:w="1726"/>
        <w:gridCol w:w="146"/>
        <w:gridCol w:w="165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September 30,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vAlign w:val="center"/>
          </w:tcPr>
          <w:p>
            <w:pPr>
              <w:pStyle w:val="TableContents"/>
              <w:bidi w:val="0"/>
              <w:spacing w:before="0" w:after="283"/>
              <w:jc w:val="center"/>
              <w:rPr/>
            </w:pPr>
            <w:r>
              <w:rPr/>
              <w:t> </w:t>
            </w:r>
          </w:p>
        </w:tc>
        <w:tc>
          <w:tcPr>
            <w:tcW w:w="165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r>
      <w:tr>
        <w:trPr/>
        <w:tc>
          <w:tcPr>
            <w:tcW w:w="280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Senior Secured Credit Facilities</w:t>
            </w:r>
          </w:p>
        </w:tc>
        <w:tc>
          <w:tcPr>
            <w:tcW w:w="146" w:type="dxa"/>
            <w:tcBorders/>
            <w:shd w:fill="FFFFFF" w:val="clear"/>
            <w:vAlign w:val="center"/>
          </w:tcPr>
          <w:p>
            <w:pPr>
              <w:pStyle w:val="TableContents"/>
              <w:bidi w:val="0"/>
              <w:spacing w:before="0" w:after="283"/>
              <w:jc w:val="left"/>
              <w:rPr/>
            </w:pPr>
            <w:r>
              <w:rPr/>
              <w:t> </w:t>
            </w:r>
          </w:p>
        </w:tc>
        <w:tc>
          <w:tcPr>
            <w:tcW w:w="17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ind w:left="0" w:right="0" w:firstLine="200"/>
              <w:jc w:val="right"/>
              <w:rPr/>
            </w:pPr>
            <w:r>
              <w:rPr/>
              <w:t> </w:t>
            </w:r>
          </w:p>
        </w:tc>
      </w:tr>
      <w:tr>
        <w:trPr/>
        <w:tc>
          <w:tcPr>
            <w:tcW w:w="28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Loan B-3</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April 16, 2025</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0.25%</w:t>
            </w:r>
          </w:p>
        </w:tc>
      </w:tr>
      <w:tr>
        <w:trPr/>
        <w:tc>
          <w:tcPr>
            <w:tcW w:w="28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Loan B-4</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April 16, 2025</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0.25%</w:t>
            </w:r>
          </w:p>
        </w:tc>
      </w:tr>
      <w:tr>
        <w:trPr/>
        <w:tc>
          <w:tcPr>
            <w:tcW w:w="28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Loan B-5</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April 16, 2025</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0.25%</w:t>
            </w:r>
          </w:p>
        </w:tc>
      </w:tr>
      <w:tr>
        <w:trPr/>
        <w:tc>
          <w:tcPr>
            <w:tcW w:w="28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Loan B-6</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March 22, 2029</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0.25%</w:t>
            </w:r>
          </w:p>
        </w:tc>
      </w:tr>
      <w:tr>
        <w:trPr/>
        <w:tc>
          <w:tcPr>
            <w:tcW w:w="28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Loan B-7</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March 22, 2029</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0.25%</w:t>
            </w:r>
          </w:p>
        </w:tc>
      </w:tr>
      <w:tr>
        <w:trPr/>
        <w:tc>
          <w:tcPr>
            <w:tcW w:w="28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December 28, 2027</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None</w:t>
            </w:r>
          </w:p>
        </w:tc>
      </w:tr>
      <w:tr>
        <w:trPr/>
        <w:tc>
          <w:tcPr>
            <w:tcW w:w="280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Senior Notes</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 2027</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None</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June 2023, we entered into an amendment (the “Amendment”) to our senior secured credit agreement. Pursuant to the Amendment, the interest rate provisions for Term B-3 Loans, Term B-4 Loans and Term B-5 Loans were amended to, at our option, either (a)</w:t>
      </w:r>
      <w:r>
        <w:rPr>
          <w:rFonts w:ascii="Times New Roman" w:hAnsi="Times New Roman"/>
          <w:color w:val="000000"/>
          <w:sz w:val="20"/>
        </w:rPr>
        <w:t xml:space="preserve"> </w:t>
      </w:r>
      <w:r>
        <w:rPr>
          <w:rFonts w:ascii="Times New Roman" w:hAnsi="Times New Roman"/>
          <w:b w:val="false"/>
          <w:color w:val="000000"/>
          <w:sz w:val="20"/>
        </w:rPr>
        <w:t>the Base Rate, plus 0.75% per annum or the (b) Adjusted Term SOFR, which includes a credit spread adjustment set forth in the Credit Agreement of 0.11448%, 0.26161%, or 0.42826% for loans of interest periods of one, three, or six months, respectively, plus 1.75% per annum.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Fair Value of Debt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carrying amounts and fair values of financial instruments are as follows (in millions):</w:t>
      </w:r>
    </w:p>
    <w:tbl>
      <w:tblPr>
        <w:tblW w:w="9437" w:type="dxa"/>
        <w:jc w:val="left"/>
        <w:tblInd w:w="0" w:type="dxa"/>
        <w:tblLayout w:type="fixed"/>
        <w:tblCellMar>
          <w:top w:w="28" w:type="dxa"/>
          <w:left w:w="28" w:type="dxa"/>
          <w:bottom w:w="28" w:type="dxa"/>
          <w:right w:w="28" w:type="dxa"/>
        </w:tblCellMar>
      </w:tblPr>
      <w:tblGrid>
        <w:gridCol w:w="4296"/>
        <w:gridCol w:w="146"/>
        <w:gridCol w:w="211"/>
        <w:gridCol w:w="721"/>
        <w:gridCol w:w="146"/>
        <w:gridCol w:w="146"/>
        <w:gridCol w:w="211"/>
        <w:gridCol w:w="721"/>
        <w:gridCol w:w="146"/>
        <w:gridCol w:w="146"/>
        <w:gridCol w:w="211"/>
        <w:gridCol w:w="721"/>
        <w:gridCol w:w="146"/>
        <w:gridCol w:w="146"/>
        <w:gridCol w:w="211"/>
        <w:gridCol w:w="721"/>
        <w:gridCol w:w="391"/>
      </w:tblGrid>
      <w:tr>
        <w:trPr/>
        <w:tc>
          <w:tcPr>
            <w:tcW w:w="4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1" w:type="dxa"/>
            <w:tcBorders/>
            <w:shd w:fill="FFFFFF" w:val="clear"/>
            <w:vAlign w:val="center"/>
          </w:tcPr>
          <w:p>
            <w:pPr>
              <w:pStyle w:val="TableContents"/>
              <w:bidi w:val="0"/>
              <w:spacing w:before="0" w:after="283"/>
              <w:jc w:val="center"/>
              <w:rPr/>
            </w:pPr>
            <w:r>
              <w:rPr/>
              <w:t> </w:t>
            </w:r>
          </w:p>
        </w:tc>
      </w:tr>
      <w:tr>
        <w:trPr/>
        <w:tc>
          <w:tcPr>
            <w:tcW w:w="42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Financial liabilities:</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Senior secured credit facilities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5,082.2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5,069.0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5.5% senior notes due 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1,891.4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1,996.6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1,880.9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29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Senior secured credit facilities, revolving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29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indebtedness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above fair values, which are Level 2 liabilities, were computed based on comparable quoted market prices. The fair values of cash, accounts receivable, net, short-term borrowings, and accounts payable approximate the carrying amounts due to the short-term maturities of these instruments.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8—Stockholders’ Equity</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Stock repurchase program</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July 2022, our Board of Directors authorized a stock repurchase program, which enabled us to repurchase up to $1</w:t>
      </w:r>
      <w:r>
        <w:rPr>
          <w:rFonts w:ascii="Times New Roman" w:hAnsi="Times New Roman"/>
          <w:color w:val="000000"/>
          <w:sz w:val="20"/>
        </w:rPr>
        <w:t xml:space="preserve"> </w:t>
      </w:r>
      <w:r>
        <w:rPr>
          <w:rFonts w:ascii="Times New Roman" w:hAnsi="Times New Roman"/>
          <w:b w:val="false"/>
          <w:color w:val="000000"/>
          <w:sz w:val="20"/>
        </w:rPr>
        <w:t>billion in the aggregate of our outstanding common stock on the open market or in privately negotiated transactions until the one-year anniversary of the Board’s authorization, unless earlier terminated by the Board. In July 2023, our Board of Directors authorized a new stock repurchase program, which also enables us to repurchase up to $1</w:t>
      </w:r>
      <w:r>
        <w:rPr>
          <w:rFonts w:ascii="Times New Roman" w:hAnsi="Times New Roman"/>
          <w:color w:val="000000"/>
          <w:sz w:val="20"/>
        </w:rPr>
        <w:t xml:space="preserve"> </w:t>
      </w:r>
      <w:r>
        <w:rPr>
          <w:rFonts w:ascii="Times New Roman" w:hAnsi="Times New Roman"/>
          <w:b w:val="false"/>
          <w:color w:val="000000"/>
          <w:sz w:val="20"/>
        </w:rPr>
        <w:t>billion in the aggregate of our outstanding common stock</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the open market or in privately negotiated transactions. Our authority to repurchase shares under the program will continue until the one-year anniversary of the Board’s authorization, unless earlier terminated by the Board. During the three and nine months ended September 30, 2023, we repurchased 1.7</w:t>
      </w:r>
      <w:r>
        <w:rPr>
          <w:rFonts w:ascii="Times New Roman" w:hAnsi="Times New Roman"/>
          <w:color w:val="000000"/>
          <w:sz w:val="20"/>
        </w:rPr>
        <w:t xml:space="preserve"> </w:t>
      </w:r>
      <w:r>
        <w:rPr>
          <w:rFonts w:ascii="Times New Roman" w:hAnsi="Times New Roman"/>
          <w:b w:val="false"/>
          <w:color w:val="000000"/>
          <w:sz w:val="20"/>
        </w:rPr>
        <w:t>million and 6.0</w:t>
      </w:r>
      <w:r>
        <w:rPr>
          <w:rFonts w:ascii="Times New Roman" w:hAnsi="Times New Roman"/>
          <w:color w:val="000000"/>
          <w:sz w:val="20"/>
        </w:rPr>
        <w:t xml:space="preserve"> </w:t>
      </w:r>
      <w:r>
        <w:rPr>
          <w:rFonts w:ascii="Times New Roman" w:hAnsi="Times New Roman"/>
          <w:b w:val="false"/>
          <w:color w:val="000000"/>
          <w:sz w:val="20"/>
        </w:rPr>
        <w:t>million shares, respectively, of common stock for approximately $97.8</w:t>
      </w:r>
      <w:r>
        <w:rPr>
          <w:rFonts w:ascii="Times New Roman" w:hAnsi="Times New Roman"/>
          <w:color w:val="000000"/>
          <w:sz w:val="20"/>
        </w:rPr>
        <w:t xml:space="preserve"> </w:t>
      </w:r>
      <w:r>
        <w:rPr>
          <w:rFonts w:ascii="Times New Roman" w:hAnsi="Times New Roman"/>
          <w:b w:val="false"/>
          <w:color w:val="000000"/>
          <w:sz w:val="20"/>
        </w:rPr>
        <w:t>million and $344.4</w:t>
      </w:r>
      <w:r>
        <w:rPr>
          <w:rFonts w:ascii="Times New Roman" w:hAnsi="Times New Roman"/>
          <w:color w:val="000000"/>
          <w:sz w:val="20"/>
        </w:rPr>
        <w:t xml:space="preserve"> </w:t>
      </w:r>
      <w:r>
        <w:rPr>
          <w:rFonts w:ascii="Times New Roman" w:hAnsi="Times New Roman"/>
          <w:b w:val="false"/>
          <w:color w:val="000000"/>
          <w:sz w:val="20"/>
        </w:rPr>
        <w:t>million, respectively, which includes a 1% excise tax on share repurchases. During the three and nine months ended September 30, 2022, we repurchased 3.7</w:t>
      </w:r>
      <w:r>
        <w:rPr>
          <w:rFonts w:ascii="Times New Roman" w:hAnsi="Times New Roman"/>
          <w:color w:val="000000"/>
          <w:sz w:val="20"/>
        </w:rPr>
        <w:t xml:space="preserve"> </w:t>
      </w:r>
      <w:r>
        <w:rPr>
          <w:rFonts w:ascii="Times New Roman" w:hAnsi="Times New Roman"/>
          <w:b w:val="false"/>
          <w:color w:val="000000"/>
          <w:sz w:val="20"/>
        </w:rPr>
        <w:t>million and 6.0</w:t>
      </w:r>
      <w:r>
        <w:rPr>
          <w:rFonts w:ascii="Times New Roman" w:hAnsi="Times New Roman"/>
          <w:color w:val="000000"/>
          <w:sz w:val="20"/>
        </w:rPr>
        <w:t xml:space="preserve"> </w:t>
      </w:r>
      <w:r>
        <w:rPr>
          <w:rFonts w:ascii="Times New Roman" w:hAnsi="Times New Roman"/>
          <w:b w:val="false"/>
          <w:color w:val="000000"/>
          <w:sz w:val="20"/>
        </w:rPr>
        <w:t>million shares, respectively, of common stock for approximately $214.5</w:t>
      </w:r>
      <w:r>
        <w:rPr>
          <w:rFonts w:ascii="Times New Roman" w:hAnsi="Times New Roman"/>
          <w:color w:val="000000"/>
          <w:sz w:val="20"/>
        </w:rPr>
        <w:t xml:space="preserve"> </w:t>
      </w:r>
      <w:r>
        <w:rPr>
          <w:rFonts w:ascii="Times New Roman" w:hAnsi="Times New Roman"/>
          <w:b w:val="false"/>
          <w:color w:val="000000"/>
          <w:sz w:val="20"/>
        </w:rPr>
        <w:t>million and $385.4</w:t>
      </w:r>
      <w:r>
        <w:rPr>
          <w:rFonts w:ascii="Times New Roman" w:hAnsi="Times New Roman"/>
          <w:color w:val="000000"/>
          <w:sz w:val="20"/>
        </w:rPr>
        <w:t xml:space="preserve"> </w:t>
      </w:r>
      <w:r>
        <w:rPr>
          <w:rFonts w:ascii="Times New Roman" w:hAnsi="Times New Roman"/>
          <w:b w:val="false"/>
          <w:color w:val="000000"/>
          <w:sz w:val="20"/>
        </w:rPr>
        <w:t>million. We use the cost method to account for treasury stock purchases. Under the cost method, the price paid for the stock is charged to the treasury stock account.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Dividends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paid quarterly cash dividends of $0.20</w:t>
      </w:r>
      <w:r>
        <w:rPr>
          <w:rFonts w:ascii="Times New Roman" w:hAnsi="Times New Roman"/>
          <w:color w:val="000000"/>
          <w:sz w:val="20"/>
        </w:rPr>
        <w:t xml:space="preserve"> </w:t>
      </w:r>
      <w:r>
        <w:rPr>
          <w:rFonts w:ascii="Times New Roman" w:hAnsi="Times New Roman"/>
          <w:b w:val="false"/>
          <w:color w:val="000000"/>
          <w:sz w:val="20"/>
        </w:rPr>
        <w:t>per share of common stock in each of March and June 2023 and $0.24</w:t>
      </w:r>
      <w:r>
        <w:rPr>
          <w:rFonts w:ascii="Times New Roman" w:hAnsi="Times New Roman"/>
          <w:color w:val="000000"/>
          <w:sz w:val="20"/>
        </w:rPr>
        <w:t xml:space="preserve"> </w:t>
      </w:r>
      <w:r>
        <w:rPr>
          <w:rFonts w:ascii="Times New Roman" w:hAnsi="Times New Roman"/>
          <w:b w:val="false"/>
          <w:color w:val="000000"/>
          <w:sz w:val="20"/>
        </w:rPr>
        <w:t>per share of common stock in September 2023 totaling $160.9</w:t>
      </w:r>
      <w:r>
        <w:rPr>
          <w:rFonts w:ascii="Times New Roman" w:hAnsi="Times New Roman"/>
          <w:color w:val="000000"/>
          <w:sz w:val="20"/>
        </w:rPr>
        <w:t xml:space="preserve"> </w:t>
      </w:r>
      <w:r>
        <w:rPr>
          <w:rFonts w:ascii="Times New Roman" w:hAnsi="Times New Roman"/>
          <w:b w:val="false"/>
          <w:color w:val="000000"/>
          <w:sz w:val="20"/>
        </w:rPr>
        <w:t>million. We paid quarterly cash dividends of $0.20</w:t>
      </w:r>
      <w:r>
        <w:rPr>
          <w:rFonts w:ascii="Times New Roman" w:hAnsi="Times New Roman"/>
          <w:color w:val="000000"/>
          <w:sz w:val="20"/>
        </w:rPr>
        <w:t xml:space="preserve"> </w:t>
      </w:r>
      <w:r>
        <w:rPr>
          <w:rFonts w:ascii="Times New Roman" w:hAnsi="Times New Roman"/>
          <w:b w:val="false"/>
          <w:color w:val="000000"/>
          <w:sz w:val="20"/>
        </w:rPr>
        <w:t>per share of common stock in each of March, June and September 2022, totaling $153.4</w:t>
      </w:r>
      <w:r>
        <w:rPr>
          <w:rFonts w:ascii="Times New Roman" w:hAnsi="Times New Roman"/>
          <w:color w:val="000000"/>
          <w:sz w:val="20"/>
        </w:rPr>
        <w:t xml:space="preserve"> </w:t>
      </w:r>
      <w:r>
        <w:rPr>
          <w:rFonts w:ascii="Times New Roman" w:hAnsi="Times New Roman"/>
          <w:b w:val="false"/>
          <w:color w:val="000000"/>
          <w:sz w:val="20"/>
        </w:rPr>
        <w:t>million in the aggregate.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i/>
          <w:color w:val="000000"/>
          <w:sz w:val="20"/>
        </w:rPr>
        <w:t>Accumulated</w:t>
      </w:r>
      <w:r>
        <w:rPr>
          <w:rFonts w:ascii="Times New Roman" w:hAnsi="Times New Roman"/>
          <w:color w:val="000000"/>
          <w:sz w:val="20"/>
        </w:rPr>
        <w:t xml:space="preserve"> </w:t>
      </w:r>
      <w:r>
        <w:rPr>
          <w:rFonts w:ascii="Times New Roman" w:hAnsi="Times New Roman"/>
          <w:b w:val="false"/>
          <w:i/>
          <w:color w:val="000000"/>
          <w:sz w:val="20"/>
        </w:rPr>
        <w:t>Other Comprehensive Loss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Accumulated other comprehensive loss balances, net of tax, consist of the following (in millions):</w:t>
      </w:r>
    </w:p>
    <w:tbl>
      <w:tblPr>
        <w:tblW w:w="10205" w:type="dxa"/>
        <w:jc w:val="left"/>
        <w:tblInd w:w="0" w:type="dxa"/>
        <w:tblLayout w:type="fixed"/>
        <w:tblCellMar>
          <w:top w:w="28" w:type="dxa"/>
          <w:left w:w="28" w:type="dxa"/>
          <w:bottom w:w="28" w:type="dxa"/>
          <w:right w:w="28" w:type="dxa"/>
        </w:tblCellMar>
      </w:tblPr>
      <w:tblGrid>
        <w:gridCol w:w="2801"/>
        <w:gridCol w:w="146"/>
        <w:gridCol w:w="500"/>
        <w:gridCol w:w="1465"/>
        <w:gridCol w:w="166"/>
        <w:gridCol w:w="146"/>
        <w:gridCol w:w="585"/>
        <w:gridCol w:w="1173"/>
        <w:gridCol w:w="166"/>
        <w:gridCol w:w="146"/>
        <w:gridCol w:w="662"/>
        <w:gridCol w:w="1936"/>
        <w:gridCol w:w="313"/>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Defined Benefit Obligation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December 31, 2022</w:t>
            </w:r>
          </w:p>
        </w:tc>
        <w:tc>
          <w:tcPr>
            <w:tcW w:w="146" w:type="dxa"/>
            <w:tcBorders/>
            <w:shd w:fill="CFF0FC" w:val="clear"/>
            <w:vAlign w:val="center"/>
          </w:tcPr>
          <w:p>
            <w:pPr>
              <w:pStyle w:val="TableContents"/>
              <w:bidi w:val="0"/>
              <w:spacing w:before="0" w:after="283"/>
              <w:jc w:val="left"/>
              <w:rPr/>
            </w:pPr>
            <w:r>
              <w:rPr/>
              <w:t> </w:t>
            </w:r>
          </w:p>
        </w:tc>
        <w:tc>
          <w:tcPr>
            <w:tcW w:w="5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5"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(549.0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85"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73"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36"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(550.1</w:t>
            </w:r>
          </w:p>
        </w:tc>
        <w:tc>
          <w:tcPr>
            <w:tcW w:w="313"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2801"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Net current period other comprehensive loss</w:t>
            </w:r>
          </w:p>
        </w:tc>
        <w:tc>
          <w:tcPr>
            <w:tcW w:w="146" w:type="dxa"/>
            <w:tcBorders/>
            <w:shd w:fill="FFFFFF" w:val="cle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(4.8</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280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Balance, September 30, 2023</w:t>
            </w:r>
          </w:p>
        </w:tc>
        <w:tc>
          <w:tcPr>
            <w:tcW w:w="146" w:type="dxa"/>
            <w:tcBorders/>
            <w:shd w:fill="CFF0FC" w:val="clear"/>
            <w:vAlign w:val="center"/>
          </w:tcPr>
          <w:p>
            <w:pPr>
              <w:pStyle w:val="TableContents"/>
              <w:bidi w:val="0"/>
              <w:spacing w:before="0" w:after="283"/>
              <w:jc w:val="lef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(554.9</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bl>
    <w:p>
      <w:pPr>
        <w:pStyle w:val="TextBody"/>
        <w:bidi w:val="0"/>
        <w:spacing w:before="0" w:after="120"/>
        <w:jc w:val="left"/>
        <w:rPr/>
      </w:pPr>
      <w:r>
        <w:rPr/>
        <w:t> </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Adjustments to accumulated other comprehensive loss are as follows (in millions):</w:t>
      </w:r>
    </w:p>
    <w:tbl>
      <w:tblPr>
        <w:tblW w:w="10205" w:type="dxa"/>
        <w:jc w:val="left"/>
        <w:tblInd w:w="0" w:type="dxa"/>
        <w:tblLayout w:type="fixed"/>
        <w:tblCellMar>
          <w:top w:w="28" w:type="dxa"/>
          <w:left w:w="28" w:type="dxa"/>
          <w:bottom w:w="28" w:type="dxa"/>
          <w:right w:w="28" w:type="dxa"/>
        </w:tblCellMar>
      </w:tblPr>
      <w:tblGrid>
        <w:gridCol w:w="1998"/>
        <w:gridCol w:w="146"/>
        <w:gridCol w:w="196"/>
        <w:gridCol w:w="571"/>
        <w:gridCol w:w="166"/>
        <w:gridCol w:w="146"/>
        <w:gridCol w:w="221"/>
        <w:gridCol w:w="391"/>
        <w:gridCol w:w="146"/>
        <w:gridCol w:w="146"/>
        <w:gridCol w:w="196"/>
        <w:gridCol w:w="571"/>
        <w:gridCol w:w="166"/>
        <w:gridCol w:w="146"/>
        <w:gridCol w:w="213"/>
        <w:gridCol w:w="458"/>
        <w:gridCol w:w="166"/>
        <w:gridCol w:w="146"/>
        <w:gridCol w:w="200"/>
        <w:gridCol w:w="401"/>
        <w:gridCol w:w="166"/>
        <w:gridCol w:w="146"/>
        <w:gridCol w:w="216"/>
        <w:gridCol w:w="431"/>
        <w:gridCol w:w="166"/>
        <w:gridCol w:w="146"/>
        <w:gridCol w:w="196"/>
        <w:gridCol w:w="571"/>
        <w:gridCol w:w="166"/>
        <w:gridCol w:w="146"/>
        <w:gridCol w:w="213"/>
        <w:gridCol w:w="458"/>
        <w:gridCol w:w="394"/>
      </w:tblGrid>
      <w:tr>
        <w:trPr/>
        <w:tc>
          <w:tcPr>
            <w:tcW w:w="1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9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7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Pretax</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Tax Effect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 Rate Swap</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ind w:left="0" w:right="0" w:firstLine="100"/>
              <w:jc w:val="left"/>
              <w:rPr/>
            </w:pPr>
            <w:r>
              <w:rPr/>
              <w:t> </w:t>
            </w:r>
          </w:p>
        </w:tc>
      </w:tr>
      <w:tr>
        <w:trPr/>
        <w:tc>
          <w:tcPr>
            <w:tcW w:w="1998"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Unrealized gains (losses) on interest rate swaps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5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58" w:type="dxa"/>
            <w:tcBorders/>
            <w:shd w:fill="CFF0FC" w:val="cle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w:t>
            </w:r>
          </w:p>
        </w:tc>
        <w:tc>
          <w:tcPr>
            <w:tcW w:w="394"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16"/>
              </w:rPr>
            </w:pPr>
            <w:r>
              <w:rPr>
                <w:rFonts w:ascii="Times New Roman" w:hAnsi="Times New Roman"/>
                <w:b w:val="false"/>
                <w:color w:val="000000"/>
                <w:sz w:val="16"/>
              </w:rPr>
              <w:t>)</w:t>
            </w:r>
          </w:p>
        </w:tc>
      </w:tr>
      <w:tr>
        <w:trPr/>
        <w:tc>
          <w:tcPr>
            <w:tcW w:w="1998"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Reclassification of gains into net earnings on interest rate swaps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9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6"/>
              </w:rPr>
            </w:pPr>
            <w:r>
              <w:rPr>
                <w:rFonts w:ascii="Times New Roman" w:hAnsi="Times New Roman"/>
                <w:b w:val="false"/>
                <w:color w:val="000000"/>
                <w:sz w:val="16"/>
              </w:rPr>
              <w:t>Net change in cash flow hedges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9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Defined Benefit Pension</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1998"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Unrealized net (losses) gains on defined benefit pension plan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(0.8</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r>
      <w:tr>
        <w:trPr/>
        <w:tc>
          <w:tcPr>
            <w:tcW w:w="199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Foreign Currency Translation</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98"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16"/>
              </w:rPr>
            </w:pPr>
            <w:r>
              <w:rPr>
                <w:rFonts w:ascii="Times New Roman" w:hAnsi="Times New Roman"/>
                <w:b w:val="false"/>
                <w:color w:val="000000"/>
                <w:sz w:val="16"/>
              </w:rPr>
              <w:t>Current period translation adjustments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sz w:val="4"/>
                <w:szCs w:val="4"/>
              </w:rPr>
            </w:pPr>
            <w:r>
              <w:rPr>
                <w:sz w:val="4"/>
                <w:szCs w:val="4"/>
              </w:rPr>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28.4</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8"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other comprehensive (loss) income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(534.2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w:t>
            </w:r>
          </w:p>
        </w:tc>
        <w:tc>
          <w:tcPr>
            <w:tcW w:w="4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6"/>
              </w:rPr>
            </w:pPr>
            <w:r>
              <w:rPr>
                <w:rFonts w:ascii="Times New Roman" w:hAnsi="Times New Roman"/>
                <w:b w:val="false"/>
                <w:color w:val="000000"/>
                <w:sz w:val="16"/>
              </w:rPr>
              <w:t>25.9</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9—Variable Interest Entity</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July 2021, we entered into an agreement whereby we obtained an 80.2% interest in DomaniRx, LLC (</w:t>
      </w:r>
      <w:r>
        <w:rPr>
          <w:rFonts w:ascii="Times New Roman" w:hAnsi="Times New Roman"/>
          <w:color w:val="000000"/>
          <w:sz w:val="20"/>
        </w:rPr>
        <w:t>“</w:t>
      </w:r>
      <w:r>
        <w:rPr>
          <w:rFonts w:ascii="Times New Roman" w:hAnsi="Times New Roman"/>
          <w:b w:val="false"/>
          <w:color w:val="000000"/>
          <w:sz w:val="20"/>
        </w:rPr>
        <w:t>DomaniRx</w:t>
      </w:r>
      <w:r>
        <w:rPr>
          <w:rFonts w:ascii="Times New Roman" w:hAnsi="Times New Roman"/>
          <w:color w:val="000000"/>
          <w:sz w:val="20"/>
        </w:rPr>
        <w:t>”</w:t>
      </w:r>
      <w:r>
        <w:rPr>
          <w:rFonts w:ascii="Times New Roman" w:hAnsi="Times New Roman"/>
          <w:b w:val="false"/>
          <w:color w:val="000000"/>
          <w:sz w:val="20"/>
        </w:rPr>
        <w:t>), a variable interest entity under GAAP. 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carrying value of the assets and liabilities associated with DomaniRx included in our condensed consolidated balance sheet as of September 30, 2023, which are limited for use in its operations and do not have recourse against our general credit or our senior secured credit facilities, are as follows:</w:t>
      </w:r>
      <w:r>
        <w:rPr>
          <w:rFonts w:ascii="Times New Roman" w:hAnsi="Times New Roman"/>
          <w:color w:val="000000"/>
          <w:sz w:val="20"/>
        </w:rPr>
        <w:t xml:space="preserve"> </w:t>
      </w:r>
    </w:p>
    <w:tbl>
      <w:tblPr>
        <w:tblW w:w="4513" w:type="dxa"/>
        <w:jc w:val="left"/>
        <w:tblInd w:w="0" w:type="dxa"/>
        <w:tblLayout w:type="fixed"/>
        <w:tblCellMar>
          <w:top w:w="28" w:type="dxa"/>
          <w:left w:w="28" w:type="dxa"/>
          <w:bottom w:w="28" w:type="dxa"/>
          <w:right w:w="28" w:type="dxa"/>
        </w:tblCellMar>
      </w:tblPr>
      <w:tblGrid>
        <w:gridCol w:w="2366"/>
        <w:gridCol w:w="146"/>
        <w:gridCol w:w="211"/>
        <w:gridCol w:w="571"/>
        <w:gridCol w:w="146"/>
        <w:gridCol w:w="211"/>
        <w:gridCol w:w="571"/>
        <w:gridCol w:w="291"/>
      </w:tblGrid>
      <w:tr>
        <w:trPr/>
        <w:tc>
          <w:tcPr>
            <w:tcW w:w="2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center"/>
              <w:rPr/>
            </w:pPr>
            <w:r>
              <w:rPr/>
              <w:t> </w:t>
            </w:r>
          </w:p>
        </w:tc>
      </w:tr>
      <w:tr>
        <w:trPr/>
        <w:tc>
          <w:tcPr>
            <w:tcW w:w="236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151.6</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3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Intangible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186.7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36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23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36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17.5</w:t>
            </w:r>
          </w:p>
        </w:tc>
        <w:tc>
          <w:tcPr>
            <w:tcW w:w="2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10—Revenues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generate revenues primarily through our software-enabled services. Our software-enabled services are generally provided under contracts with initial terms of one</w:t>
      </w:r>
      <w:r>
        <w:rPr>
          <w:rFonts w:ascii="Times New Roman" w:hAnsi="Times New Roman"/>
          <w:color w:val="000000"/>
          <w:sz w:val="20"/>
        </w:rPr>
        <w:t xml:space="preserve"> </w:t>
      </w:r>
      <w:r>
        <w:rPr>
          <w:rFonts w:ascii="Times New Roman" w:hAnsi="Times New Roman"/>
          <w:b w:val="false"/>
          <w:color w:val="000000"/>
          <w:sz w:val="20"/>
        </w:rPr>
        <w:t>to five years</w:t>
      </w:r>
      <w:r>
        <w:rPr>
          <w:rFonts w:ascii="Times New Roman" w:hAnsi="Times New Roman"/>
          <w:color w:val="000000"/>
          <w:sz w:val="20"/>
        </w:rPr>
        <w:t xml:space="preserve"> </w:t>
      </w:r>
      <w:r>
        <w:rPr>
          <w:rFonts w:ascii="Times New Roman" w:hAnsi="Times New Roman"/>
          <w:b w:val="false"/>
          <w:color w:val="000000"/>
          <w:sz w:val="20"/>
        </w:rPr>
        <w:t>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level of service the client requires. Revenues from professional services consist mostly of services provided on a time and materials basis.</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Deferred revenues primarily represent unrecognized fees billed or collected for maintenance and professional services. Deferred revenues are recognized as (or when) we perform under the contract. Deferred revenues are recorded on a net basis with contract assets at the contract level. Accordingly, as of September 30, 2023 and December 31, 2022, approximately $59.7</w:t>
      </w:r>
      <w:r>
        <w:rPr>
          <w:rFonts w:ascii="Times New Roman" w:hAnsi="Times New Roman"/>
          <w:color w:val="000000"/>
          <w:sz w:val="20"/>
        </w:rPr>
        <w:t xml:space="preserve"> </w:t>
      </w:r>
      <w:r>
        <w:rPr>
          <w:rFonts w:ascii="Times New Roman" w:hAnsi="Times New Roman"/>
          <w:b w:val="false"/>
          <w:color w:val="000000"/>
          <w:sz w:val="20"/>
        </w:rPr>
        <w:t>million and $68.0</w:t>
      </w:r>
      <w:r>
        <w:rPr>
          <w:rFonts w:ascii="Times New Roman" w:hAnsi="Times New Roman"/>
          <w:color w:val="000000"/>
          <w:sz w:val="20"/>
        </w:rPr>
        <w:t xml:space="preserve"> </w:t>
      </w:r>
      <w:r>
        <w:rPr>
          <w:rFonts w:ascii="Times New Roman" w:hAnsi="Times New Roman"/>
          <w:b w:val="false"/>
          <w:color w:val="000000"/>
          <w:sz w:val="20"/>
        </w:rPr>
        <w:t>million, respectively, of deferred revenue is presented net within contract assets arising from the same contracts. The amount of revenues recognized in the period that was included in the opening deferred revenues balance was $94.0</w:t>
      </w:r>
      <w:r>
        <w:rPr>
          <w:rFonts w:ascii="Times New Roman" w:hAnsi="Times New Roman"/>
          <w:color w:val="000000"/>
          <w:sz w:val="20"/>
        </w:rPr>
        <w:t xml:space="preserve"> </w:t>
      </w:r>
      <w:r>
        <w:rPr>
          <w:rFonts w:ascii="Times New Roman" w:hAnsi="Times New Roman"/>
          <w:b w:val="false"/>
          <w:color w:val="000000"/>
          <w:sz w:val="20"/>
        </w:rPr>
        <w:t>million and $397.6</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2023, respectively. The amount of revenues recognized in the period that was included in the opening deferred revenues balance was $50.5</w:t>
      </w:r>
      <w:r>
        <w:rPr>
          <w:rFonts w:ascii="Times New Roman" w:hAnsi="Times New Roman"/>
          <w:color w:val="000000"/>
          <w:sz w:val="20"/>
        </w:rPr>
        <w:t xml:space="preserve"> </w:t>
      </w:r>
      <w:r>
        <w:rPr>
          <w:rFonts w:ascii="Times New Roman" w:hAnsi="Times New Roman"/>
          <w:b w:val="false"/>
          <w:color w:val="000000"/>
          <w:sz w:val="20"/>
        </w:rPr>
        <w:t>million and $231.8</w:t>
      </w:r>
      <w:r>
        <w:rPr>
          <w:rFonts w:ascii="Times New Roman" w:hAnsi="Times New Roman"/>
          <w:color w:val="000000"/>
          <w:sz w:val="20"/>
        </w:rPr>
        <w:t xml:space="preserve"> </w:t>
      </w:r>
      <w:r>
        <w:rPr>
          <w:rFonts w:ascii="Times New Roman" w:hAnsi="Times New Roman"/>
          <w:b w:val="false"/>
          <w:color w:val="000000"/>
          <w:sz w:val="20"/>
        </w:rPr>
        <w:t>million for the three and nine months ended September 30, 2022, respectively.</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As of September 30, 2023, revenue of approximately $940.9</w:t>
      </w:r>
      <w:r>
        <w:rPr>
          <w:rFonts w:ascii="Times New Roman" w:hAnsi="Times New Roman"/>
          <w:color w:val="000000"/>
          <w:sz w:val="20"/>
        </w:rPr>
        <w:t xml:space="preserve"> </w:t>
      </w:r>
      <w:r>
        <w:rPr>
          <w:rFonts w:ascii="Times New Roman" w:hAnsi="Times New Roman"/>
          <w:b w:val="false"/>
          <w:color w:val="000000"/>
          <w:sz w:val="20"/>
        </w:rPr>
        <w:t>million is expected to be recognized from remaining performance obligations for license, maintenance and related revenues, of which $461.2</w:t>
      </w:r>
      <w:r>
        <w:rPr>
          <w:rFonts w:ascii="Times New Roman" w:hAnsi="Times New Roman"/>
          <w:color w:val="000000"/>
          <w:sz w:val="20"/>
        </w:rPr>
        <w:t xml:space="preserve"> </w:t>
      </w:r>
      <w:r>
        <w:rPr>
          <w:rFonts w:ascii="Times New Roman" w:hAnsi="Times New Roman"/>
          <w:b w:val="false"/>
          <w:color w:val="000000"/>
          <w:sz w:val="20"/>
        </w:rPr>
        <w:t>million is expected to be recognized over the next twelve months.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record revenue net of any taxes assessed by governmental authorities.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Disaggregation</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disaggregates our revenues by geography (in millions):</w:t>
      </w:r>
    </w:p>
    <w:tbl>
      <w:tblPr>
        <w:tblW w:w="10205" w:type="dxa"/>
        <w:jc w:val="left"/>
        <w:tblInd w:w="0" w:type="dxa"/>
        <w:tblLayout w:type="fixed"/>
        <w:tblCellMar>
          <w:top w:w="28" w:type="dxa"/>
          <w:left w:w="28" w:type="dxa"/>
          <w:bottom w:w="28" w:type="dxa"/>
          <w:right w:w="28" w:type="dxa"/>
        </w:tblCellMar>
      </w:tblPr>
      <w:tblGrid>
        <w:gridCol w:w="4370"/>
        <w:gridCol w:w="146"/>
        <w:gridCol w:w="253"/>
        <w:gridCol w:w="866"/>
        <w:gridCol w:w="174"/>
        <w:gridCol w:w="174"/>
        <w:gridCol w:w="253"/>
        <w:gridCol w:w="866"/>
        <w:gridCol w:w="146"/>
        <w:gridCol w:w="146"/>
        <w:gridCol w:w="246"/>
        <w:gridCol w:w="842"/>
        <w:gridCol w:w="169"/>
        <w:gridCol w:w="169"/>
        <w:gridCol w:w="246"/>
        <w:gridCol w:w="842"/>
        <w:gridCol w:w="297"/>
      </w:tblGrid>
      <w:tr>
        <w:trPr/>
        <w:tc>
          <w:tcPr>
            <w:tcW w:w="4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43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vAlign w:val="center"/>
          </w:tcPr>
          <w:p>
            <w:pPr>
              <w:pStyle w:val="TableContents"/>
              <w:bidi w:val="0"/>
              <w:spacing w:before="0" w:after="283"/>
              <w:jc w:val="left"/>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States</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941.2</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2,838.9</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2,787.5</w:t>
            </w:r>
          </w:p>
        </w:tc>
        <w:tc>
          <w:tcPr>
            <w:tcW w:w="297" w:type="dxa"/>
            <w:tcBorders/>
            <w:shd w:fill="CFF0FC"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United Kingdom</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160.1</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473.4</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433.8</w:t>
            </w:r>
          </w:p>
        </w:tc>
        <w:tc>
          <w:tcPr>
            <w:tcW w:w="297" w:type="dxa"/>
            <w:tcBorders/>
            <w:shd w:fill="FFFFFF" w:val="clear"/>
            <w:vAlign w:val="center"/>
          </w:tcPr>
          <w:p>
            <w:pPr>
              <w:pStyle w:val="TableContents"/>
              <w:bidi w:val="0"/>
              <w:spacing w:before="0" w:after="283"/>
              <w:jc w:val="left"/>
              <w:rPr/>
            </w:pPr>
            <w:r>
              <w:rPr/>
              <w:t> </w:t>
            </w:r>
          </w:p>
        </w:tc>
      </w:tr>
      <w:tr>
        <w:trPr/>
        <w:tc>
          <w:tcPr>
            <w:tcW w:w="43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Europe (excluding United Kingdom), Middle East and Africa</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116.2</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337.1</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292.8</w:t>
            </w:r>
          </w:p>
        </w:tc>
        <w:tc>
          <w:tcPr>
            <w:tcW w:w="297" w:type="dxa"/>
            <w:tcBorders/>
            <w:shd w:fill="CFF0FC"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Asia-Pacific and Japan</w:t>
            </w:r>
          </w:p>
        </w:tc>
        <w:tc>
          <w:tcPr>
            <w:tcW w:w="146"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67.6</w:t>
            </w:r>
          </w:p>
        </w:tc>
        <w:tc>
          <w:tcPr>
            <w:tcW w:w="1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204.2</w:t>
            </w:r>
          </w:p>
        </w:tc>
        <w:tc>
          <w:tcPr>
            <w:tcW w:w="169"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193.3</w:t>
            </w:r>
          </w:p>
        </w:tc>
        <w:tc>
          <w:tcPr>
            <w:tcW w:w="297" w:type="dxa"/>
            <w:tcBorders/>
            <w:shd w:fill="FFFFFF" w:val="clear"/>
            <w:vAlign w:val="center"/>
          </w:tcPr>
          <w:p>
            <w:pPr>
              <w:pStyle w:val="TableContents"/>
              <w:bidi w:val="0"/>
              <w:spacing w:before="0" w:after="283"/>
              <w:jc w:val="left"/>
              <w:rPr/>
            </w:pPr>
            <w:r>
              <w:rPr/>
              <w:t> </w:t>
            </w:r>
          </w:p>
        </w:tc>
      </w:tr>
      <w:tr>
        <w:trPr/>
        <w:tc>
          <w:tcPr>
            <w:tcW w:w="437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Canada</w:t>
            </w:r>
          </w:p>
        </w:tc>
        <w:tc>
          <w:tcPr>
            <w:tcW w:w="146"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55.3</w:t>
            </w:r>
          </w:p>
        </w:tc>
        <w:tc>
          <w:tcPr>
            <w:tcW w:w="174" w:type="dxa"/>
            <w:tcBorders/>
            <w:shd w:fill="CFF0FC" w:val="cle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3"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164.5</w:t>
            </w:r>
          </w:p>
        </w:tc>
        <w:tc>
          <w:tcPr>
            <w:tcW w:w="169" w:type="dxa"/>
            <w:tcBorders/>
            <w:shd w:fill="CFF0FC" w:val="cle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4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169.5</w:t>
            </w:r>
          </w:p>
        </w:tc>
        <w:tc>
          <w:tcPr>
            <w:tcW w:w="297" w:type="dxa"/>
            <w:tcBorders/>
            <w:shd w:fill="CFF0FC"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Americas, excluding United States and Canada</w:t>
            </w:r>
          </w:p>
        </w:tc>
        <w:tc>
          <w:tcPr>
            <w:tcW w:w="146"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67.8</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370"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1,365.9</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4,091.2</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3,944.7</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The following table disaggregates our revenues by source (in millions):</w:t>
      </w:r>
    </w:p>
    <w:tbl>
      <w:tblPr>
        <w:tblW w:w="8631" w:type="dxa"/>
        <w:jc w:val="left"/>
        <w:tblInd w:w="0" w:type="dxa"/>
        <w:tblLayout w:type="fixed"/>
        <w:tblCellMar>
          <w:top w:w="28" w:type="dxa"/>
          <w:left w:w="28" w:type="dxa"/>
          <w:bottom w:w="28" w:type="dxa"/>
          <w:right w:w="28" w:type="dxa"/>
        </w:tblCellMar>
      </w:tblPr>
      <w:tblGrid>
        <w:gridCol w:w="2626"/>
        <w:gridCol w:w="146"/>
        <w:gridCol w:w="262"/>
        <w:gridCol w:w="898"/>
        <w:gridCol w:w="181"/>
        <w:gridCol w:w="181"/>
        <w:gridCol w:w="262"/>
        <w:gridCol w:w="898"/>
        <w:gridCol w:w="146"/>
        <w:gridCol w:w="146"/>
        <w:gridCol w:w="254"/>
        <w:gridCol w:w="868"/>
        <w:gridCol w:w="175"/>
        <w:gridCol w:w="175"/>
        <w:gridCol w:w="254"/>
        <w:gridCol w:w="868"/>
        <w:gridCol w:w="2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Software-enabled services</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1,122.1</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3,342.8</w:t>
            </w:r>
          </w:p>
        </w:tc>
        <w:tc>
          <w:tcPr>
            <w:tcW w:w="175"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3,205.7</w:t>
            </w:r>
          </w:p>
        </w:tc>
        <w:tc>
          <w:tcPr>
            <w:tcW w:w="2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Maintenance and term licenses</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211.6</w:t>
            </w:r>
          </w:p>
        </w:tc>
        <w:tc>
          <w:tcPr>
            <w:tcW w:w="18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643.5</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639.5</w:t>
            </w:r>
          </w:p>
        </w:tc>
        <w:tc>
          <w:tcPr>
            <w:tcW w:w="291" w:type="dxa"/>
            <w:tcBorders/>
            <w:shd w:fill="FFFFFF" w:val="clear"/>
            <w:vAlign w:val="center"/>
          </w:tcPr>
          <w:p>
            <w:pPr>
              <w:pStyle w:val="TableContents"/>
              <w:bidi w:val="0"/>
              <w:spacing w:before="0" w:after="283"/>
              <w:jc w:val="left"/>
              <w:rPr/>
            </w:pPr>
            <w:r>
              <w:rPr/>
              <w:t> </w:t>
            </w:r>
          </w:p>
        </w:tc>
      </w:tr>
      <w:tr>
        <w:trPr/>
        <w:tc>
          <w:tcPr>
            <w:tcW w:w="26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Professional services</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26.8</w:t>
            </w:r>
          </w:p>
        </w:tc>
        <w:tc>
          <w:tcPr>
            <w:tcW w:w="181"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83.1</w:t>
            </w:r>
          </w:p>
        </w:tc>
        <w:tc>
          <w:tcPr>
            <w:tcW w:w="175" w:type="dxa"/>
            <w:tcBorders/>
            <w:shd w:fill="CFF0FC" w:val="cle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81.4</w:t>
            </w:r>
          </w:p>
        </w:tc>
        <w:tc>
          <w:tcPr>
            <w:tcW w:w="291" w:type="dxa"/>
            <w:tcBorders/>
            <w:shd w:fill="CFF0FC"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Perpetual licenses</w:t>
            </w:r>
          </w:p>
        </w:tc>
        <w:tc>
          <w:tcPr>
            <w:tcW w:w="146" w:type="dxa"/>
            <w:tcBorders/>
            <w:shd w:fill="FFFFFF" w:val="cle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21.8</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4,091.2</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3,944.7</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11—Stock Based Compensation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w:t>
      </w:r>
      <w:r>
        <w:rPr>
          <w:rFonts w:ascii="Times New Roman" w:hAnsi="Times New Roman"/>
          <w:b w:val="false"/>
          <w:i/>
          <w:color w:val="000000"/>
          <w:sz w:val="20"/>
        </w:rPr>
        <w:t>tock options, SARs, PSUs and RSUs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amount of stock-based compensation expense recognized in our Condensed Consolidated Statements of Comprehensive Income (Loss) for the three and nine months ended September 30, 2023 and 2022 was as follows (in millions):</w:t>
      </w:r>
    </w:p>
    <w:tbl>
      <w:tblPr>
        <w:tblW w:w="10205" w:type="dxa"/>
        <w:jc w:val="left"/>
        <w:tblInd w:w="0" w:type="dxa"/>
        <w:tblLayout w:type="fixed"/>
        <w:tblCellMar>
          <w:top w:w="28" w:type="dxa"/>
          <w:left w:w="28" w:type="dxa"/>
          <w:bottom w:w="28" w:type="dxa"/>
          <w:right w:w="28" w:type="dxa"/>
        </w:tblCellMar>
      </w:tblPr>
      <w:tblGrid>
        <w:gridCol w:w="4679"/>
        <w:gridCol w:w="146"/>
        <w:gridCol w:w="314"/>
        <w:gridCol w:w="675"/>
        <w:gridCol w:w="234"/>
        <w:gridCol w:w="234"/>
        <w:gridCol w:w="314"/>
        <w:gridCol w:w="530"/>
        <w:gridCol w:w="146"/>
        <w:gridCol w:w="146"/>
        <w:gridCol w:w="277"/>
        <w:gridCol w:w="725"/>
        <w:gridCol w:w="207"/>
        <w:gridCol w:w="207"/>
        <w:gridCol w:w="277"/>
        <w:gridCol w:w="598"/>
        <w:gridCol w:w="496"/>
      </w:tblGrid>
      <w:tr>
        <w:trPr/>
        <w:tc>
          <w:tcPr>
            <w:tcW w:w="46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46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Condensed Consolidated Statements of Comprehensive Income (Loss)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vAlign w:val="center"/>
          </w:tcPr>
          <w:p>
            <w:pPr>
              <w:pStyle w:val="TableContents"/>
              <w:bidi w:val="0"/>
              <w:spacing w:before="0" w:after="283"/>
              <w:jc w:val="left"/>
              <w:rPr/>
            </w:pPr>
            <w:r>
              <w:rPr/>
              <w:t> </w:t>
            </w:r>
          </w:p>
        </w:tc>
        <w:tc>
          <w:tcPr>
            <w:tcW w:w="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7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Cost of software-enabled services</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14.5</w:t>
            </w:r>
          </w:p>
        </w:tc>
        <w:tc>
          <w:tcPr>
            <w:tcW w:w="23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42.9</w:t>
            </w:r>
          </w:p>
        </w:tc>
        <w:tc>
          <w:tcPr>
            <w:tcW w:w="207"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34.6</w:t>
            </w:r>
          </w:p>
        </w:tc>
        <w:tc>
          <w:tcPr>
            <w:tcW w:w="496" w:type="dxa"/>
            <w:tcBorders/>
            <w:shd w:fill="CFF0FC" w:val="clear"/>
            <w:vAlign w:val="center"/>
          </w:tcPr>
          <w:p>
            <w:pPr>
              <w:pStyle w:val="TableContents"/>
              <w:bidi w:val="0"/>
              <w:spacing w:before="0" w:after="283"/>
              <w:jc w:val="left"/>
              <w:rPr/>
            </w:pPr>
            <w:r>
              <w:rPr/>
              <w:t> </w:t>
            </w:r>
          </w:p>
        </w:tc>
      </w:tr>
      <w:tr>
        <w:trPr/>
        <w:tc>
          <w:tcPr>
            <w:tcW w:w="467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Cost of license, maintenance and other related</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79"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Total cost of revenues</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48.0</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38.6</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7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Selling and marketing</w:t>
            </w:r>
          </w:p>
        </w:tc>
        <w:tc>
          <w:tcPr>
            <w:tcW w:w="146"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w:t>
            </w:r>
          </w:p>
        </w:tc>
        <w:tc>
          <w:tcPr>
            <w:tcW w:w="234"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314"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21.8</w:t>
            </w:r>
          </w:p>
        </w:tc>
        <w:tc>
          <w:tcPr>
            <w:tcW w:w="20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17.2</w:t>
            </w:r>
          </w:p>
        </w:tc>
        <w:tc>
          <w:tcPr>
            <w:tcW w:w="496" w:type="dxa"/>
            <w:tcBorders/>
            <w:shd w:fill="FFFFFF" w:val="clear"/>
            <w:vAlign w:val="center"/>
          </w:tcPr>
          <w:p>
            <w:pPr>
              <w:pStyle w:val="TableContents"/>
              <w:bidi w:val="0"/>
              <w:spacing w:before="0" w:after="283"/>
              <w:jc w:val="left"/>
              <w:rPr/>
            </w:pPr>
            <w:r>
              <w:rPr/>
              <w:t> </w:t>
            </w:r>
          </w:p>
        </w:tc>
      </w:tr>
      <w:tr>
        <w:trPr/>
        <w:tc>
          <w:tcPr>
            <w:tcW w:w="467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Research and development</w:t>
            </w:r>
          </w:p>
        </w:tc>
        <w:tc>
          <w:tcPr>
            <w:tcW w:w="146"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67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5.8</w:t>
            </w:r>
          </w:p>
        </w:tc>
        <w:tc>
          <w:tcPr>
            <w:tcW w:w="234" w:type="dxa"/>
            <w:tcBorders/>
            <w:shd w:fill="CFF0FC" w:val="cle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14" w:type="dxa"/>
            <w:tcBorders/>
            <w:shd w:fill="CFF0FC" w:val="clear"/>
            <w:vAlign w:val="center"/>
          </w:tcPr>
          <w:p>
            <w:pPr>
              <w:pStyle w:val="TableContents"/>
              <w:bidi w:val="0"/>
              <w:spacing w:before="0" w:after="283"/>
              <w:jc w:val="left"/>
              <w:rPr/>
            </w:pPr>
            <w:r>
              <w:rPr/>
              <w:t> </w:t>
            </w:r>
          </w:p>
        </w:tc>
        <w:tc>
          <w:tcPr>
            <w:tcW w:w="5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72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15.8</w:t>
            </w:r>
          </w:p>
        </w:tc>
        <w:tc>
          <w:tcPr>
            <w:tcW w:w="207"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59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12.3</w:t>
            </w:r>
          </w:p>
        </w:tc>
        <w:tc>
          <w:tcPr>
            <w:tcW w:w="496" w:type="dxa"/>
            <w:tcBorders/>
            <w:shd w:fill="CFF0FC" w:val="clear"/>
            <w:vAlign w:val="center"/>
          </w:tcPr>
          <w:p>
            <w:pPr>
              <w:pStyle w:val="TableContents"/>
              <w:bidi w:val="0"/>
              <w:spacing w:before="0" w:after="283"/>
              <w:jc w:val="left"/>
              <w:rPr/>
            </w:pPr>
            <w:r>
              <w:rPr/>
              <w:t> </w:t>
            </w:r>
          </w:p>
        </w:tc>
      </w:tr>
      <w:tr>
        <w:trPr/>
        <w:tc>
          <w:tcPr>
            <w:tcW w:w="467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General and administrative</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12.7</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31.9</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25.2</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679"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18"/>
              </w:rPr>
            </w:pPr>
            <w:r>
              <w:rPr>
                <w:rFonts w:ascii="Times New Roman" w:hAnsi="Times New Roman"/>
                <w:b w:val="false"/>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25.8</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shd w:fill="CFF0FC" w:val="cle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69.5</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54.7</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7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42.1</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117.5</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93.3</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120"/>
        <w:jc w:val="left"/>
        <w:rPr/>
      </w:pPr>
      <w:r>
        <w:rPr/>
        <w:t> </w:t>
      </w:r>
    </w:p>
    <w:p>
      <w:pPr>
        <w:pStyle w:val="TextBody"/>
        <w:bidi w:val="0"/>
        <w:spacing w:before="40" w:after="120"/>
        <w:jc w:val="left"/>
        <w:rPr>
          <w:rFonts w:ascii="Times New Roman" w:hAnsi="Times New Roman"/>
          <w:sz w:val="20"/>
        </w:rPr>
      </w:pPr>
      <w:r>
        <w:rPr>
          <w:rFonts w:ascii="Times New Roman" w:hAnsi="Times New Roman"/>
          <w:b w:val="false"/>
          <w:color w:val="000000"/>
          <w:sz w:val="20"/>
        </w:rPr>
        <w:t>The stock-based compensation expense related to performance awards is adjusted for changes in our assessment of the performance target level that is probable of being achieved and the number of performance-based equity awards expected to vest. During the three months ended September 30, 2022, we recorded an adjustment to reduce previously recorded stock-based compensation expense relating to performance-based equity awards by $25.7</w:t>
      </w:r>
      <w:r>
        <w:rPr>
          <w:rFonts w:ascii="Times New Roman" w:hAnsi="Times New Roman"/>
          <w:color w:val="000000"/>
          <w:sz w:val="20"/>
        </w:rPr>
        <w:t xml:space="preserve"> </w:t>
      </w:r>
      <w:r>
        <w:rPr>
          <w:rFonts w:ascii="Times New Roman" w:hAnsi="Times New Roman"/>
          <w:b w:val="false"/>
          <w:color w:val="000000"/>
          <w:sz w:val="20"/>
        </w:rPr>
        <w:t>million as the number of performance-based options and performance-based units expected to vest decreased.</w:t>
      </w:r>
    </w:p>
    <w:p>
      <w:pPr>
        <w:pStyle w:val="TextBody"/>
        <w:bidi w:val="0"/>
        <w:spacing w:before="40" w:after="120"/>
        <w:jc w:val="left"/>
        <w:rPr>
          <w:rFonts w:ascii="Times New Roman" w:hAnsi="Times New Roman"/>
          <w:b w:val="false"/>
          <w:color w:val="000000"/>
          <w:sz w:val="20"/>
        </w:rPr>
      </w:pPr>
      <w:r>
        <w:rPr>
          <w:rFonts w:ascii="Times New Roman" w:hAnsi="Times New Roman"/>
          <w:b w:val="false"/>
          <w:color w:val="000000"/>
          <w:sz w:val="20"/>
        </w:rPr>
        <w:t>The following table summarizes stock option and stock appreciation rights (“SARs”) activity, as well as performance stock units (“PSUs”) and restricted stock units (“RSUs”) activity, for the nine months ended September 30, 2023 (shares in millions):</w:t>
      </w:r>
    </w:p>
    <w:tbl>
      <w:tblPr>
        <w:tblW w:w="7006" w:type="dxa"/>
        <w:jc w:val="left"/>
        <w:tblInd w:w="0" w:type="dxa"/>
        <w:tblLayout w:type="fixed"/>
        <w:tblCellMar>
          <w:top w:w="28" w:type="dxa"/>
          <w:left w:w="28" w:type="dxa"/>
          <w:bottom w:w="28" w:type="dxa"/>
          <w:right w:w="28" w:type="dxa"/>
        </w:tblCellMar>
      </w:tblPr>
      <w:tblGrid>
        <w:gridCol w:w="2986"/>
        <w:gridCol w:w="146"/>
        <w:gridCol w:w="446"/>
        <w:gridCol w:w="1429"/>
        <w:gridCol w:w="166"/>
        <w:gridCol w:w="146"/>
        <w:gridCol w:w="316"/>
        <w:gridCol w:w="914"/>
        <w:gridCol w:w="166"/>
        <w:gridCol w:w="2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 and SARs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 and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righ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December 31, 2022</w:t>
            </w:r>
          </w:p>
        </w:tc>
        <w:tc>
          <w:tcPr>
            <w:tcW w:w="1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166" w:type="dxa"/>
            <w:tcBorders/>
            <w:shd w:fill="FFFFFF" w:val="clear"/>
            <w:vAlign w:val="center"/>
          </w:tcPr>
          <w:p>
            <w:pPr>
              <w:pStyle w:val="TableContents"/>
              <w:bidi w:val="0"/>
              <w:spacing w:before="0" w:after="283"/>
              <w:jc w:val="left"/>
              <w:rPr/>
            </w:pPr>
            <w:r>
              <w:rPr/>
              <w:t> </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98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Granted</w:t>
            </w:r>
          </w:p>
        </w:tc>
        <w:tc>
          <w:tcPr>
            <w:tcW w:w="1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pPr>
            <w:r>
              <w:rPr/>
              <w:t> </w:t>
            </w:r>
          </w:p>
        </w:tc>
        <w:tc>
          <w:tcPr>
            <w:tcW w:w="14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98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Cancelled/forfeited</w:t>
            </w:r>
          </w:p>
        </w:tc>
        <w:tc>
          <w:tcPr>
            <w:tcW w:w="146" w:type="dxa"/>
            <w:tcBorders/>
            <w:shd w:fill="FFFFFF" w:val="clear"/>
            <w:vAlign w:val="center"/>
          </w:tcPr>
          <w:p>
            <w:pPr>
              <w:pStyle w:val="TableContents"/>
              <w:bidi w:val="0"/>
              <w:spacing w:before="0" w:after="283"/>
              <w:jc w:val="right"/>
              <w:rPr/>
            </w:pPr>
            <w:r>
              <w:rPr/>
              <w:t> </w:t>
            </w:r>
          </w:p>
        </w:tc>
        <w:tc>
          <w:tcPr>
            <w:tcW w:w="446"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1" w:type="dxa"/>
            <w:tcBorders/>
            <w:shd w:fill="FFFFFF" w:val="clear"/>
            <w:vAlign w:val="center"/>
          </w:tcPr>
          <w:p>
            <w:pPr>
              <w:pStyle w:val="TableContents"/>
              <w:bidi w:val="0"/>
              <w:spacing w:before="0" w:after="283"/>
              <w:ind w:left="0" w:right="0" w:firstLine="100"/>
              <w:jc w:val="right"/>
              <w:rPr/>
            </w:pPr>
            <w:r>
              <w:rPr/>
              <w:t> </w:t>
            </w:r>
          </w:p>
        </w:tc>
      </w:tr>
      <w:tr>
        <w:trPr/>
        <w:tc>
          <w:tcPr>
            <w:tcW w:w="298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Exercised</w:t>
            </w:r>
          </w:p>
        </w:tc>
        <w:tc>
          <w:tcPr>
            <w:tcW w:w="146" w:type="dxa"/>
            <w:tcBorders/>
            <w:shd w:fill="CFF0FC" w:val="clear"/>
            <w:vAlign w:val="center"/>
          </w:tcPr>
          <w:p>
            <w:pPr>
              <w:pStyle w:val="TableContents"/>
              <w:bidi w:val="0"/>
              <w:spacing w:before="0" w:after="283"/>
              <w:jc w:val="right"/>
              <w:rPr/>
            </w:pPr>
            <w:r>
              <w:rPr/>
              <w:t> </w:t>
            </w:r>
          </w:p>
        </w:tc>
        <w:tc>
          <w:tcPr>
            <w:tcW w:w="446" w:type="dxa"/>
            <w:tcBorders/>
            <w:shd w:fill="CFF0FC" w:val="clear"/>
            <w:vAlign w:val="center"/>
          </w:tcPr>
          <w:p>
            <w:pPr>
              <w:pStyle w:val="TableContents"/>
              <w:bidi w:val="0"/>
              <w:spacing w:before="0" w:after="283"/>
              <w:jc w:val="left"/>
              <w:rPr/>
            </w:pPr>
            <w:r>
              <w:rPr/>
              <w:t> </w:t>
            </w:r>
          </w:p>
        </w:tc>
        <w:tc>
          <w:tcPr>
            <w:tcW w:w="14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left"/>
              <w:rPr/>
            </w:pPr>
            <w:r>
              <w:rPr/>
              <w:t> </w:t>
            </w:r>
          </w:p>
        </w:tc>
        <w:tc>
          <w:tcPr>
            <w:tcW w:w="91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98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Vested</w:t>
            </w:r>
          </w:p>
        </w:tc>
        <w:tc>
          <w:tcPr>
            <w:tcW w:w="146" w:type="dxa"/>
            <w:tcBorders/>
            <w:shd w:fill="FFFFFF" w:val="clear"/>
            <w:vAlign w:val="center"/>
          </w:tcPr>
          <w:p>
            <w:pPr>
              <w:pStyle w:val="TableContents"/>
              <w:bidi w:val="0"/>
              <w:spacing w:before="0" w:after="283"/>
              <w:jc w:val="righ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91" w:type="dxa"/>
            <w:tcBorders/>
            <w:shd w:fill="FFFFFF" w:val="clear"/>
            <w:vAlign w:val="center"/>
          </w:tcPr>
          <w:p>
            <w:pPr>
              <w:pStyle w:val="TableContents"/>
              <w:bidi w:val="0"/>
              <w:spacing w:before="0" w:after="283"/>
              <w:jc w:val="righ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Outstanding at September 30, 2023</w:t>
            </w:r>
          </w:p>
        </w:tc>
        <w:tc>
          <w:tcPr>
            <w:tcW w:w="146" w:type="dxa"/>
            <w:tcBorders/>
            <w:shd w:fill="CFF0FC" w:val="clear"/>
            <w:vAlign w:val="center"/>
          </w:tcPr>
          <w:p>
            <w:pPr>
              <w:pStyle w:val="TableContents"/>
              <w:bidi w:val="0"/>
              <w:spacing w:before="0" w:after="283"/>
              <w:jc w:val="right"/>
              <w:rPr/>
            </w:pPr>
            <w:r>
              <w:rPr/>
              <w:t> </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12—Income Taxes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effective tax rate was 24.6%</w:t>
      </w:r>
      <w:r>
        <w:rPr>
          <w:rFonts w:ascii="Times New Roman" w:hAnsi="Times New Roman"/>
          <w:color w:val="000000"/>
          <w:sz w:val="20"/>
        </w:rPr>
        <w:t xml:space="preserve"> </w:t>
      </w:r>
      <w:r>
        <w:rPr>
          <w:rFonts w:ascii="Times New Roman" w:hAnsi="Times New Roman"/>
          <w:b w:val="false"/>
          <w:color w:val="000000"/>
          <w:sz w:val="20"/>
        </w:rPr>
        <w:t>and 25.0%</w:t>
      </w:r>
      <w:r>
        <w:rPr>
          <w:rFonts w:ascii="Times New Roman" w:hAnsi="Times New Roman"/>
          <w:color w:val="000000"/>
          <w:sz w:val="20"/>
        </w:rPr>
        <w:t xml:space="preserve"> </w:t>
      </w:r>
      <w:r>
        <w:rPr>
          <w:rFonts w:ascii="Times New Roman" w:hAnsi="Times New Roman"/>
          <w:b w:val="false"/>
          <w:color w:val="000000"/>
          <w:sz w:val="20"/>
        </w:rPr>
        <w:t>for the three months ended September 30, 2023 and 2022, respectively, and 28.8%</w:t>
      </w:r>
      <w:r>
        <w:rPr>
          <w:rFonts w:ascii="Times New Roman" w:hAnsi="Times New Roman"/>
          <w:color w:val="000000"/>
          <w:sz w:val="20"/>
        </w:rPr>
        <w:t xml:space="preserve"> </w:t>
      </w:r>
      <w:r>
        <w:rPr>
          <w:rFonts w:ascii="Times New Roman" w:hAnsi="Times New Roman"/>
          <w:b w:val="false"/>
          <w:color w:val="000000"/>
          <w:sz w:val="20"/>
        </w:rPr>
        <w:t>and 26.9%</w:t>
      </w:r>
      <w:r>
        <w:rPr>
          <w:rFonts w:ascii="Times New Roman" w:hAnsi="Times New Roman"/>
          <w:color w:val="000000"/>
          <w:sz w:val="20"/>
        </w:rPr>
        <w:t xml:space="preserve"> </w:t>
      </w:r>
      <w:r>
        <w:rPr>
          <w:rFonts w:ascii="Times New Roman" w:hAnsi="Times New Roman"/>
          <w:b w:val="false"/>
          <w:color w:val="000000"/>
          <w:sz w:val="20"/>
        </w:rPr>
        <w:t>for the nine months ended September 30, 2023 and 2022, respectively. The change in the effective tax rate for the three months ended September 30, 2023 compared to the respective prior year period was primarily due to an increased recognition of windfall tax benefits from stock awards in the current year and a change in the composition of income before income taxes from foreign and domestic tax jurisdictions. The change in the effective tax rate for the nine months ended September 30, 2023 compared to the respective prior year period was primarily due to an increase in uncertain tax positions, partially offset by an increased recognition of windfall tax benefits from stock awards in the current year and a change in the composition of income before income taxes from foreign and domestic tax jurisdictions.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13—Earnings per Share</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sets forth the computation of basic and diluted EPS (in millions, except per share amounts):</w:t>
      </w:r>
    </w:p>
    <w:tbl>
      <w:tblPr>
        <w:tblW w:w="10205" w:type="dxa"/>
        <w:jc w:val="left"/>
        <w:tblInd w:w="0" w:type="dxa"/>
        <w:tblLayout w:type="fixed"/>
        <w:tblCellMar>
          <w:top w:w="28" w:type="dxa"/>
          <w:left w:w="28" w:type="dxa"/>
          <w:bottom w:w="28" w:type="dxa"/>
          <w:right w:w="28" w:type="dxa"/>
        </w:tblCellMar>
      </w:tblPr>
      <w:tblGrid>
        <w:gridCol w:w="5109"/>
        <w:gridCol w:w="146"/>
        <w:gridCol w:w="256"/>
        <w:gridCol w:w="693"/>
        <w:gridCol w:w="177"/>
        <w:gridCol w:w="177"/>
        <w:gridCol w:w="256"/>
        <w:gridCol w:w="693"/>
        <w:gridCol w:w="146"/>
        <w:gridCol w:w="146"/>
        <w:gridCol w:w="251"/>
        <w:gridCol w:w="680"/>
        <w:gridCol w:w="173"/>
        <w:gridCol w:w="173"/>
        <w:gridCol w:w="251"/>
        <w:gridCol w:w="680"/>
        <w:gridCol w:w="198"/>
      </w:tblGrid>
      <w:tr>
        <w:trPr/>
        <w:tc>
          <w:tcPr>
            <w:tcW w:w="5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1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0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income attributable to SS&amp;C common stockholders</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156.0</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412.7</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442.7</w:t>
            </w:r>
          </w:p>
        </w:tc>
        <w:tc>
          <w:tcPr>
            <w:tcW w:w="198" w:type="dxa"/>
            <w:tcBorders/>
            <w:shd w:fill="CFF0FC" w:val="clear"/>
            <w:vAlign w:val="center"/>
          </w:tcPr>
          <w:p>
            <w:pPr>
              <w:pStyle w:val="TableContents"/>
              <w:bidi w:val="0"/>
              <w:spacing w:before="0" w:after="283"/>
              <w:jc w:val="left"/>
              <w:rPr/>
            </w:pPr>
            <w:r>
              <w:rPr/>
              <w:t> </w:t>
            </w:r>
          </w:p>
        </w:tc>
      </w:tr>
      <w:tr>
        <w:trPr/>
        <w:tc>
          <w:tcPr>
            <w:tcW w:w="510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9"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94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98" w:type="dxa"/>
            <w:tcBorders/>
            <w:shd w:fill="FFFFFF" w:val="clear"/>
            <w:vAlign w:val="center"/>
          </w:tcPr>
          <w:p>
            <w:pPr>
              <w:pStyle w:val="TableContents"/>
              <w:bidi w:val="0"/>
              <w:spacing w:before="0" w:after="283"/>
              <w:jc w:val="right"/>
              <w:rPr/>
            </w:pPr>
            <w:r>
              <w:rPr/>
              <w:t> </w:t>
            </w:r>
          </w:p>
        </w:tc>
      </w:tr>
      <w:tr>
        <w:trPr/>
        <w:tc>
          <w:tcPr>
            <w:tcW w:w="510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attributable to SS&amp;C:</w:t>
            </w:r>
          </w:p>
        </w:tc>
        <w:tc>
          <w:tcPr>
            <w:tcW w:w="146" w:type="dxa"/>
            <w:tcBorders/>
            <w:shd w:fill="CFF0FC" w:val="clear"/>
            <w:vAlign w:val="center"/>
          </w:tcPr>
          <w:p>
            <w:pPr>
              <w:pStyle w:val="TableContents"/>
              <w:bidi w:val="0"/>
              <w:spacing w:before="0" w:after="283"/>
              <w:jc w:val="left"/>
              <w:rPr/>
            </w:pPr>
            <w:r>
              <w:rPr/>
              <w:t> </w:t>
            </w:r>
          </w:p>
        </w:tc>
        <w:tc>
          <w:tcPr>
            <w:tcW w:w="949"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9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r>
      <w:tr>
        <w:trPr/>
        <w:tc>
          <w:tcPr>
            <w:tcW w:w="51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common shares outstanding – used in calculation of basic EPS</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247.5</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248.8</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254.8</w:t>
            </w:r>
          </w:p>
        </w:tc>
        <w:tc>
          <w:tcPr>
            <w:tcW w:w="198" w:type="dxa"/>
            <w:tcBorders/>
            <w:shd w:fill="FFFFFF" w:val="clear"/>
            <w:vAlign w:val="center"/>
          </w:tcPr>
          <w:p>
            <w:pPr>
              <w:pStyle w:val="TableContents"/>
              <w:bidi w:val="0"/>
              <w:spacing w:before="0" w:after="283"/>
              <w:jc w:val="left"/>
              <w:rPr/>
            </w:pPr>
            <w:r>
              <w:rPr/>
              <w:t> </w:t>
            </w:r>
          </w:p>
        </w:tc>
      </w:tr>
      <w:tr>
        <w:trPr/>
        <w:tc>
          <w:tcPr>
            <w:tcW w:w="510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common stock equivalents – stock options and restricted shares</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Weighted-average common and common equivalent shares outstanding – used in calculation of diluted EPS</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253.9</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255.3</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263.7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0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9"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94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98" w:type="dxa"/>
            <w:tcBorders/>
            <w:shd w:fill="CFF0FC" w:val="clear"/>
            <w:vAlign w:val="center"/>
          </w:tcPr>
          <w:p>
            <w:pPr>
              <w:pStyle w:val="TableContents"/>
              <w:bidi w:val="0"/>
              <w:spacing w:before="0" w:after="283"/>
              <w:jc w:val="right"/>
              <w:rPr/>
            </w:pPr>
            <w:r>
              <w:rPr/>
              <w:t> </w:t>
            </w:r>
          </w:p>
        </w:tc>
      </w:tr>
      <w:tr>
        <w:trPr/>
        <w:tc>
          <w:tcPr>
            <w:tcW w:w="510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Earnings per share attributable to SS&amp;C common stockholders – Basic</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0.63</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1.66</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1.74</w:t>
            </w:r>
          </w:p>
        </w:tc>
        <w:tc>
          <w:tcPr>
            <w:tcW w:w="198" w:type="dxa"/>
            <w:tcBorders/>
            <w:shd w:fill="FFFFFF" w:val="clear"/>
            <w:vAlign w:val="center"/>
          </w:tcPr>
          <w:p>
            <w:pPr>
              <w:pStyle w:val="TableContents"/>
              <w:bidi w:val="0"/>
              <w:spacing w:before="0" w:after="283"/>
              <w:jc w:val="left"/>
              <w:rPr/>
            </w:pPr>
            <w:r>
              <w:rPr/>
              <w:t> </w:t>
            </w:r>
          </w:p>
        </w:tc>
      </w:tr>
      <w:tr>
        <w:trPr/>
        <w:tc>
          <w:tcPr>
            <w:tcW w:w="510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Earnings per share attributable to SS&amp;C common stockholders – Diluted</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0.61</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w:t>
            </w:r>
          </w:p>
        </w:tc>
        <w:tc>
          <w:tcPr>
            <w:tcW w:w="198" w:type="dxa"/>
            <w:tcBorders/>
            <w:shd w:fill="CFF0FC" w:val="cle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sz w:val="20"/>
        </w:rPr>
      </w:pPr>
      <w:r>
        <w:rPr>
          <w:rFonts w:ascii="Times New Roman" w:hAnsi="Times New Roman"/>
          <w:b w:val="false"/>
          <w:color w:val="000000"/>
          <w:sz w:val="20"/>
        </w:rPr>
        <w:t>Weighted-average stock options, SARs, RSUs and PSUs representing 23.2</w:t>
      </w:r>
      <w:r>
        <w:rPr>
          <w:rFonts w:ascii="Times New Roman" w:hAnsi="Times New Roman"/>
          <w:color w:val="000000"/>
          <w:sz w:val="20"/>
        </w:rPr>
        <w:t xml:space="preserve"> </w:t>
      </w:r>
      <w:r>
        <w:rPr>
          <w:rFonts w:ascii="Times New Roman" w:hAnsi="Times New Roman"/>
          <w:b w:val="false"/>
          <w:color w:val="000000"/>
          <w:sz w:val="20"/>
        </w:rPr>
        <w:t>million and 23.5</w:t>
      </w:r>
      <w:r>
        <w:rPr>
          <w:rFonts w:ascii="Times New Roman" w:hAnsi="Times New Roman"/>
          <w:color w:val="000000"/>
          <w:sz w:val="20"/>
        </w:rPr>
        <w:t xml:space="preserve"> </w:t>
      </w:r>
      <w:r>
        <w:rPr>
          <w:rFonts w:ascii="Times New Roman" w:hAnsi="Times New Roman"/>
          <w:b w:val="false"/>
          <w:color w:val="000000"/>
          <w:sz w:val="20"/>
        </w:rPr>
        <w:t>million shares were outstanding for the three and nine months ended September 30, 2023, respectively, but were not included in the computation of diluted EPS because the effect of including them would be anti-dilutive. Weighted-average stock options, SARs, RSUs and PSUs representing 22.0</w:t>
      </w:r>
      <w:r>
        <w:rPr>
          <w:rFonts w:ascii="Times New Roman" w:hAnsi="Times New Roman"/>
          <w:color w:val="000000"/>
          <w:sz w:val="20"/>
        </w:rPr>
        <w:t xml:space="preserve"> </w:t>
      </w:r>
      <w:r>
        <w:rPr>
          <w:rFonts w:ascii="Times New Roman" w:hAnsi="Times New Roman"/>
          <w:b w:val="false"/>
          <w:color w:val="000000"/>
          <w:sz w:val="20"/>
        </w:rPr>
        <w:t>million shares were outstanding for the three and nine months ended September 30, 2022, but were not included in the computation of diluted EPS because the effect of including them would be anti-dilutive.</w:t>
      </w:r>
    </w:p>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Note 14—Commitments and Contingencies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From time to time, we are subject to legal proceedings and claims. In our opinion, we are not involved in any litigation or proceedings that would have a material adverse effect on us or our business.</w:t>
      </w:r>
    </w:p>
    <w:p>
      <w:pPr>
        <w:pStyle w:val="TextBody"/>
        <w:bidi w:val="0"/>
        <w:spacing w:before="120" w:after="120"/>
        <w:jc w:val="left"/>
        <w:rPr>
          <w:rFonts w:ascii="Times New Roman" w:hAnsi="Times New Roman"/>
          <w:b w:val="false"/>
          <w:i/>
          <w:color w:val="000000"/>
          <w:sz w:val="20"/>
        </w:rPr>
      </w:pPr>
      <w:r>
        <w:rPr>
          <w:rFonts w:ascii="Times New Roman" w:hAnsi="Times New Roman"/>
          <w:b w:val="false"/>
          <w:i/>
          <w:color w:val="000000"/>
          <w:sz w:val="20"/>
        </w:rPr>
        <w:t>Legal Proceedings</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In connection with recent legal proceedings related to the ongoing DST ERISA matters described below, including the settlement agreement which was submitted to the United States District Court for the Southern District of New York for preliminary approval on July 14, 2023, and which was granted final approval on October 25, 2023, we recorded an accrued liability of $55.1</w:t>
      </w:r>
      <w:r>
        <w:rPr>
          <w:rFonts w:ascii="Times New Roman" w:hAnsi="Times New Roman"/>
          <w:color w:val="000000"/>
          <w:sz w:val="20"/>
        </w:rPr>
        <w:t xml:space="preserve"> </w:t>
      </w:r>
      <w:r>
        <w:rPr>
          <w:rFonts w:ascii="Times New Roman" w:hAnsi="Times New Roman"/>
          <w:b w:val="false"/>
          <w:color w:val="000000"/>
          <w:sz w:val="20"/>
        </w:rPr>
        <w:t>million. Of this amount, $3.6</w:t>
      </w:r>
      <w:r>
        <w:rPr>
          <w:rFonts w:ascii="Times New Roman" w:hAnsi="Times New Roman"/>
          <w:color w:val="000000"/>
          <w:sz w:val="20"/>
        </w:rPr>
        <w:t xml:space="preserve"> </w:t>
      </w:r>
      <w:r>
        <w:rPr>
          <w:rFonts w:ascii="Times New Roman" w:hAnsi="Times New Roman"/>
          <w:b w:val="false"/>
          <w:color w:val="000000"/>
          <w:sz w:val="20"/>
        </w:rPr>
        <w:t>million of expense was recorded in the nine months ended September 30, 2023, $8.1</w:t>
      </w:r>
      <w:r>
        <w:rPr>
          <w:rFonts w:ascii="Times New Roman" w:hAnsi="Times New Roman"/>
          <w:color w:val="000000"/>
          <w:sz w:val="20"/>
        </w:rPr>
        <w:t xml:space="preserve"> </w:t>
      </w:r>
      <w:r>
        <w:rPr>
          <w:rFonts w:ascii="Times New Roman" w:hAnsi="Times New Roman"/>
          <w:b w:val="false"/>
          <w:color w:val="000000"/>
          <w:sz w:val="20"/>
        </w:rPr>
        <w:t>million of expense was recorded in 2022 and $43.4</w:t>
      </w:r>
      <w:r>
        <w:rPr>
          <w:rFonts w:ascii="Times New Roman" w:hAnsi="Times New Roman"/>
          <w:color w:val="000000"/>
          <w:sz w:val="20"/>
        </w:rPr>
        <w:t xml:space="preserve"> </w:t>
      </w:r>
      <w:r>
        <w:rPr>
          <w:rFonts w:ascii="Times New Roman" w:hAnsi="Times New Roman"/>
          <w:b w:val="false"/>
          <w:color w:val="000000"/>
          <w:sz w:val="20"/>
        </w:rPr>
        <w:t>million of expense was recorded in 2021. Expense amounts are included in other (expense) income, net on the Condensed Consolidated Statements of Comprehensive Income (Loss). As of September 30, 2023, the accrued liability decreased to $51.0</w:t>
      </w:r>
      <w:r>
        <w:rPr>
          <w:rFonts w:ascii="Times New Roman" w:hAnsi="Times New Roman"/>
          <w:color w:val="000000"/>
          <w:sz w:val="20"/>
        </w:rPr>
        <w:t xml:space="preserve"> </w:t>
      </w:r>
      <w:r>
        <w:rPr>
          <w:rFonts w:ascii="Times New Roman" w:hAnsi="Times New Roman"/>
          <w:b w:val="false"/>
          <w:color w:val="000000"/>
          <w:sz w:val="20"/>
        </w:rPr>
        <w:t>million as a result of a $4.1</w:t>
      </w:r>
      <w:r>
        <w:rPr>
          <w:rFonts w:ascii="Times New Roman" w:hAnsi="Times New Roman"/>
          <w:color w:val="000000"/>
          <w:sz w:val="20"/>
        </w:rPr>
        <w:t xml:space="preserve"> </w:t>
      </w:r>
      <w:r>
        <w:rPr>
          <w:rFonts w:ascii="Times New Roman" w:hAnsi="Times New Roman"/>
          <w:b w:val="false"/>
          <w:color w:val="000000"/>
          <w:sz w:val="20"/>
        </w:rPr>
        <w:t>million scheduled payment. The actions described herein will not be dismissed until the deadline to appeal the final approval order expires on November 27, 2023, assuming no appeal is taken, or after any appeals have been finally resolved. Due to the inherent uncertainties associated with the resolution of these matters, the ultimate resolution of and any additional potential exposure related to these matters are uncertain at this time.</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On September 1, 2017, a putative representative action was filed on behalf of the DST 401(k) Profit Sharing Plan (the “Plan”) in the United States District Court for the Southern District of New York, captioned Ferguson, et al v. Ruane, Cunniff &amp; Goldfarb Inc., et al. (“Ferguson”), naming as defendants DST, the Compensation Committee of DST’s Board of Directors, the Advisory Committee of the Plan and certain of DST’s present and/or former officers and directors (collectively the “DST Defendants”), alleging breach of fiduciary duties and other violations of the Employee Retirement Income Security Act (“ERISA”). The DST Defendants answered the operative complaint and asserted crossclaims for contribution and/or indemnification against Ruane, Cunniff &amp; Goldfarb Inc. (“Ruane”). On January 9, 2020, Ruane filed an amended answer to the amended complaint and asserted crossclaims for contribution and/or indemnification against DST. On March 8, 2021, the Court denied without prejudice the plaintiffs’ (the “Ferguson Plaintiffs”) then-pending motions for leave to file a third amended complaint and for class certification, ordering that the parties address the effect, if any, on the Ferguson Plaintiffs’ motions of the March 4, 2021 decision by the United States Court of Appeals for the Second Circuit in Cooper v. Ruane, Cunniff &amp; Goldfarb Inc. The Ferguson Plaintiffs renewed their motions for leave to file a third amended complaint and for class certification, which motions were fully briefed on May 10, 2021. On August 17, 2021, the Court certified a mandatory, non-opt-out class under Federal Rule of Civil Procedure 23(b)(1) that includes all plan participants from March 14, 2010 through July 31, 2016 other than 28 plan fiduciaries. Arbitration Claimants, and the Canfield Plaintiffs and Mendon Plaintiffs, each as defined below, filed petitions under Federal Rule of Civil Procedure 23(f) with the Second Circuit on August 30, 2021 and August 31, 2021, respectively, seeking interlocutory review of the Ferguson class certification order, which the Ferguson Plaintiffs and the DST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Defendants opposed. The Second Circuit denied the Rule 23(f) petitions on May 24, 2022 and May 25, 2022, respectively. On February 4, 2022, the Ferguson Plaintiffs filed a third amended complaint, which included the class allegations. On March 7, 2022, the DST Defendants and Ruane each filed answers to the Ferguson Plaintiffs’ third amended complaint and reasserted their respective‌ cross-claims. On August 23, 2021, the DST Defendants moved for a temporary restraining order and preliminary injunction against other proceedings, including the below-described arbitrations, which arise out of or relate to the allegations in Ferguson. Following briefing, on November 18, 2021, the Court granted the DST Defendants’ motion and entered a preliminary injunction enjoining the Ferguson class members, including Arbitration Claimants, from instituting new actions or litigating in arbitration or other proceedings against the DST Defendants matters arising out of or relating to the facts or transactions alleged in the operative Ferguson complaint. On November 18, 2021, the Court also ordered the DST Defendants and Arbitration Claimants to submit briefing regarding how the arbitration awards that had been entered against the DST Defendants should be handled in light of the Court’s class certification order and preliminary injunction.</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On December 15, 2021, Arbitration Claimants and the Canfield Plaintiffs and Mendon Plaintiffs appealed the Court’s preliminary injunction. On December 23, 2021 and January 26, 2022, the DST Defendants, Arbitration Claimants, and the Ferguson Plaintiffs submitted briefs concerning the treatment of the arbitration awards that had been entered against the DST Defendants. On December 31, 2021, Arbitration Claimants sought an immediate stay of the preliminary injunction pending their appeal to the Second Circuit. On January 3, 2022, the Court denied Arbitration Claimants’ motion for an immediate stay and ordered the DST Defendants to show cause as to why the Court should not issue a stay of the preliminary injunction pending appeal. On February 3, 2022, the Court denied Arbitration Claimants’ motion to stay the preliminary injunction pending appeal. The Court also held that it would determine the status of the arbitration awards already entered against DST at final judgment in the Ferguson action, either after trial or after settlement. On February 4, 2022, Arbitration Claimants filed a motion in the Second Circuit to stay the preliminary injunction pending their appeal of the Court’s preliminary injunction. On June 7, 2022, the Second Circuit denied Arbitration Claimants’ motion to stay the preliminary injunction pending appeal. On February 8, 2022, Arbitration Claimants and the Canfield Plaintiffs and Mendon Plaintiffs appealed the Court’s February 3, 2022 order. The February 8, 2022 appeal was consolidated with the December 15, 2021 appeal of the preliminary injunction. On May 17, 2022, Arbitration Claimants and the Canfield Plaintiffs and Mendon Plaintiffs filed their opening brief in the consolidated appeals. The DST Defendants filed their answering brief on September 15, 2022, and the reply was filed on October 20, 2022. On April 20, 2023, the Second Circuit heard oral argument on the appeals. On July 18, 2023, the DST Defendants submitted an unopposed motion to stay these appeals pending the Ferguson Court’s consideration of whether to preliminarily and finally approve a settlement that was proposed to that court on July 14, 2023, as discussed below, and which, now that is has been approved, resolves these appeals. On July 19, 2023, the Second Circuit granted the motion.</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On July 10, 2020, the Ferguson Plaintiffs and the DST Defendants had reached an agreement in principle to settle the class claims for $27</w:t>
      </w:r>
      <w:r>
        <w:rPr>
          <w:rFonts w:ascii="Times New Roman" w:hAnsi="Times New Roman"/>
          <w:color w:val="000000"/>
          <w:sz w:val="20"/>
        </w:rPr>
        <w:t xml:space="preserve"> </w:t>
      </w:r>
      <w:r>
        <w:rPr>
          <w:rFonts w:ascii="Times New Roman" w:hAnsi="Times New Roman"/>
          <w:b w:val="false"/>
          <w:color w:val="000000"/>
          <w:sz w:val="20"/>
        </w:rPr>
        <w:t>million, subject to the occurrence of certain conditions, including: Court certification of a “non</w:t>
        <w:noBreakHyphen/>
        <w:t>opt-out” class in the case that includes as class members all participants of the Plan, Court approval of the settlement in accordance with applicable law and the satisfactory resolution of claims made by certain other litigants. On September 18, 2020, the parties disclosed to the Court that the Ferguson Plaintiffs and Ruane also had reached a settlement in principle, subject to Court approval. The Ferguson‌ Plaintiffs and the DST Defendants entered into a settlement agreement dated January 8, 2021 memorializing the terms of their proposed settlement, which was filed by the Ferguson Plaintiffs with the Court on the same date. On January 12, 2021, the Ferguson Plaintiffs moved for preliminary approval of the settlement with the DST Defendants, as well as preliminary approval of a separate settlement reached between the Ferguson Plaintiffs and Ruane. Arbitration Claimants and the U.S. Department of Labor (“DOL”) objected to various aspects of those settlements in filings dated January 15, 2021, January 27, 2021, and February 5, 2021. On August 17, 2021, the Court denied the Ferguson Plaintiffs’ motion for preliminary approval of the settlement on the terms proposed.</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On November 10, 2022, the Ferguson parties filed a notice of settlement and joint motion to stay the proceedings. The notice informed the Court that the parties had reached a settlement in principle. On November 18, 2022, the Court stayed the Ferguson action, which stay was extended pending the Court’s consideration of the preliminary and final approval motions, as explained further below.‌</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On April 5, 2023, Arbitration Claimants filed a motion to decertify the Rule 23(b)(1) class previously certified by the Court, or, in the alternative, to amend the class definition to remove Arbitration Claimants or permit them to opt out of the class. The Court held in abeyance the deadline to respond to the motion to allow the parties to conduct settlement discussions.‌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On April 7, 2023, the Ferguson parties filed a joint status report informing the Court that they had been working diligently with the DOL to finalize all necessary papers to document the settlement reached to resolve the Ferguson matter and all other related matters, and that the parties anticipated filing a final executed settlement agreement and supporting exhibits by April 14, 2023. On April 14, 2023, the DST Defendants informed the Court that, in response to a request from Arbitration Claimants, the United States District Court for the Western District of Missouri had entered an injunction, as discussed below, enjoining DST from entering into or effectuating an agreement that settles, disposes of, interferes with, invalidates, satisfies, sets aside, alters, or otherwise compromises any of 55 judgments confirming arbitration awards entered by the Western District of Missouri on March 31, 2023.‌</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On June 30, 2023, the Ferguson parties submitted a joint status report informing the Court that they, together with the DOL and the Arbitration Claimants, had reached an agreement in principle to resolve the Ferguson matter, together with each of the related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proceedings, and that the parties were working to prepare a complete written settlement agreement and supporting exhibits. The parties stated to the Court that the settlement would include a proposed schedule for preliminary approval, notice and a fairness hearing. On July 5, 2023, the Court stayed all deadlines pending its consideration of the anticipated preliminary approval motion.</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On July 14, 2023, the Ferguson Plaintiffs filed an unopposed motion for preliminary approval of the settlement, together with a settlement agreement and exhibits. The settlement agreement was signed by the Ferguson Plaintiffs, DST, Ruane, and Ruane’s former Chairman and Chief Executive Officer Robert D. Goldfarb (“Goldfarb”), and, as to certain provisions, the Secretary of the DOL, counsel for the Arbitration Claimants, and counsel for the Canfield Plaintiffs and the Mendon Plaintiffs (described below). Pursuant to the proposed settlement, DST, Ruane, and Goldfarb will pay a total of $124,625,000; and all pending matters related to the Plan will be dismissed with prejudice and claims relating in any way thereto will be released. On August 3, 2023, the Court preliminarily approved the settlement. On October 3, 2023, the Ferguson Plaintiffs filed an unopposed motion for final approval of the settlement. On October 23, 2023, the Court held a fairness hearing, and on October 25, 2023, the Court granted final approval and entered a Final Approval Order, Judgment, and Permanent Injunction, and directed that the case be closed. DST will pay approximately $55.1</w:t>
      </w:r>
      <w:r>
        <w:rPr>
          <w:rFonts w:ascii="Times New Roman" w:hAnsi="Times New Roman"/>
          <w:color w:val="000000"/>
          <w:sz w:val="20"/>
        </w:rPr>
        <w:t xml:space="preserve"> </w:t>
      </w:r>
      <w:r>
        <w:rPr>
          <w:rFonts w:ascii="Times New Roman" w:hAnsi="Times New Roman"/>
          <w:b w:val="false"/>
          <w:color w:val="000000"/>
          <w:sz w:val="20"/>
        </w:rPr>
        <w:t>million to fund its share of the global settlement, and all pending related claims will be discharged. DST expects to make the majority of its portion of the settlement payment, at the earliest, during the fourth quarter of 2023, subject to no appeals of the final approval order being filed by November 27, 2023, at which point all pending DST ERISA matters described herein would be dismissed with prejudice, and subject to all other conditions set forth in the settlement agreement being satisfied.</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On September 28, 2018, a complaint was filed in the United States District Court for the Southern District of New York captioned Robert Canfield, et al. v. SS&amp;C Technologies Holdings, Inc., et al., on behalf of five individual plaintiffs (the “Canfield Plaintiffs”). On November 5, 2018, a similar complaint was filed in the United States District Court for the Southern District of New York captioned Mark Mendon, et al. v. SS&amp;C Technologies Holdings, Inc., et al., on behalf of two individual plaintiffs (the “Mendon Plaintiffs”). These complaints named as defendants SS&amp;C, the DST Defendants, and Ruane. The underlying claim in each complaint was the same as in the above-described Ferguson matter, with the exception that these actions purported to be brought as individual actions and not putative class actions. On July 10, 2020, the Court granted the DST Defendants’ motion to disqualify plaintiffs’ counsel in the Canfield and Mendon actions. On March 17, 2021, the Court denied the DST Defendants’ motion to disqualify counsel from the arbitrations described below. On April 12, 2021, the Canfield Plaintiffs and Mendon Plaintiffs filed notices of voluntary dismissal dismissing their claims against Ruane with prejudice, which were entered by the Court on April 13, 2021. On April 22, 2021, the DST Defendants filed motions to dismiss the Canfield and Mendon actions. Those motions were fully briefed on May 28, 2021. On November 19, 2021, the Court dismissed the Canfield and Mendon actions. On December 17, 2021, the Canfield Plaintiffs and Mendon Plaintiffs appealed to the Second Circuit the Court’s November 19, 2021 orders dismissing their respective actions. On May 17, 2022, the Canfield Plaintiffs and Mendon Plaintiffs filed their opening briefs in those appeals. The DST Defendants filed their answering briefs on September 15, 2022. The Canfield Plaintiffs and Mendon Plaintiffs filed their reply briefs on October 20, 2022. On April 20, 2023, the Second Circuit heard oral argument on the appeals. On July 18, 2023, the DST Defendants submitted an unopposed motion to stay these appeals pending the Ferguson Court’s consideration of whether to preliminarily and finally approve the settlement that was proposed to that court on July 14, 2023, as discussed above, and which, now that is has been approved, resolves these appeals. On July 19, 2023, the Second Circuit granted the motion.</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On October 8, 2019, a substantially similar action to the above-described Ferguson, Canfield, Mendon and below-described arbitration matters captioned Scalia v. Ruane, Cunniff &amp; Goldfarb Inc. was filed by the DOL in the United States District Court for the Southern District of New York naming as defendants DST, the Advisory Committee of the Plan, the Compensation Committee of DST’s Board of Directors and certain of DST’s former officers and directors, and alleging that the DST Defendants breached fiduciary duties in violation of ERISA in connection with the Plan. The complaint also named as defendants Ruane and Goldfarb. In the complaint, the DOL sought disgorgement, damages and any other appropriate injunctive or equitable relief. The DST Defendants moved to dismiss the complaint on December 4, 2020 on the ground that the DOL’s complaint was time-barred. Other defendants also filed motions to dismiss on the same and other grounds. Briefing on the motions to dismiss was completed on February 5, 2021. On March 28, 2022, the court denied defendants’ motions to dismiss, and Martin J. Walsh was substituted for Eugene Scalia as the plaintiff. On April 11, 2022, the DST Defendants answered the DOL’s complaint. On May 5, 2023, the Court stayed the action, then captioned Julie A. Su v. Ruane, Cunniff &amp; Goldfarb Inc., et al., which stay was extended pending the Court’s consideration of the preliminary and final approval motions discussed above.</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On June 30, 2023, the parties to the DOL action informed the Court that they had reached an agreement in principle to resolve the Su action, together with each of the related proceedings, including the above-described Ferguson matter, and that the parties were working to agree on a complete written stipulation and supporting exhibits. The parties stated that the settlement would include a proposed schedule for preliminary approval, notice and a fairness hearing. On July 5, 2023, the Court stayed all deadlines pending its consideration of the anticipated preliminary approval motion in Ferguson. On July 14, 2023, the parties filed a Joint Stipulation of Settlement and Release of Claims, together with a settlement agreement and exhibits, as discussed further above. On October 25, 2023, in connection with the final approval of the parties’ settlement, the Court directed that the case be closed.</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DST, the Advisory Committee of the Plan, and the Compensation Committee of DST’s Board of Directors have been named in 579 substantially similar individual demands for arbitration to date, by former and current DST employees demanding arbitration</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under the DST Employee Arbitration Program and Agreement (the “Arbitration Claimants”). The underlying claim in each is the same as in the above-described Ferguson matter, with the exception that the arbitrations purport to be brought as individual actions. On November 24, 2021, in light of the preliminary injunction entered in Ferguson discussed above, the American Arbitration Association (the “AAA”) ceased administration of the arbitrations brought by members of the Ferguson class, which includes all of the Arbitration Claimants with the exception of certain former Plan fiduciaries. As of November 24, 2021, 557 demands for arbitration had been submitted to the AAA. As of the date on which the preliminary injunction was entered, those individual arbitrations were at various stages depending on the particular proceeding. Certain of those arbitrations had resulted in awards against DST and others had resulted in decisions finding no liability as against DST. Many of those decisions were subject to further appeal within the AAA. Certain of the arbitration proceedings had been resolved in whole or in part by settlement. Since November 24, 2021,‌ the AAA has administered only those arbitration proceedings associated with claimants who are not members of the Ferguson class, certain of which have resulted in awards against DST.‌</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Between August 20, 2021 and November 17, 2021, counsel for Arbitration Claimants filed 177 motions to confirm certain of the arbitration awards. DST filed responses to those motions. Between October 4 and December 22, 2021, the Western District of Missouri issued orders confirming those 177 arbitration awards and entering judgments against DST. DST appealed those judgments to the United States Court of Appeals for the Eighth Circuit. On November 20, 2021, DST requested that the Eighth Circuit stay the pending appeals in light of the preliminary injunction entered in Ferguson. On December 3, 2021, the Eighth Circuit ordered the parties to brief DST’s stay request, and on January 3, 2022, the Eighth Circuit declined to stay the briefing schedule on the pending appeals and consolidated those appeals. DST filed its opening brief in the Eighth Circuit on March 24, 2022. Arbitration Claimants filed their opposition brief on April 26, 2022, and DST filed its reply brief on May 18, 2022. The Eighth Circuit heard oral argument on June 14, 2022. On November 28, 2022, the Eighth Circuit vacated the judgments confirming the 177 arbitration awards and remanded those actions to the Western District of Missouri to determine whether the district court had subject-matter jurisdiction and whether the district court should transfer the cases to the Southern District of New York. On December 14, 2022, the parties submitted simultaneous briefing to the Western District of Missouri regarding transfer.‌ On March 31, 2023, the Western District of Missouri issued an order finding that it had subject-matter jurisdiction over 55 of the 177 confirmation actions, and confirmed the 55 arbitration awards in those actions and entered judgments against DST. The court dismissed the other 122 on the ground that it lacked subject-matter jurisdiction. The court further denied DST’s motion to transfer any of the 177 confirmation actions to the Southern District of New York. On April 28, 2023, DST appealed these judgments to the Eighth Circuit. On July 17, 2023, DST submitted an unopposed motion to stay these appeals pending the Ferguson Court’s consideration of whether to preliminarily and finally approve the settlement that was proposed to that court on July 14, 2023, as discussed above, and which, now that it has been approved, resolves these appeals. On July 18, 2023, the Eighth Circuit granted the motion.‌</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On April 10, 2023, Arbitration Claimants filed in the Western District of Missouri an emergency motion seeking a Temporary Restraining Order and Preliminary Injunction prohibiting DST from settling or attempting to settle through any class or representative action the 55 individual arbitration awards the court had confirmed in its March 31, 2023 order, or any part thereof, unless such settlement was entered into individually and voluntarily by these 55 individuals. On April 10, 2023, the Western District of Missouri entered a preliminary injunction against DST in a text-only docket entry, which stated that “[i]n each of the 55 cases in which this Court has subject matter jurisdiction and entered an order on March 31, 2023 confirming an arbitration award, the Court hereby enjoins DST or anyone on behalf of DST from entering into or effectuating an agreement that settles, disposes of, interferes with, invalidates, satisfies, sets aside, alters, or otherwise compromises each such judgment, without the express written consent of each Confirmation Plaintiff in whose favor judgment was entered by this Court.” On April 12, 2023, DST appealed the preliminary injunction to the Eighth Circuit. On April 27, 2023, DST filed a motion in the Western District of Missouri seeking a stay of its preliminary injunction pending appeal. On May 5, 2023, the Western District of Missouri denied DST’s motion to stay the injunction. On July 17, 2023, DST submitted to the Eighth Circuit an unopposed motion to stay the appeals pending the Ferguson Court’s consideration of whether to preliminarily and finally approve the settlement that was proposed to that court on July 14, 2023, as discussed above, and which, now that it has been approved, resolves these appeals. On July 18, 2023, the Eighth Circuit granted the motion.</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On November 9, 2021, Arbitration Claimants’ counsel filed in the Western District of Missouri a petition to compel arbitration captioned Addison v. DST Systems, Inc. (the “Addison Petition”) on behalf of 155 Arbitration Claimants, which DST opposed. On September 15, 2022, the Western District of Missouri dismissed the Addison Petition without prejudice, subject to that action being reopened after the Eighth Circuit’s rulings on DST’s appeals of the 177 orders confirming arbitration awards. On June 20, 2023, the Western District of Missouri reopened the Addison case. On July 19, 2023, the Western District of Missouri ordered that the Addison case be stayed in light of the Ferguson settlement.</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On November 11, 2020, DST, the Compensation Committee of DST’s Board of Directors, and the Advisory Committee of the Plan as plaintiffs filed a complaint in the United States District Court for the Southern District of New York against Ruane, certain of its related entities, and certain of its current and former employees. The complaint asserts claims for contribution, indemnification, and breach of contract arising out of Ruane’s management of the Plan’s investments and claims for actual and constructive fraudulent conveyances. On May 24, 2021, Defendant Goldfarb filed an answer to the complaint. On December 17, 2021, the remaining defendants filed a motion to dismiss the DST plaintiffs’ complaint. On July 27, 2022, the Court denied without prejudice the pending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motion to dismiss, and ordered the parties to submit by October 3, 2022 a joint status report with a new briefing schedule on the motion. On October 3, 2022, the parties filed a joint status report with a new briefing schedule on the motion, which the Court approved on October 4, 2022. On January 31, 2023, the Court stayed the proceedings, which stay was subsequently extended. On July 5, 2023, the Court stayed all deadlines pending its consideration of the anticipated preliminary approval motion in Ferguson. As described above, on July 14, 2023, the Ferguson Plaintiffs filed an unopposed motion for preliminary approval of a proposed settlement with the Ferguson Court, together with a proposed settlement that, now that it has been approved, resolves this action and all of the actions described above.</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Note 15—Subsequent Events</w:t>
      </w:r>
    </w:p>
    <w:p>
      <w:pPr>
        <w:pStyle w:val="TextBody"/>
        <w:bidi w:val="0"/>
        <w:spacing w:before="120" w:after="120"/>
        <w:jc w:val="left"/>
        <w:rPr>
          <w:rFonts w:ascii="Times New Roman" w:hAnsi="Times New Roman"/>
          <w:b w:val="false"/>
          <w:i/>
          <w:color w:val="000000"/>
          <w:sz w:val="20"/>
        </w:rPr>
      </w:pPr>
      <w:r>
        <w:rPr>
          <w:rFonts w:ascii="Times New Roman" w:hAnsi="Times New Roman"/>
          <w:b w:val="false"/>
          <w:i/>
          <w:color w:val="000000"/>
          <w:sz w:val="20"/>
        </w:rPr>
        <w:t>Acquisition</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On October 1, 2023, we acquired the managed funds administration business from Iress Limited, OneVue Fund Services Pty Ltd. (“OneVue”), for approximately $32.5</w:t>
      </w:r>
      <w:r>
        <w:rPr>
          <w:rFonts w:ascii="Times New Roman" w:hAnsi="Times New Roman"/>
          <w:color w:val="000000"/>
          <w:sz w:val="20"/>
        </w:rPr>
        <w:t xml:space="preserve"> </w:t>
      </w:r>
      <w:r>
        <w:rPr>
          <w:rFonts w:ascii="Times New Roman" w:hAnsi="Times New Roman"/>
          <w:b w:val="false"/>
          <w:color w:val="000000"/>
          <w:sz w:val="20"/>
        </w:rPr>
        <w:t>million in cash. OneVue provides software and services for trading and market data, financial advice, investment management, mortgages, superannuation, life and pensions and data intelligence.</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2022 Form 10-K and the Condensed Consolidated Financial Statements included in this Form 10-Q. We use the term organic to refer to the businesses and operations that are included in the comparable prior year period on a constant currency basis. Organic excludes the impact of any business which we acquired for the time period which would impact the comparable prior year period.</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Ongoing macroeconomic conditions, such as increases in interest rates, inflation and changes in foreign currency exchange rates, could have impacts on our results that are uncertain and, in many respects, outside our control. The situations remain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Certain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2022 Form 10-K. Our critical accounting policies are described in the 2022 Form 10-K and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Investments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Long-Lived Assets, Intangible Assets and Goodwill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Software Capitalization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Acquisition Accounting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Revenue Recognition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Stock-based Compensation</w:t>
      </w:r>
    </w:p>
    <w:p>
      <w:pPr>
        <w:pStyle w:val="TextBody"/>
        <w:bidi w:val="0"/>
        <w:spacing w:before="0" w:after="0"/>
        <w:jc w:val="left"/>
        <w:rPr>
          <w:color w:val="000000"/>
        </w:rPr>
      </w:pPr>
      <w:r>
        <w:rPr>
          <w:color w:val="000000"/>
        </w:rPr>
        <w:t>•</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Income Taxes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Revenues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results of operations below include the results of our recent acquisitions from the date which they were acquired, including, Blue Prism and Hubwise in March 2022, MineralWare in May 2022, O’Shares in June 2022, Tier1 in August 2022 and CFO in December 2022.</w:t>
      </w:r>
    </w:p>
    <w:p>
      <w:pPr>
        <w:pStyle w:val="TextBody"/>
        <w:bidi w:val="0"/>
        <w:spacing w:before="200" w:after="120"/>
        <w:jc w:val="left"/>
        <w:rPr>
          <w:rFonts w:ascii="Times New Roman" w:hAnsi="Times New Roman"/>
          <w:b w:val="false"/>
          <w:color w:val="000000"/>
          <w:sz w:val="20"/>
        </w:rPr>
      </w:pPr>
      <w:r>
        <w:rPr>
          <w:rFonts w:ascii="Times New Roman" w:hAnsi="Times New Roman"/>
          <w:b w:val="false"/>
          <w:color w:val="000000"/>
          <w:sz w:val="20"/>
        </w:rPr>
        <w:t>The following table sets forth the percentage of our total revenues represented by each of the following sources of revenues for the periods indicated:</w:t>
      </w:r>
    </w:p>
    <w:tbl>
      <w:tblPr>
        <w:tblW w:w="9174" w:type="dxa"/>
        <w:jc w:val="left"/>
        <w:tblInd w:w="0" w:type="dxa"/>
        <w:tblLayout w:type="fixed"/>
        <w:tblCellMar>
          <w:top w:w="28" w:type="dxa"/>
          <w:left w:w="28" w:type="dxa"/>
          <w:bottom w:w="28" w:type="dxa"/>
          <w:right w:w="28" w:type="dxa"/>
        </w:tblCellMar>
      </w:tblPr>
      <w:tblGrid>
        <w:gridCol w:w="2821"/>
        <w:gridCol w:w="146"/>
        <w:gridCol w:w="211"/>
        <w:gridCol w:w="828"/>
        <w:gridCol w:w="393"/>
        <w:gridCol w:w="211"/>
        <w:gridCol w:w="211"/>
        <w:gridCol w:w="828"/>
        <w:gridCol w:w="271"/>
        <w:gridCol w:w="146"/>
        <w:gridCol w:w="204"/>
        <w:gridCol w:w="800"/>
        <w:gridCol w:w="380"/>
        <w:gridCol w:w="204"/>
        <w:gridCol w:w="204"/>
        <w:gridCol w:w="800"/>
        <w:gridCol w:w="51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vAlign w:val="center"/>
          </w:tcPr>
          <w:p>
            <w:pPr>
              <w:pStyle w:val="TableContents"/>
              <w:bidi w:val="0"/>
              <w:spacing w:before="0" w:after="283"/>
              <w:jc w:val="left"/>
              <w:rPr/>
            </w:pPr>
            <w:r>
              <w:rPr/>
              <w:t> </w:t>
            </w:r>
          </w:p>
        </w:tc>
        <w:tc>
          <w:tcPr>
            <w:tcW w:w="1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Software-enabled services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82.2</w:t>
            </w:r>
          </w:p>
        </w:tc>
        <w:tc>
          <w:tcPr>
            <w:tcW w:w="39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79.5</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81.7</w:t>
            </w:r>
          </w:p>
        </w:tc>
        <w:tc>
          <w:tcPr>
            <w:tcW w:w="38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CFF0FC" w:val="clear"/>
            <w:vAlign w:val="center"/>
          </w:tcPr>
          <w:p>
            <w:pPr>
              <w:pStyle w:val="TableContents"/>
              <w:bidi w:val="0"/>
              <w:spacing w:before="0" w:after="283"/>
              <w:jc w:val="right"/>
              <w:rPr/>
            </w:pPr>
            <w:r>
              <w:rPr/>
              <w:t> </w:t>
            </w:r>
          </w:p>
        </w:tc>
        <w:tc>
          <w:tcPr>
            <w:tcW w:w="204" w:type="dxa"/>
            <w:tcBorders/>
            <w:shd w:fill="CFF0FC" w:val="clear"/>
            <w:vAlign w:val="center"/>
          </w:tcPr>
          <w:p>
            <w:pPr>
              <w:pStyle w:val="TableContents"/>
              <w:bidi w:val="0"/>
              <w:spacing w:before="0" w:after="283"/>
              <w:jc w:val="left"/>
              <w:rPr/>
            </w:pPr>
            <w:r>
              <w:rPr/>
              <w:t> </w:t>
            </w:r>
          </w:p>
        </w:tc>
        <w:tc>
          <w:tcPr>
            <w:tcW w:w="80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81.3</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8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 maintenance and related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w:t>
            </w:r>
          </w:p>
        </w:tc>
        <w:tc>
          <w:tcPr>
            <w:tcW w:w="3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FFFFFF" w:val="clear"/>
            <w:vAlign w:val="center"/>
          </w:tcPr>
          <w:p>
            <w:pPr>
              <w:pStyle w:val="TableContents"/>
              <w:bidi w:val="0"/>
              <w:spacing w:before="0" w:after="283"/>
              <w:jc w:val="righ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82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11"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3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 w:type="dxa"/>
            <w:tcBorders/>
            <w:shd w:fill="CFF0FC" w:val="clear"/>
            <w:vAlign w:val="center"/>
          </w:tcPr>
          <w:p>
            <w:pPr>
              <w:pStyle w:val="TableContents"/>
              <w:bidi w:val="0"/>
              <w:spacing w:before="0" w:after="283"/>
              <w:jc w:val="righ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120"/>
        <w:jc w:val="left"/>
        <w:rPr>
          <w:rFonts w:ascii="Times New Roman" w:hAnsi="Times New Roman"/>
          <w:b w:val="false"/>
          <w:color w:val="000000"/>
          <w:sz w:val="20"/>
        </w:rPr>
      </w:pPr>
      <w:r>
        <w:rPr>
          <w:rFonts w:ascii="Times New Roman" w:hAnsi="Times New Roman"/>
          <w:b w:val="false"/>
          <w:color w:val="000000"/>
          <w:sz w:val="20"/>
        </w:rPr>
        <w:t>The following table sets forth revenues (dollars in millions) and percent change in revenues for the periods indicated:</w:t>
      </w:r>
    </w:p>
    <w:tbl>
      <w:tblPr>
        <w:tblW w:w="10205" w:type="dxa"/>
        <w:jc w:val="left"/>
        <w:tblInd w:w="0" w:type="dxa"/>
        <w:tblLayout w:type="fixed"/>
        <w:tblCellMar>
          <w:top w:w="28" w:type="dxa"/>
          <w:left w:w="28" w:type="dxa"/>
          <w:bottom w:w="28" w:type="dxa"/>
          <w:right w:w="28" w:type="dxa"/>
        </w:tblCellMar>
      </w:tblPr>
      <w:tblGrid>
        <w:gridCol w:w="2097"/>
        <w:gridCol w:w="146"/>
        <w:gridCol w:w="233"/>
        <w:gridCol w:w="798"/>
        <w:gridCol w:w="161"/>
        <w:gridCol w:w="161"/>
        <w:gridCol w:w="233"/>
        <w:gridCol w:w="798"/>
        <w:gridCol w:w="146"/>
        <w:gridCol w:w="146"/>
        <w:gridCol w:w="183"/>
        <w:gridCol w:w="661"/>
        <w:gridCol w:w="297"/>
        <w:gridCol w:w="146"/>
        <w:gridCol w:w="229"/>
        <w:gridCol w:w="785"/>
        <w:gridCol w:w="158"/>
        <w:gridCol w:w="158"/>
        <w:gridCol w:w="229"/>
        <w:gridCol w:w="785"/>
        <w:gridCol w:w="146"/>
        <w:gridCol w:w="146"/>
        <w:gridCol w:w="240"/>
        <w:gridCol w:w="597"/>
        <w:gridCol w:w="526"/>
      </w:tblGrid>
      <w:tr>
        <w:trPr/>
        <w:tc>
          <w:tcPr>
            <w:tcW w:w="2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0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44" w:type="dxa"/>
            <w:gridSpan w:val="2"/>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r>
      <w:tr>
        <w:trPr/>
        <w:tc>
          <w:tcPr>
            <w:tcW w:w="20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Software-enabled services</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1,122.1</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2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3,342.8</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3,205.7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w:t>
            </w:r>
          </w:p>
        </w:tc>
        <w:tc>
          <w:tcPr>
            <w:tcW w:w="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0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License, maintenance and related</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243.8</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29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748.4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59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52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09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1,365.9</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3"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w:t>
            </w:r>
          </w:p>
        </w:tc>
        <w:tc>
          <w:tcPr>
            <w:tcW w:w="29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4,091.2</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3,944.7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59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w:t>
            </w:r>
          </w:p>
        </w:tc>
        <w:tc>
          <w:tcPr>
            <w:tcW w:w="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left"/>
        <w:rPr>
          <w:rFonts w:ascii="Times New Roman" w:hAnsi="Times New Roman"/>
          <w:sz w:val="20"/>
        </w:rPr>
      </w:pPr>
      <w:r>
        <w:rPr>
          <w:rFonts w:ascii="Times New Roman" w:hAnsi="Times New Roman"/>
          <w:b w:val="false"/>
          <w:i/>
          <w:color w:val="000000"/>
          <w:sz w:val="20"/>
        </w:rPr>
        <w:t>Three Months Ended September 30, 2023 and 2022</w:t>
      </w:r>
      <w:r>
        <w:rPr>
          <w:rFonts w:ascii="Times New Roman" w:hAnsi="Times New Roman"/>
          <w:b w:val="false"/>
          <w:color w:val="000000"/>
          <w:sz w:val="20"/>
        </w:rPr>
        <w:t>. Our revenues increased $44.9 million, or 3.4%, primarily due to an increase of $29.4 million in organic revenues driven by strength in the SS&amp;C GlobeOp fund administration, virtual data room services, Global Investor and Distribution Solutions and Blue Prism businesses. Our revenues also increased due the favorable impact from foreign currency translation of $13.0 million and our 2022 acquisitions, which contributed $2.5 million in revenues. Software-enabled services revenues increased $72.3 million, or 6.9%, primarily due to an increase in organic revenues of $58.8 million and the favorable impact from foreign currency translation of $11.1 million, as well as acquisitions, which added $2.4 million in revenues. License, maintenance and related revenues decreased $27.4 million, or 10.1%, primarily due to a decrease in organic revenues of $29.4 million. Those decreases were partially offset by the favorable impact from foreign currency translation of $1.9 million and acquisitions, which added $0.1 million in revenues.</w:t>
      </w:r>
    </w:p>
    <w:p>
      <w:pPr>
        <w:pStyle w:val="TextBody"/>
        <w:bidi w:val="0"/>
        <w:spacing w:before="200" w:after="120"/>
        <w:jc w:val="left"/>
        <w:rPr>
          <w:rFonts w:ascii="Times New Roman" w:hAnsi="Times New Roman"/>
          <w:sz w:val="20"/>
        </w:rPr>
      </w:pPr>
      <w:r>
        <w:rPr>
          <w:rFonts w:ascii="Times New Roman" w:hAnsi="Times New Roman"/>
          <w:b w:val="false"/>
          <w:i/>
          <w:color w:val="000000"/>
          <w:sz w:val="20"/>
        </w:rPr>
        <w:t>Nine Months Ended September 30, 2023 and 2022</w:t>
      </w:r>
      <w:r>
        <w:rPr>
          <w:rFonts w:ascii="Times New Roman" w:hAnsi="Times New Roman"/>
          <w:b w:val="false"/>
          <w:color w:val="000000"/>
          <w:sz w:val="20"/>
        </w:rPr>
        <w:t>. Our revenues increased $146.5 million, or 3.7%, primarily due to an increase in organic revenues of $84.9 million driven by strength in the SS&amp;C GlobeOp fund administration, virtual data room services, Global Investor and Distribution Solutions and Blue Prism businesses and revenues associated with our 2022 acquisitions, which contributed $71.7 million. Those increases were partially offset by the unfavorable impact from foreign currency translation of $10.1 million. Software-enabled services revenues increased $137.1 million, or 4.3%, primarily due to an increase in organic revenues of $123.0 million, and acquisitions, which added $20.4 million in revenues, partially offset by the unfavorable impact from foreign currency translation of $6.3 million. License, maintenance and related revenues increased $9.4 million, or 1.3%, primarily due to acquisitions, which added $51.3 million in revenues, partially offset by a decrease in organic revenues of $38.1 million and the unfavorable impact from foreign currency translation of $3.8 million.</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pPr>
      <w:r>
        <w:rPr/>
        <w:t> </w:t>
      </w:r>
    </w:p>
    <w:p>
      <w:pPr>
        <w:pStyle w:val="TextBody"/>
        <w:bidi w:val="0"/>
        <w:spacing w:before="40" w:after="283"/>
        <w:jc w:val="left"/>
        <w:rPr>
          <w:rFonts w:ascii="Times New Roman" w:hAnsi="Times New Roman"/>
          <w:b w:val="false"/>
          <w:i/>
          <w:color w:val="000000"/>
          <w:sz w:val="20"/>
        </w:rPr>
      </w:pPr>
      <w:r>
        <w:rPr>
          <w:rFonts w:ascii="Times New Roman" w:hAnsi="Times New Roman"/>
          <w:b w:val="false"/>
          <w:i/>
          <w:color w:val="000000"/>
          <w:sz w:val="20"/>
        </w:rPr>
        <w:t>Cost of Revenues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Cost of software-enabled services revenues consists primarily of costs related to personnel utilized in providing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r>
        <w:rPr>
          <w:rFonts w:ascii="Times New Roman" w:hAnsi="Times New Roman"/>
          <w:color w:val="000000"/>
          <w:sz w:val="20"/>
        </w:rPr>
        <w:t xml:space="preserve"> </w:t>
      </w:r>
    </w:p>
    <w:p>
      <w:pPr>
        <w:pStyle w:val="TextBody"/>
        <w:bidi w:val="0"/>
        <w:spacing w:before="200" w:after="120"/>
        <w:jc w:val="left"/>
        <w:rPr>
          <w:rFonts w:ascii="Times New Roman" w:hAnsi="Times New Roman"/>
          <w:b w:val="false"/>
          <w:color w:val="000000"/>
          <w:sz w:val="20"/>
        </w:rPr>
      </w:pPr>
      <w:r>
        <w:rPr>
          <w:rFonts w:ascii="Times New Roman" w:hAnsi="Times New Roman"/>
          <w:b w:val="false"/>
          <w:color w:val="000000"/>
          <w:sz w:val="20"/>
        </w:rPr>
        <w:t>The following tables set forth each of the following cost of revenues as a percentage of their respective revenue source for the periods indicated:</w:t>
      </w:r>
    </w:p>
    <w:tbl>
      <w:tblPr>
        <w:tblW w:w="9743" w:type="dxa"/>
        <w:jc w:val="left"/>
        <w:tblInd w:w="0" w:type="dxa"/>
        <w:tblLayout w:type="fixed"/>
        <w:tblCellMar>
          <w:top w:w="28" w:type="dxa"/>
          <w:left w:w="28" w:type="dxa"/>
          <w:bottom w:w="28" w:type="dxa"/>
          <w:right w:w="28" w:type="dxa"/>
        </w:tblCellMar>
      </w:tblPr>
      <w:tblGrid>
        <w:gridCol w:w="3391"/>
        <w:gridCol w:w="146"/>
        <w:gridCol w:w="238"/>
        <w:gridCol w:w="762"/>
        <w:gridCol w:w="443"/>
        <w:gridCol w:w="238"/>
        <w:gridCol w:w="238"/>
        <w:gridCol w:w="762"/>
        <w:gridCol w:w="271"/>
        <w:gridCol w:w="146"/>
        <w:gridCol w:w="230"/>
        <w:gridCol w:w="737"/>
        <w:gridCol w:w="428"/>
        <w:gridCol w:w="230"/>
        <w:gridCol w:w="230"/>
        <w:gridCol w:w="737"/>
        <w:gridCol w:w="51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software-enabled services</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55.1</w:t>
            </w:r>
          </w:p>
        </w:tc>
        <w:tc>
          <w:tcPr>
            <w:tcW w:w="4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57.7</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56.2</w:t>
            </w:r>
          </w:p>
        </w:tc>
        <w:tc>
          <w:tcPr>
            <w:tcW w:w="4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0"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56.5</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license, maintenance and related</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38.4</w:t>
            </w:r>
          </w:p>
        </w:tc>
        <w:tc>
          <w:tcPr>
            <w:tcW w:w="4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33.7</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w:t>
            </w:r>
          </w:p>
        </w:tc>
        <w:tc>
          <w:tcPr>
            <w:tcW w:w="4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35.9</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339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cost of revenues</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52.1</w:t>
            </w:r>
          </w:p>
        </w:tc>
        <w:tc>
          <w:tcPr>
            <w:tcW w:w="4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52.8</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52.8</w:t>
            </w:r>
          </w:p>
        </w:tc>
        <w:tc>
          <w:tcPr>
            <w:tcW w:w="4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0"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339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Gross margin percentage</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47.9</w:t>
            </w:r>
          </w:p>
        </w:tc>
        <w:tc>
          <w:tcPr>
            <w:tcW w:w="4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47.2</w:t>
            </w:r>
          </w:p>
        </w:tc>
        <w:tc>
          <w:tcPr>
            <w:tcW w:w="4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47.4</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120"/>
        <w:jc w:val="left"/>
        <w:rPr>
          <w:rFonts w:ascii="Times New Roman" w:hAnsi="Times New Roman"/>
          <w:b w:val="false"/>
          <w:color w:val="000000"/>
          <w:sz w:val="20"/>
        </w:rPr>
      </w:pPr>
      <w:r>
        <w:rPr>
          <w:rFonts w:ascii="Times New Roman" w:hAnsi="Times New Roman"/>
          <w:b w:val="false"/>
          <w:color w:val="000000"/>
          <w:sz w:val="20"/>
        </w:rPr>
        <w:t>The following table sets forth cost of revenues (dollars in millions) and percent change in cost of revenues for the periods indicated:</w:t>
      </w:r>
    </w:p>
    <w:tbl>
      <w:tblPr>
        <w:tblW w:w="10205" w:type="dxa"/>
        <w:jc w:val="left"/>
        <w:tblInd w:w="0" w:type="dxa"/>
        <w:tblLayout w:type="fixed"/>
        <w:tblCellMar>
          <w:top w:w="28" w:type="dxa"/>
          <w:left w:w="28" w:type="dxa"/>
          <w:bottom w:w="28" w:type="dxa"/>
          <w:right w:w="28" w:type="dxa"/>
        </w:tblCellMar>
      </w:tblPr>
      <w:tblGrid>
        <w:gridCol w:w="2314"/>
        <w:gridCol w:w="146"/>
        <w:gridCol w:w="251"/>
        <w:gridCol w:w="680"/>
        <w:gridCol w:w="173"/>
        <w:gridCol w:w="173"/>
        <w:gridCol w:w="251"/>
        <w:gridCol w:w="680"/>
        <w:gridCol w:w="146"/>
        <w:gridCol w:w="146"/>
        <w:gridCol w:w="239"/>
        <w:gridCol w:w="595"/>
        <w:gridCol w:w="271"/>
        <w:gridCol w:w="146"/>
        <w:gridCol w:w="229"/>
        <w:gridCol w:w="784"/>
        <w:gridCol w:w="158"/>
        <w:gridCol w:w="158"/>
        <w:gridCol w:w="229"/>
        <w:gridCol w:w="784"/>
        <w:gridCol w:w="146"/>
        <w:gridCol w:w="146"/>
        <w:gridCol w:w="239"/>
        <w:gridCol w:w="595"/>
        <w:gridCol w:w="526"/>
      </w:tblGrid>
      <w:tr>
        <w:trPr/>
        <w:tc>
          <w:tcPr>
            <w:tcW w:w="2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23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4"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4" w:type="dxa"/>
            <w:gridSpan w:val="2"/>
            <w:tcBorders/>
            <w:shd w:fill="FFFFFF" w:val="clear"/>
            <w:vAlign w:val="center"/>
          </w:tcPr>
          <w:p>
            <w:pPr>
              <w:pStyle w:val="TableContents"/>
              <w:bidi w:val="0"/>
              <w:spacing w:before="0" w:after="283"/>
              <w:jc w:val="left"/>
              <w:rPr/>
            </w:pPr>
            <w:r>
              <w:rPr/>
              <w:t> </w:t>
            </w:r>
          </w:p>
        </w:tc>
        <w:tc>
          <w:tcPr>
            <w:tcW w:w="526" w:type="dxa"/>
            <w:tcBorders/>
            <w:shd w:fill="FFFFFF" w:val="clear"/>
            <w:vAlign w:val="center"/>
          </w:tcPr>
          <w:p>
            <w:pPr>
              <w:pStyle w:val="TableContents"/>
              <w:bidi w:val="0"/>
              <w:spacing w:before="0" w:after="283"/>
              <w:jc w:val="left"/>
              <w:rPr/>
            </w:pPr>
            <w:r>
              <w:rPr/>
              <w:t> </w:t>
            </w:r>
          </w:p>
        </w:tc>
      </w:tr>
      <w:tr>
        <w:trPr/>
        <w:tc>
          <w:tcPr>
            <w:tcW w:w="23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software-enabled services</w:t>
            </w:r>
          </w:p>
        </w:tc>
        <w:tc>
          <w:tcPr>
            <w:tcW w:w="146"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617.8</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1,877.4</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w:t>
            </w:r>
          </w:p>
        </w:tc>
        <w:tc>
          <w:tcPr>
            <w:tcW w:w="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14"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license, maintenance and related</w:t>
            </w:r>
          </w:p>
        </w:tc>
        <w:tc>
          <w:tcPr>
            <w:tcW w:w="146"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93.7</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281.3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w:t>
            </w:r>
          </w:p>
        </w:tc>
        <w:tc>
          <w:tcPr>
            <w:tcW w:w="526"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1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cost of revenues</w:t>
            </w:r>
          </w:p>
        </w:tc>
        <w:tc>
          <w:tcPr>
            <w:tcW w:w="146"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711.5</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2,158.7</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5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w:t>
            </w:r>
          </w:p>
        </w:tc>
        <w:tc>
          <w:tcPr>
            <w:tcW w:w="5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rFonts w:ascii="Times New Roman" w:hAnsi="Times New Roman"/>
          <w:sz w:val="20"/>
        </w:rPr>
      </w:pPr>
      <w:r>
        <w:rPr>
          <w:rFonts w:ascii="Times New Roman" w:hAnsi="Times New Roman"/>
          <w:b w:val="false"/>
          <w:i/>
          <w:color w:val="000000"/>
          <w:sz w:val="20"/>
        </w:rPr>
        <w:t>Three Months Ended September 30, 2023 and 2022</w:t>
      </w:r>
      <w:r>
        <w:rPr>
          <w:rFonts w:ascii="Times New Roman" w:hAnsi="Times New Roman"/>
          <w:b w:val="false"/>
          <w:color w:val="000000"/>
          <w:sz w:val="20"/>
        </w:rPr>
        <w:t>. Our total cost of revenues increased by $14.3 million, or 2.1%, due to the unfavorable impact from foreign currency translation, which increased costs by $6.8 million, and a $6.3 million increase in organic costs and acquisitions, which added $1.2 million in costs. Organic cost increases are primarily due to shifting resources to support organic growth. Cost of software-enabled services revenues increased $12.0 million, or 2.0%, primarily due to an increase of $5.6 million in organic costs, the unfavorable impact from foreign currency translation of $5.4 million and acquisitions, which added $1.0 million in costs. Cost of license, maintenance and related revenues increased $2.3 million, or 2.5%, primarily due to unfavorable impact from foreign currency translation of $1.4 million, a $0.7 million increase in organic costs and acquisitions, which added $0.2 million in costs.</w:t>
      </w:r>
    </w:p>
    <w:p>
      <w:pPr>
        <w:pStyle w:val="TextBody"/>
        <w:bidi w:val="0"/>
        <w:spacing w:before="200" w:after="120"/>
        <w:jc w:val="left"/>
        <w:rPr>
          <w:rFonts w:ascii="Times New Roman" w:hAnsi="Times New Roman"/>
          <w:sz w:val="20"/>
        </w:rPr>
      </w:pPr>
      <w:r>
        <w:rPr>
          <w:rFonts w:ascii="Times New Roman" w:hAnsi="Times New Roman"/>
          <w:b w:val="false"/>
          <w:i/>
          <w:color w:val="000000"/>
          <w:sz w:val="20"/>
        </w:rPr>
        <w:t xml:space="preserve">Nine Months Ended September 30, 2023 and 2022. </w:t>
      </w:r>
      <w:r>
        <w:rPr>
          <w:rFonts w:ascii="Times New Roman" w:hAnsi="Times New Roman"/>
          <w:b w:val="false"/>
          <w:color w:val="000000"/>
          <w:sz w:val="20"/>
        </w:rPr>
        <w:t>Our total cost of revenues increased $81.9 million, or 3.9%, primarily due to an increase of $64.2 million in organic costs and acquisitions, which added $28.0 million in costs. These increases were partially offset by the favorable impact from foreign currency translation, which decreased costs by $10.3 million. Organic cost increases are primarily due to personnel costs, including the impact of wage inflation and costs to support organic growth. Cost of software-enabled services revenues increased $65.8 million, or 3.6%, primarily due to an increase of $65.4 million in organic costs and acquisitions, which added $10.5 million in costs. These increases were partially offset by the favorable impact from foreign currency translation which decreased costs by $10.1 million. Cost of license, maintenance and related revenues increased $16.1 million, or 6.1%, primarily due to acquisitions, which added $17.5 million in costs, partially offset by a decrease in organic costs of $1.2 million and the favorable impact from foreign currency translation of $0.2 million.</w:t>
      </w:r>
    </w:p>
    <w:p>
      <w:pPr>
        <w:pStyle w:val="TextBody"/>
        <w:bidi w:val="0"/>
        <w:spacing w:before="200" w:after="283"/>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Operating Expenses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Selling and marketing expenses consist primarily of the personnel costs associated with the selling and marketing of our products, including salaries, commissions and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b w:val="false"/>
          <w:color w:val="000000"/>
          <w:sz w:val="20"/>
        </w:rPr>
      </w:pPr>
      <w:r>
        <w:rPr>
          <w:rFonts w:ascii="Times New Roman" w:hAnsi="Times New Roman"/>
          <w:b w:val="false"/>
          <w:color w:val="000000"/>
          <w:sz w:val="20"/>
        </w:rPr>
        <w:t>The following table sets forth the percentage of our total revenues represented by each of the following operating expenses for the periods indicated:</w:t>
      </w:r>
    </w:p>
    <w:tbl>
      <w:tblPr>
        <w:tblW w:w="8713" w:type="dxa"/>
        <w:jc w:val="left"/>
        <w:tblInd w:w="0" w:type="dxa"/>
        <w:tblLayout w:type="fixed"/>
        <w:tblCellMar>
          <w:top w:w="28" w:type="dxa"/>
          <w:left w:w="28" w:type="dxa"/>
          <w:bottom w:w="28" w:type="dxa"/>
          <w:right w:w="28" w:type="dxa"/>
        </w:tblCellMar>
      </w:tblPr>
      <w:tblGrid>
        <w:gridCol w:w="2361"/>
        <w:gridCol w:w="146"/>
        <w:gridCol w:w="238"/>
        <w:gridCol w:w="762"/>
        <w:gridCol w:w="443"/>
        <w:gridCol w:w="238"/>
        <w:gridCol w:w="238"/>
        <w:gridCol w:w="762"/>
        <w:gridCol w:w="271"/>
        <w:gridCol w:w="146"/>
        <w:gridCol w:w="230"/>
        <w:gridCol w:w="737"/>
        <w:gridCol w:w="428"/>
        <w:gridCol w:w="230"/>
        <w:gridCol w:w="230"/>
        <w:gridCol w:w="737"/>
        <w:gridCol w:w="516"/>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8" w:type="dxa"/>
            <w:tcBorders/>
            <w:shd w:fill="FFFFFF" w:val="cle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vAlign w:val="center"/>
          </w:tcPr>
          <w:p>
            <w:pPr>
              <w:pStyle w:val="TableContents"/>
              <w:bidi w:val="0"/>
              <w:spacing w:before="0" w:after="283"/>
              <w:jc w:val="left"/>
              <w:rPr/>
            </w:pPr>
            <w:r>
              <w:rPr/>
              <w:t> </w:t>
            </w:r>
          </w:p>
        </w:tc>
        <w:tc>
          <w:tcPr>
            <w:tcW w:w="9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and marketing</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44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76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42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0"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73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5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44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8.7</w:t>
            </w:r>
          </w:p>
        </w:tc>
        <w:tc>
          <w:tcPr>
            <w:tcW w:w="42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73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w:t>
            </w:r>
          </w:p>
        </w:tc>
        <w:tc>
          <w:tcPr>
            <w:tcW w:w="5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23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0"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6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8"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25.9</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30"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40" w:after="120"/>
        <w:jc w:val="left"/>
        <w:rPr>
          <w:rFonts w:ascii="Times New Roman" w:hAnsi="Times New Roman"/>
          <w:b w:val="false"/>
          <w:color w:val="222222"/>
          <w:sz w:val="20"/>
        </w:rPr>
      </w:pPr>
      <w:r>
        <w:rPr>
          <w:rFonts w:ascii="Times New Roman" w:hAnsi="Times New Roman"/>
          <w:b w:val="false"/>
          <w:color w:val="222222"/>
          <w:sz w:val="20"/>
        </w:rPr>
        <w:t>The following table sets forth operating expenses (dollars in millions) and percent change in operating expenses for the periods indicated:</w:t>
      </w:r>
    </w:p>
    <w:tbl>
      <w:tblPr>
        <w:tblW w:w="10205" w:type="dxa"/>
        <w:jc w:val="left"/>
        <w:tblInd w:w="0" w:type="dxa"/>
        <w:tblLayout w:type="fixed"/>
        <w:tblCellMar>
          <w:top w:w="28" w:type="dxa"/>
          <w:left w:w="28" w:type="dxa"/>
          <w:bottom w:w="28" w:type="dxa"/>
          <w:right w:w="28" w:type="dxa"/>
        </w:tblCellMar>
      </w:tblPr>
      <w:tblGrid>
        <w:gridCol w:w="1929"/>
        <w:gridCol w:w="146"/>
        <w:gridCol w:w="267"/>
        <w:gridCol w:w="723"/>
        <w:gridCol w:w="184"/>
        <w:gridCol w:w="184"/>
        <w:gridCol w:w="267"/>
        <w:gridCol w:w="723"/>
        <w:gridCol w:w="146"/>
        <w:gridCol w:w="146"/>
        <w:gridCol w:w="214"/>
        <w:gridCol w:w="687"/>
        <w:gridCol w:w="271"/>
        <w:gridCol w:w="146"/>
        <w:gridCol w:w="236"/>
        <w:gridCol w:w="808"/>
        <w:gridCol w:w="163"/>
        <w:gridCol w:w="163"/>
        <w:gridCol w:w="236"/>
        <w:gridCol w:w="808"/>
        <w:gridCol w:w="146"/>
        <w:gridCol w:w="146"/>
        <w:gridCol w:w="196"/>
        <w:gridCol w:w="709"/>
        <w:gridCol w:w="561"/>
      </w:tblGrid>
      <w:tr>
        <w:trPr/>
        <w:tc>
          <w:tcPr>
            <w:tcW w:w="1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9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5" w:type="dxa"/>
            <w:gridSpan w:val="2"/>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Selling and marketing</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134.7</w:t>
            </w:r>
          </w:p>
        </w:tc>
        <w:tc>
          <w:tcPr>
            <w:tcW w:w="184"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11.4</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411.6</w:t>
            </w:r>
          </w:p>
        </w:tc>
        <w:tc>
          <w:tcPr>
            <w:tcW w:w="163"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10.9</w:t>
            </w:r>
          </w:p>
        </w:tc>
        <w:tc>
          <w:tcPr>
            <w:tcW w:w="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29"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117.7</w:t>
            </w:r>
          </w:p>
        </w:tc>
        <w:tc>
          <w:tcPr>
            <w:tcW w:w="18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355.5</w:t>
            </w:r>
          </w:p>
        </w:tc>
        <w:tc>
          <w:tcPr>
            <w:tcW w:w="163"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80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w:t>
            </w:r>
          </w:p>
        </w:tc>
        <w:tc>
          <w:tcPr>
            <w:tcW w:w="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192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95.6</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687"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290.7</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0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w:t>
            </w:r>
          </w:p>
        </w:tc>
        <w:tc>
          <w:tcPr>
            <w:tcW w:w="56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1929"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348.0</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1,057.8</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w:t>
            </w:r>
          </w:p>
        </w:tc>
        <w:tc>
          <w:tcPr>
            <w:tcW w:w="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val="false"/>
          <w:i/>
          <w:color w:val="000000"/>
          <w:sz w:val="20"/>
        </w:rPr>
        <w:t>Three Months Ended September 30, 2023 and 2022</w:t>
      </w:r>
      <w:r>
        <w:rPr>
          <w:rFonts w:ascii="Times New Roman" w:hAnsi="Times New Roman"/>
          <w:b w:val="false"/>
          <w:color w:val="000000"/>
          <w:sz w:val="20"/>
        </w:rPr>
        <w:t>. Operating expenses increased $28.4 million, or 8.9%, due to an increase of $24.0 million in organic operating expenses, the unfavorable impact from foreign currency translation of $3.6 million and acquisitions, which added $0.8 million in expenses. Total operating expenses, excluding the impact of acquisitions and foreign currency translation, primarily increased due to shifting resources to support organic growth and a non-recurring stock-based compensation expense reversal true-up recorded in the three months ended September 30, 2022.</w:t>
      </w:r>
    </w:p>
    <w:p>
      <w:pPr>
        <w:pStyle w:val="TextBody"/>
        <w:bidi w:val="0"/>
        <w:spacing w:before="200" w:after="120"/>
        <w:jc w:val="left"/>
        <w:rPr>
          <w:rFonts w:ascii="Times New Roman" w:hAnsi="Times New Roman"/>
          <w:sz w:val="20"/>
        </w:rPr>
      </w:pPr>
      <w:r>
        <w:rPr>
          <w:rFonts w:ascii="Times New Roman" w:hAnsi="Times New Roman"/>
          <w:b w:val="false"/>
          <w:i/>
          <w:color w:val="000000"/>
          <w:sz w:val="20"/>
        </w:rPr>
        <w:t>Nine Months Ended September 30, 2023 and 2022.</w:t>
      </w:r>
      <w:r>
        <w:rPr>
          <w:rFonts w:ascii="Times New Roman" w:hAnsi="Times New Roman"/>
          <w:color w:val="000000"/>
          <w:sz w:val="20"/>
        </w:rPr>
        <w:t xml:space="preserve"> </w:t>
      </w:r>
      <w:r>
        <w:rPr>
          <w:rFonts w:ascii="Times New Roman" w:hAnsi="Times New Roman"/>
          <w:b w:val="false"/>
          <w:color w:val="000000"/>
          <w:sz w:val="20"/>
        </w:rPr>
        <w:t>Operating expenses increased $31.5 million, or 3.1%, primarily due to our acquisitions, which added expenses of $42.1 million. This increase was partially offset by the favorable impact from foreign currency translation of $8.1 million and a decrease of $2.5 million in organic expenses. Total operating expenses, excluding the impact of acquisitions and foreign currency translation, primarily decreased due to shifting resources to support organic growth and a non-recurring stock-based compensation expense reversal true-up recorded in the nine months ended September 30, 2022.</w:t>
      </w:r>
    </w:p>
    <w:p>
      <w:pPr>
        <w:pStyle w:val="TextBody"/>
        <w:bidi w:val="0"/>
        <w:spacing w:before="120" w:after="283"/>
        <w:jc w:val="left"/>
        <w:rPr/>
      </w:pPr>
      <w:r>
        <w:rPr/>
        <w:t> </w:t>
      </w:r>
    </w:p>
    <w:p>
      <w:pPr>
        <w:pStyle w:val="TextBody"/>
        <w:bidi w:val="0"/>
        <w:jc w:val="left"/>
        <w:rPr>
          <w:rFonts w:ascii="Times New Roman" w:hAnsi="Times New Roman"/>
          <w:b w:val="false"/>
          <w:i/>
          <w:color w:val="000000"/>
          <w:sz w:val="20"/>
        </w:rPr>
      </w:pPr>
      <w:r>
        <w:rPr>
          <w:rFonts w:ascii="Times New Roman" w:hAnsi="Times New Roman"/>
          <w:b w:val="false"/>
          <w:i/>
          <w:color w:val="000000"/>
          <w:sz w:val="20"/>
        </w:rPr>
        <w:t>Comparison of the Three and Nine Months Ended September 30, 2023 and 2022 for Interest, Taxes and Other</w:t>
      </w:r>
    </w:p>
    <w:p>
      <w:pPr>
        <w:pStyle w:val="TextBody"/>
        <w:bidi w:val="0"/>
        <w:spacing w:before="200" w:after="283"/>
        <w:jc w:val="left"/>
        <w:rPr>
          <w:rFonts w:ascii="Times New Roman" w:hAnsi="Times New Roman"/>
          <w:sz w:val="20"/>
        </w:rPr>
      </w:pPr>
      <w:r>
        <w:rPr>
          <w:rFonts w:ascii="Times New Roman" w:hAnsi="Times New Roman"/>
          <w:b w:val="false"/>
          <w:i/>
          <w:color w:val="000000"/>
          <w:sz w:val="20"/>
        </w:rPr>
        <w:t>Interest expense, net</w:t>
      </w:r>
      <w:r>
        <w:rPr>
          <w:rFonts w:ascii="Times New Roman" w:hAnsi="Times New Roman"/>
          <w:b w:val="false"/>
          <w:color w:val="000000"/>
          <w:sz w:val="20"/>
        </w:rPr>
        <w:t>. We had net interest expense of $120.6 million and $350.5 million for the three and nine months ended September 30, 2023, respectively, compared to $86.0 million and $203.0 million for the three and nine months ended September 30, 2022, respectively. The increase in interest expense, net for 2023 as compared to 2022, is due to a higher average interest rate on debt. We had an average interest rate of 6.87% and 6.56% for the three and nine months ended September 30, 2023, respectively, compared to 4.55% and 4.21% for the three and nine months ended September 30, 2022, respectively.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i/>
          <w:color w:val="000000"/>
          <w:sz w:val="20"/>
        </w:rPr>
        <w:t>Other (expense) income, net</w:t>
      </w:r>
      <w:r>
        <w:rPr>
          <w:rFonts w:ascii="Times New Roman" w:hAnsi="Times New Roman"/>
          <w:b w:val="false"/>
          <w:color w:val="000000"/>
          <w:sz w:val="20"/>
        </w:rPr>
        <w:t>. We had other (expense) income, net of $(5.0) million and $15.3 million for the three and nine months ended September 30, 2023, respectively, compared to other (expense) income, net of $1.1 million and $(28.3) million for the three and nine months ended September 30, 2022, respectively. For the three and nine months ended September 30, 2023, other (expense) income, net included investment losses due to mark-to-market adjustments of $2.7 million and $0.9 million, respectively, and foreign currency translation losses of $2.5 million and $3.7 million, respectively, as well as dividend income of $2.3 million and $14.6 million, respectively. During the nine months ended September 30, 2023, other income also included income of $13.4 million from the settlement of a dispute related to pre-acquisition matters. For the three and nine months ended September 30, 2022, other (expense) income, net consisted primarily of foreign currency translation losses of $0.1 million and $22.0 million, respectively, and investment losses due to mark-to-market adjustments of $2.5 million and $14.7 million, respectively, partially offset by dividend income of $1.2 million and $10.3 million.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val="false"/>
          <w:i/>
          <w:color w:val="000000"/>
          <w:sz w:val="20"/>
        </w:rPr>
        <w:t>Equity in earnings of unconsolidated affiliates, net.</w:t>
      </w:r>
      <w:r>
        <w:rPr>
          <w:rFonts w:ascii="Times New Roman" w:hAnsi="Times New Roman"/>
          <w:color w:val="000000"/>
          <w:sz w:val="20"/>
        </w:rPr>
        <w:t xml:space="preserve"> </w:t>
      </w:r>
      <w:r>
        <w:rPr>
          <w:rFonts w:ascii="Times New Roman" w:hAnsi="Times New Roman"/>
          <w:b w:val="false"/>
          <w:color w:val="000000"/>
          <w:sz w:val="20"/>
        </w:rPr>
        <w:t>We had equity in earnings of unconsolidated affiliates, net of $27.5 million and $42.6 million for the three and nine months ended September 30, 2023, respectively, compared to $(5.1) million and $(2.7) million in the three and nine months ended September 30, 2022, respectively. The increase in equity in earnings of unconsolidated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affiliates, net in 2023 is primarily related to a $26.4 million and $38.8 million mark-to-market adjustment for the three and nine months ended September 30, 2023, respectively, to increase the carrying value of one of our investments.</w:t>
      </w:r>
    </w:p>
    <w:p>
      <w:pPr>
        <w:pStyle w:val="TextBody"/>
        <w:bidi w:val="0"/>
        <w:spacing w:before="200" w:after="283"/>
        <w:jc w:val="left"/>
        <w:rPr>
          <w:rFonts w:ascii="Times New Roman" w:hAnsi="Times New Roman"/>
          <w:sz w:val="20"/>
        </w:rPr>
      </w:pPr>
      <w:r>
        <w:rPr>
          <w:rFonts w:ascii="Times New Roman" w:hAnsi="Times New Roman"/>
          <w:b w:val="false"/>
          <w:i/>
          <w:color w:val="000000"/>
          <w:sz w:val="20"/>
        </w:rPr>
        <w:t>Provision for income taxes</w:t>
      </w:r>
      <w:r>
        <w:rPr>
          <w:rFonts w:ascii="Times New Roman" w:hAnsi="Times New Roman"/>
          <w:b w:val="false"/>
          <w:color w:val="000000"/>
          <w:sz w:val="20"/>
        </w:rPr>
        <w:t>. The following table sets forth the provision for income taxes (dollars in millions) and effective tax rates for the periods indicated:</w:t>
      </w:r>
    </w:p>
    <w:tbl>
      <w:tblPr>
        <w:tblW w:w="8438" w:type="dxa"/>
        <w:jc w:val="left"/>
        <w:tblInd w:w="0" w:type="dxa"/>
        <w:tblLayout w:type="fixed"/>
        <w:tblCellMar>
          <w:top w:w="28" w:type="dxa"/>
          <w:left w:w="28" w:type="dxa"/>
          <w:bottom w:w="28" w:type="dxa"/>
          <w:right w:w="28" w:type="dxa"/>
        </w:tblCellMar>
      </w:tblPr>
      <w:tblGrid>
        <w:gridCol w:w="2281"/>
        <w:gridCol w:w="146"/>
        <w:gridCol w:w="320"/>
        <w:gridCol w:w="706"/>
        <w:gridCol w:w="411"/>
        <w:gridCol w:w="221"/>
        <w:gridCol w:w="320"/>
        <w:gridCol w:w="706"/>
        <w:gridCol w:w="271"/>
        <w:gridCol w:w="146"/>
        <w:gridCol w:w="276"/>
        <w:gridCol w:w="748"/>
        <w:gridCol w:w="355"/>
        <w:gridCol w:w="191"/>
        <w:gridCol w:w="276"/>
        <w:gridCol w:w="748"/>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left"/>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51.2</w:t>
            </w:r>
          </w:p>
        </w:tc>
        <w:tc>
          <w:tcPr>
            <w:tcW w:w="411"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167.3</w:t>
            </w:r>
          </w:p>
        </w:tc>
        <w:tc>
          <w:tcPr>
            <w:tcW w:w="355"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162.1</w:t>
            </w:r>
          </w:p>
        </w:tc>
        <w:tc>
          <w:tcPr>
            <w:tcW w:w="316"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Effective tax rate</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24.6</w:t>
            </w:r>
          </w:p>
        </w:tc>
        <w:tc>
          <w:tcPr>
            <w:tcW w:w="4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21"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25.0</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w:t>
            </w:r>
          </w:p>
        </w:tc>
        <w:tc>
          <w:tcPr>
            <w:tcW w:w="35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91" w:type="dxa"/>
            <w:tcBorders/>
            <w:shd w:fill="FFFFFF" w:val="clear"/>
            <w:vAlign w:val="center"/>
          </w:tcPr>
          <w:p>
            <w:pPr>
              <w:pStyle w:val="TableContents"/>
              <w:bidi w:val="0"/>
              <w:spacing w:before="0" w:after="283"/>
              <w:jc w:val="left"/>
              <w:rPr/>
            </w:pPr>
            <w:r>
              <w:rPr/>
              <w:t> </w:t>
            </w:r>
          </w:p>
        </w:tc>
        <w:tc>
          <w:tcPr>
            <w:tcW w:w="276"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26.9</w:t>
            </w:r>
          </w:p>
        </w:tc>
        <w:tc>
          <w:tcPr>
            <w:tcW w:w="3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Our effective tax rates for the three and nine months ended September 30, 2023 and 2022 differ from the statutory rate of 21.0% primarily due to the composition of income before income taxes from foreign and domestic tax jurisdictions, foreign income that is being taxed in the U.S. offset by foreign tax credits that are being limited and the recognition of windfall tax benefits from stock awards. The change in the effective tax rate for the three months ended September 30, 2023 compared to the respective prior year period was primarily due to an increased recognition of windfall tax benefits from stock awards in the current year and a proportionate change in the composition of income before income taxes from foreign and domestic tax jurisdictions. The change in the effective tax rate for the nine months ended September 30, 2023 compared to the respective prior year period was primarily due to an increase in uncertain tax positions, partially offset by an increased recognition of windfall tax benefits from stock awards in the current year and a proportionate change in the composition of income before income taxes from foreign and domestic tax jurisdictions. While we have income from multiple foreign sources, the majority of our non-U.S. operations are in the United Kingdom and India. We anticipate the statutory tax rates in 2023 to be 23.5% in the United Kingdom and approximately 33.0% in India. A future change in the composition of income before income taxes from foreign and domestic tax jurisdictions could impact our periodic effective tax rate.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On August 16, 2022, the Inflation Reduction Act was signed into law, which includes a 15% corporate alternative minimum tax and a 1% excise tax on share repurchases. The provisions were effective January 1, 2023 and were immaterial to our financial results, financial position and cash flows. The 1% excise tax on share repurchases is included as a cost to acquire treasury stock.</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principal cash requirements are to finance the costs of our operations pending the billing and collection of client receivables, to fund payments with respect to our indebtedness, to invest in research and development, to acquire complementary businesses or assets, to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paid quarterly cash dividends of $0.20 per share of common stock in each of March and June 2023 and $0.24 per share of common stock in September 2023 totaling $160.9 million. We paid quarterly cash dividends of $0.20 per share of common stock in each of March, June and September 2022 totaling $153.4 million in the aggregate.</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Client funds obligations include our transfer agency client balances invested overnight as well as our contractual obligations to remit funds to satisfy client pharmacy claim obligations and are recorded on the Condensed Consolidated Balance Sheet when incurred, generally after a claim has been processed by us. Our contractual obligations to remit funds to satisfy client obligations are primarily sourced by funds held on behalf of clients. We had $787.5 million of client funds obligations at September 30, 2023.</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Cash flows from operating, investing and financing activities, as reflected in our Condensed Consolidated Statements of Cash Flows, are summarized in the following table (in millions):</w:t>
      </w:r>
    </w:p>
    <w:tbl>
      <w:tblPr>
        <w:tblW w:w="10205" w:type="dxa"/>
        <w:jc w:val="left"/>
        <w:tblInd w:w="0" w:type="dxa"/>
        <w:tblLayout w:type="fixed"/>
        <w:tblCellMar>
          <w:top w:w="28" w:type="dxa"/>
          <w:left w:w="28" w:type="dxa"/>
          <w:bottom w:w="28" w:type="dxa"/>
          <w:right w:w="28" w:type="dxa"/>
        </w:tblCellMar>
      </w:tblPr>
      <w:tblGrid>
        <w:gridCol w:w="4923"/>
        <w:gridCol w:w="146"/>
        <w:gridCol w:w="245"/>
        <w:gridCol w:w="716"/>
        <w:gridCol w:w="207"/>
        <w:gridCol w:w="182"/>
        <w:gridCol w:w="245"/>
        <w:gridCol w:w="885"/>
        <w:gridCol w:w="166"/>
        <w:gridCol w:w="146"/>
        <w:gridCol w:w="407"/>
        <w:gridCol w:w="1342"/>
        <w:gridCol w:w="595"/>
      </w:tblGrid>
      <w:tr>
        <w:trPr/>
        <w:tc>
          <w:tcPr>
            <w:tcW w:w="4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9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3"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cash equivalents and restricted cash provided by (used in):</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From Prior Year</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4923"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Operating activities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826.7</w:t>
            </w:r>
          </w:p>
        </w:tc>
        <w:tc>
          <w:tcPr>
            <w:tcW w:w="207"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764.6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34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62.1</w:t>
            </w:r>
          </w:p>
        </w:tc>
        <w:tc>
          <w:tcPr>
            <w:tcW w:w="595" w:type="dxa"/>
            <w:tcBorders/>
            <w:shd w:fill="CFF0FC" w:val="clear"/>
            <w:vAlign w:val="center"/>
          </w:tcPr>
          <w:p>
            <w:pPr>
              <w:pStyle w:val="TableContents"/>
              <w:bidi w:val="0"/>
              <w:spacing w:before="0" w:after="283"/>
              <w:ind w:left="0" w:right="0" w:firstLine="400"/>
              <w:jc w:val="left"/>
              <w:rPr/>
            </w:pPr>
            <w:r>
              <w:rPr/>
              <w:t> </w:t>
            </w:r>
          </w:p>
        </w:tc>
      </w:tr>
      <w:tr>
        <w:trPr/>
        <w:tc>
          <w:tcPr>
            <w:tcW w:w="4923"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Investing activities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(167.1</w:t>
            </w:r>
          </w:p>
        </w:tc>
        <w:tc>
          <w:tcPr>
            <w:tcW w:w="20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(1,707.8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1342"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1,540.7</w:t>
            </w:r>
          </w:p>
        </w:tc>
        <w:tc>
          <w:tcPr>
            <w:tcW w:w="595" w:type="dxa"/>
            <w:tcBorders/>
            <w:shd w:fill="FFFFFF" w:val="clear"/>
            <w:vAlign w:val="center"/>
          </w:tcPr>
          <w:p>
            <w:pPr>
              <w:pStyle w:val="TableContents"/>
              <w:bidi w:val="0"/>
              <w:spacing w:before="0" w:after="283"/>
              <w:ind w:left="0" w:right="0" w:firstLine="400"/>
              <w:jc w:val="left"/>
              <w:rPr/>
            </w:pPr>
            <w:r>
              <w:rPr/>
              <w:t> </w:t>
            </w:r>
          </w:p>
        </w:tc>
      </w:tr>
      <w:tr>
        <w:trPr/>
        <w:tc>
          <w:tcPr>
            <w:tcW w:w="4923"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Financing activities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(812.6</w:t>
            </w:r>
          </w:p>
        </w:tc>
        <w:tc>
          <w:tcPr>
            <w:tcW w:w="20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2"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8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(751.7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07" w:type="dxa"/>
            <w:tcBorders/>
            <w:shd w:fill="CFF0FC" w:val="clear"/>
            <w:vAlign w:val="center"/>
          </w:tcPr>
          <w:p>
            <w:pPr>
              <w:pStyle w:val="TableContents"/>
              <w:bidi w:val="0"/>
              <w:spacing w:before="0" w:after="283"/>
              <w:jc w:val="left"/>
              <w:rPr/>
            </w:pPr>
            <w:r>
              <w:rPr/>
              <w:t> </w:t>
            </w:r>
          </w:p>
        </w:tc>
        <w:tc>
          <w:tcPr>
            <w:tcW w:w="1342"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(60.9</w:t>
            </w:r>
          </w:p>
        </w:tc>
        <w:tc>
          <w:tcPr>
            <w:tcW w:w="59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492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Effect of exchange rate changes on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2"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28.7</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(157.2</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2"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(1,727.8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1,570.6</w:t>
            </w:r>
          </w:p>
        </w:tc>
        <w:tc>
          <w:tcPr>
            <w:tcW w:w="5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Net cash provided by operating activities was $826.7 million for the nine months ended September 30, 2023. Cash provided by operating activities primarily resulted from net income of $413.7 million adjusted for non-cash items of $537.0 million, partially offset by changes in our working capital accounts totaling $124.0 million. The changes in our working capital accounts were driven by decreases in accrued expenses and an increase in accounts receivable, partially offset by a decrease in prepaid expenses and an increase in deferred revenue. The decrease in accrued expenses was primarily due to the payment of annual employee bonuses in the first quarter of 2023.</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Investing activities used net cash of $167.1 million for the nine months ended September 30, 2023, primarily related to $140.9 million in capitalized software development costs and $40.7 million in capital expenditures, partially offset by proceeds from the sales and maturities of investments of $7.7 million and the collection of other non-current receivables of $7.5 million.</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Financing activities used net cash of $812.6 million for the nine months ended September 30, 2023, primarily representing $341.0 million of purchases of common stock for treasury, $224.5 million of net debt repayments, a net decrease in client fund obligations of $163.7 million and $160.9 million in quarterly dividends paid. These expenditures were partially offset by proceeds of $79.2 million from stock option exercises.</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We have made a permanent reinvestment determination in certain non-U.S. operations that have historically generated positive operating cash flows. At September 30, 2023, we held approximately $213.1 million in cash and cash equivalents at non-U.S. subsidiaries where we had made such a determination and in turn no provision for income taxes had been made. At September 30, 2023, we held approximately $107.0 million in cash that was available to our foreign borrowers under our senior secured credit facility and will be used to facilitate debt servicing of those entities.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Senior Secured Credit Facilities and Senior Notes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table below provides a summary of the key terms of our Senior Secured Credit Facilities and Senior Notes:</w:t>
      </w:r>
    </w:p>
    <w:tbl>
      <w:tblPr>
        <w:tblW w:w="8507" w:type="dxa"/>
        <w:jc w:val="left"/>
        <w:tblInd w:w="0" w:type="dxa"/>
        <w:tblLayout w:type="fixed"/>
        <w:tblCellMar>
          <w:top w:w="28" w:type="dxa"/>
          <w:left w:w="28" w:type="dxa"/>
          <w:bottom w:w="28" w:type="dxa"/>
          <w:right w:w="28" w:type="dxa"/>
        </w:tblCellMar>
      </w:tblPr>
      <w:tblGrid>
        <w:gridCol w:w="2806"/>
        <w:gridCol w:w="146"/>
        <w:gridCol w:w="392"/>
        <w:gridCol w:w="1348"/>
        <w:gridCol w:w="146"/>
        <w:gridCol w:w="146"/>
        <w:gridCol w:w="1726"/>
        <w:gridCol w:w="146"/>
        <w:gridCol w:w="165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September 30,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vAlign w:val="center"/>
          </w:tcPr>
          <w:p>
            <w:pPr>
              <w:pStyle w:val="TableContents"/>
              <w:bidi w:val="0"/>
              <w:spacing w:before="0" w:after="283"/>
              <w:jc w:val="center"/>
              <w:rPr/>
            </w:pPr>
            <w:r>
              <w:rPr/>
              <w:t> </w:t>
            </w:r>
          </w:p>
        </w:tc>
        <w:tc>
          <w:tcPr>
            <w:tcW w:w="165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r>
      <w:tr>
        <w:trPr/>
        <w:tc>
          <w:tcPr>
            <w:tcW w:w="280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Senior Secured Credit Facilities</w:t>
            </w:r>
          </w:p>
        </w:tc>
        <w:tc>
          <w:tcPr>
            <w:tcW w:w="146" w:type="dxa"/>
            <w:tcBorders/>
            <w:shd w:fill="FFFFFF" w:val="clear"/>
            <w:vAlign w:val="center"/>
          </w:tcPr>
          <w:p>
            <w:pPr>
              <w:pStyle w:val="TableContents"/>
              <w:bidi w:val="0"/>
              <w:spacing w:before="0" w:after="283"/>
              <w:jc w:val="left"/>
              <w:rPr/>
            </w:pPr>
            <w:r>
              <w:rPr/>
              <w:t> </w:t>
            </w:r>
          </w:p>
        </w:tc>
        <w:tc>
          <w:tcPr>
            <w:tcW w:w="174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ind w:left="0" w:right="0" w:firstLine="200"/>
              <w:jc w:val="right"/>
              <w:rPr/>
            </w:pPr>
            <w:r>
              <w:rPr/>
              <w:t> </w:t>
            </w:r>
          </w:p>
        </w:tc>
      </w:tr>
      <w:tr>
        <w:trPr/>
        <w:tc>
          <w:tcPr>
            <w:tcW w:w="28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Loan B-3</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3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April 16, 2025</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0.25%</w:t>
            </w:r>
          </w:p>
        </w:tc>
      </w:tr>
      <w:tr>
        <w:trPr/>
        <w:tc>
          <w:tcPr>
            <w:tcW w:w="28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Loan B-4</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944.3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April 16, 2025</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0.25%</w:t>
            </w:r>
          </w:p>
        </w:tc>
      </w:tr>
      <w:tr>
        <w:trPr/>
        <w:tc>
          <w:tcPr>
            <w:tcW w:w="28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Loan B-5</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1,590.9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April 16, 2025</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0.25%</w:t>
            </w:r>
          </w:p>
        </w:tc>
      </w:tr>
      <w:tr>
        <w:trPr/>
        <w:tc>
          <w:tcPr>
            <w:tcW w:w="28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Loan B-6</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March 22, 2029</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0.25%</w:t>
            </w:r>
          </w:p>
        </w:tc>
      </w:tr>
      <w:tr>
        <w:trPr/>
        <w:tc>
          <w:tcPr>
            <w:tcW w:w="280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Term Loan B-7</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778.5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March 22, 2029</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ind w:left="0" w:right="0" w:firstLine="200"/>
              <w:jc w:val="center"/>
              <w:rPr>
                <w:rFonts w:ascii="Times New Roman" w:hAnsi="Times New Roman"/>
                <w:b w:val="false"/>
                <w:color w:val="000000"/>
                <w:sz w:val="20"/>
              </w:rPr>
            </w:pPr>
            <w:r>
              <w:rPr>
                <w:rFonts w:ascii="Times New Roman" w:hAnsi="Times New Roman"/>
                <w:b w:val="false"/>
                <w:color w:val="000000"/>
                <w:sz w:val="20"/>
              </w:rPr>
              <w:t>0.25%</w:t>
            </w:r>
          </w:p>
        </w:tc>
      </w:tr>
      <w:tr>
        <w:trPr/>
        <w:tc>
          <w:tcPr>
            <w:tcW w:w="280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Revolving Credit Facility</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pPr>
            <w:r>
              <w:rPr/>
              <w:t> </w:t>
            </w:r>
          </w:p>
        </w:tc>
        <w:tc>
          <w:tcPr>
            <w:tcW w:w="134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December 28, 2027</w:t>
            </w:r>
          </w:p>
        </w:tc>
        <w:tc>
          <w:tcPr>
            <w:tcW w:w="146" w:type="dxa"/>
            <w:tcBorders/>
            <w:shd w:fill="CFF0FC" w:val="clear"/>
            <w:vAlign w:val="center"/>
          </w:tcPr>
          <w:p>
            <w:pPr>
              <w:pStyle w:val="TableContents"/>
              <w:bidi w:val="0"/>
              <w:spacing w:before="0" w:after="283"/>
              <w:jc w:val="left"/>
              <w:rPr/>
            </w:pPr>
            <w:r>
              <w:rPr/>
              <w:t> </w:t>
            </w:r>
          </w:p>
        </w:tc>
        <w:tc>
          <w:tcPr>
            <w:tcW w:w="165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None</w:t>
            </w:r>
          </w:p>
        </w:tc>
      </w:tr>
      <w:tr>
        <w:trPr/>
        <w:tc>
          <w:tcPr>
            <w:tcW w:w="2806" w:type="dxa"/>
            <w:tcBorders/>
            <w:shd w:fill="FFFFFF" w:val="cle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Senior Notes</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30, 2027</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None</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In June 2023, we entered into an amendment (the “Amendment”) to our senior secured credit agreement. Pursuant to the Amendment, the interest rate provisions for Term B-3 Loans, Term B-4 Loans and Term B-5 Loans were amended to, at our option, either (a) the Base Rate, plus 0.75% per annum or the (b) Adjusted Term SOFR, which includes a credit spread adjustment set forth in the Credit Agreement of 0.11448%, 0.26161%, or 0.42826% for loans of interest periods of one, three, or six months, respectively, plus 1.75% per annum.</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senior secured credit facility has a revolving credit facility available for borrowings by SS&amp;C with $600.0 million in available commitments (“Revolving Credit Facility”), of which $523.7 million was available as of September 30, 2023. The Revolving Credit Facility also contains a $75.0 million letter of credit sub-facility, of which $1.3 million was utilized as of September 30, 2023.</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Our obligations under the Term Loans are guaranteed by (i) our existing and future U.S. wholly-owned restricted subsidiaries, in the case of the Term B-3 Loan, Term B-5 Loan, Term B-6 Loan and the Revolving Credit Facility and (ii) our existing and future wholly-owned restricted subsidiaries, in the case of the Term B-4 Loan and Term B-7 Loan.</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The obligations of the U.S. loan parties under the amended senior secured credit facility are secured by substantially all of the assets of such persons (subject to customary exceptions and limitations), including a pledge of all of the capital stock of substantially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amended senior secured credit facility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minimum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September 30, 2023, we were in compliance with all financial and non-financial covenants.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Senior Notes are guaranteed, jointly and severally, by SS&amp;C Holdings and all of its existing and future domestic restricted subsidiaries that guarantee our existing senior secured credit facilities or certain other indebtedness. The Senior Notes are unsecured senior obligations that are equal in right of payment to all of our existing and future senior unsecured indebtedness. Interest on the Senior Notes is payable on March 30 and September 30 of each year.</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At any time and from time to time, we may, at our option, redeem some or all of the Senior Notes, in whole or in part, at the redemption prices set forth in the following table, expressed as a percentage of the principal amount, plus accrued and unpaid interest to the redemption date:</w:t>
      </w:r>
      <w:r>
        <w:rPr>
          <w:rFonts w:ascii="Times New Roman" w:hAnsi="Times New Roman"/>
          <w:color w:val="000000"/>
          <w:sz w:val="20"/>
        </w:rPr>
        <w:t xml:space="preserve"> </w:t>
      </w:r>
    </w:p>
    <w:tbl>
      <w:tblPr>
        <w:tblW w:w="4155" w:type="dxa"/>
        <w:jc w:val="left"/>
        <w:tblInd w:w="0" w:type="dxa"/>
        <w:tblLayout w:type="fixed"/>
        <w:tblCellMar>
          <w:top w:w="28" w:type="dxa"/>
          <w:left w:w="28" w:type="dxa"/>
          <w:bottom w:w="28" w:type="dxa"/>
          <w:right w:w="28" w:type="dxa"/>
        </w:tblCellMar>
      </w:tblPr>
      <w:tblGrid>
        <w:gridCol w:w="2666"/>
        <w:gridCol w:w="146"/>
        <w:gridCol w:w="146"/>
        <w:gridCol w:w="781"/>
        <w:gridCol w:w="416"/>
      </w:tblGrid>
      <w:tr>
        <w:trPr/>
        <w:tc>
          <w:tcPr>
            <w:tcW w:w="2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66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Redemption Date</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On or after March 30,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102.750</w:t>
            </w:r>
          </w:p>
        </w:tc>
        <w:tc>
          <w:tcPr>
            <w:tcW w:w="41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6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On or after March 30,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101.375</w:t>
            </w:r>
          </w:p>
        </w:tc>
        <w:tc>
          <w:tcPr>
            <w:tcW w:w="41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66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March 30, 2025 and thereafter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100.000</w:t>
            </w:r>
          </w:p>
        </w:tc>
        <w:tc>
          <w:tcPr>
            <w:tcW w:w="4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200" w:after="283"/>
        <w:jc w:val="left"/>
        <w:rPr>
          <w:rFonts w:ascii="Times New Roman" w:hAnsi="Times New Roman"/>
          <w:sz w:val="20"/>
        </w:rPr>
      </w:pPr>
      <w:r>
        <w:rPr>
          <w:rFonts w:ascii="Times New Roman" w:hAnsi="Times New Roman"/>
          <w:b w:val="false"/>
          <w:color w:val="000000"/>
          <w:sz w:val="20"/>
        </w:rPr>
        <w:t>We may also, from time to time in our sole discretion, purchase, redeem, or retire any outstanding Senior Notes, through tender offers, in privately negotiated or open market transactions, or otherwise.</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the Senior Notes.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Covenant Compliance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Our ability to meet this financial ratio can be affected by events beyond our control, and we cannot assure you that we will meet this ratio. Any breach of this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pStyle w:val="TextBody"/>
        <w:bidi w:val="0"/>
        <w:spacing w:before="200" w:after="283"/>
        <w:jc w:val="left"/>
        <w:rPr>
          <w:rFonts w:ascii="Times New Roman" w:hAnsi="Times New Roman"/>
          <w:sz w:val="20"/>
        </w:rPr>
      </w:pPr>
      <w:r>
        <w:rPr>
          <w:rFonts w:ascii="Times New Roman" w:hAnsi="Times New Roman"/>
          <w:b w:val="false"/>
          <w:color w:val="000000"/>
          <w:sz w:val="20"/>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Consolidated EBITDA does not reflect the significant interest expense we incur as a result of our debt leverage;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Consolidated EBITDA does not reflect the provision of income tax expense in our various jurisdictions;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Consolidated EBITDA does not reflect any attribution of costs to our operations related to our investments and capital expenditures through depreciation and amortization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Consolidated EBITDA does not reflect the cost of compensation we provide to our employees in the form of stock-based awards;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xml:space="preserve">Consolidated EBITDA does not reflect the equity in earnings of unconsolidated affiliates;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Consolidated EBITDA excludes expenses and income that are permitted to be excluded per the terms of our amended senior secured credit facility, but which others may believe are normal expenses for the operation of a business.</w:t>
      </w:r>
    </w:p>
    <w:p>
      <w:pPr>
        <w:pStyle w:val="TextBody"/>
        <w:bidi w:val="0"/>
        <w:spacing w:before="120" w:after="283"/>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The following is a reconciliation of net income to Consolidated EBITDA attributable to SS&amp;C common stockholders as defined in our amended senior secured credit facility.</w:t>
      </w:r>
    </w:p>
    <w:tbl>
      <w:tblPr>
        <w:tblW w:w="10205" w:type="dxa"/>
        <w:jc w:val="left"/>
        <w:tblInd w:w="0" w:type="dxa"/>
        <w:tblLayout w:type="fixed"/>
        <w:tblCellMar>
          <w:top w:w="28" w:type="dxa"/>
          <w:left w:w="28" w:type="dxa"/>
          <w:bottom w:w="28" w:type="dxa"/>
          <w:right w:w="28" w:type="dxa"/>
        </w:tblCellMar>
      </w:tblPr>
      <w:tblGrid>
        <w:gridCol w:w="2920"/>
        <w:gridCol w:w="146"/>
        <w:gridCol w:w="243"/>
        <w:gridCol w:w="634"/>
        <w:gridCol w:w="206"/>
        <w:gridCol w:w="181"/>
        <w:gridCol w:w="243"/>
        <w:gridCol w:w="634"/>
        <w:gridCol w:w="166"/>
        <w:gridCol w:w="146"/>
        <w:gridCol w:w="221"/>
        <w:gridCol w:w="730"/>
        <w:gridCol w:w="187"/>
        <w:gridCol w:w="164"/>
        <w:gridCol w:w="221"/>
        <w:gridCol w:w="730"/>
        <w:gridCol w:w="166"/>
        <w:gridCol w:w="146"/>
        <w:gridCol w:w="394"/>
        <w:gridCol w:w="1307"/>
        <w:gridCol w:w="420"/>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September 30,</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FFFFFF" w:val="clear"/>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(in millions)</w:t>
            </w:r>
          </w:p>
        </w:tc>
        <w:tc>
          <w:tcPr>
            <w:tcW w:w="146" w:type="dxa"/>
            <w:tcBorders/>
            <w:shd w:fill="FFFFFF" w:val="clear"/>
            <w:vAlign w:val="center"/>
          </w:tcPr>
          <w:p>
            <w:pPr>
              <w:pStyle w:val="TableContents"/>
              <w:bidi w:val="0"/>
              <w:spacing w:before="0" w:after="283"/>
              <w:jc w:val="center"/>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8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income</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156.6</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413.7</w:t>
            </w:r>
          </w:p>
        </w:tc>
        <w:tc>
          <w:tcPr>
            <w:tcW w:w="187"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30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621.3</w:t>
            </w:r>
          </w:p>
        </w:tc>
        <w:tc>
          <w:tcPr>
            <w:tcW w:w="420" w:type="dxa"/>
            <w:tcBorders/>
            <w:shd w:fill="CFF0FC" w:val="clear"/>
            <w:vAlign w:val="center"/>
          </w:tcPr>
          <w:p>
            <w:pPr>
              <w:pStyle w:val="TableContents"/>
              <w:bidi w:val="0"/>
              <w:spacing w:before="0" w:after="283"/>
              <w:jc w:val="left"/>
              <w:rPr/>
            </w:pPr>
            <w:r>
              <w:rPr/>
              <w:t> </w:t>
            </w:r>
          </w:p>
        </w:tc>
      </w:tr>
      <w:tr>
        <w:trPr/>
        <w:tc>
          <w:tcPr>
            <w:tcW w:w="29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Interest expense, net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120.6</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350.5</w:t>
            </w:r>
          </w:p>
        </w:tc>
        <w:tc>
          <w:tcPr>
            <w:tcW w:w="187"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455.3</w:t>
            </w:r>
          </w:p>
        </w:tc>
        <w:tc>
          <w:tcPr>
            <w:tcW w:w="420" w:type="dxa"/>
            <w:tcBorders/>
            <w:shd w:fill="FFFFFF" w:val="clear"/>
            <w:vAlign w:val="center"/>
          </w:tcPr>
          <w:p>
            <w:pPr>
              <w:pStyle w:val="TableContents"/>
              <w:bidi w:val="0"/>
              <w:spacing w:before="0" w:after="283"/>
              <w:jc w:val="left"/>
              <w:rPr/>
            </w:pPr>
            <w:r>
              <w:rPr/>
              <w:t> </w:t>
            </w:r>
          </w:p>
        </w:tc>
      </w:tr>
      <w:tr>
        <w:trPr/>
        <w:tc>
          <w:tcPr>
            <w:tcW w:w="29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Provision for income taxes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51.2</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167.3</w:t>
            </w:r>
          </w:p>
        </w:tc>
        <w:tc>
          <w:tcPr>
            <w:tcW w:w="187"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130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232.3</w:t>
            </w:r>
          </w:p>
        </w:tc>
        <w:tc>
          <w:tcPr>
            <w:tcW w:w="420" w:type="dxa"/>
            <w:tcBorders/>
            <w:shd w:fill="CFF0FC" w:val="clear"/>
            <w:vAlign w:val="center"/>
          </w:tcPr>
          <w:p>
            <w:pPr>
              <w:pStyle w:val="TableContents"/>
              <w:bidi w:val="0"/>
              <w:spacing w:before="0" w:after="283"/>
              <w:jc w:val="left"/>
              <w:rPr/>
            </w:pPr>
            <w:r>
              <w:rPr/>
              <w:t> </w:t>
            </w:r>
          </w:p>
        </w:tc>
      </w:tr>
      <w:tr>
        <w:trPr/>
        <w:tc>
          <w:tcPr>
            <w:tcW w:w="29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168.5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500.4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677.8</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EBITDA</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496.9</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1,431.9</w:t>
            </w:r>
          </w:p>
        </w:tc>
        <w:tc>
          <w:tcPr>
            <w:tcW w:w="187"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1,300.7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130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1,986.7</w:t>
            </w:r>
          </w:p>
        </w:tc>
        <w:tc>
          <w:tcPr>
            <w:tcW w:w="420" w:type="dxa"/>
            <w:tcBorders/>
            <w:shd w:fill="CFF0FC" w:val="clear"/>
            <w:vAlign w:val="center"/>
          </w:tcPr>
          <w:p>
            <w:pPr>
              <w:pStyle w:val="TableContents"/>
              <w:bidi w:val="0"/>
              <w:spacing w:before="0" w:after="283"/>
              <w:jc w:val="left"/>
              <w:rPr/>
            </w:pPr>
            <w:r>
              <w:rPr/>
              <w:t> </w:t>
            </w:r>
          </w:p>
        </w:tc>
      </w:tr>
      <w:tr>
        <w:trPr/>
        <w:tc>
          <w:tcPr>
            <w:tcW w:w="29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42.1</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117.5</w:t>
            </w:r>
          </w:p>
        </w:tc>
        <w:tc>
          <w:tcPr>
            <w:tcW w:w="187"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149.1</w:t>
            </w:r>
          </w:p>
        </w:tc>
        <w:tc>
          <w:tcPr>
            <w:tcW w:w="420" w:type="dxa"/>
            <w:tcBorders/>
            <w:shd w:fill="FFFFFF" w:val="clear"/>
            <w:vAlign w:val="center"/>
          </w:tcPr>
          <w:p>
            <w:pPr>
              <w:pStyle w:val="TableContents"/>
              <w:bidi w:val="0"/>
              <w:spacing w:before="0" w:after="283"/>
              <w:jc w:val="left"/>
              <w:rPr/>
            </w:pPr>
            <w:r>
              <w:rPr/>
              <w:t> </w:t>
            </w:r>
          </w:p>
        </w:tc>
      </w:tr>
      <w:tr>
        <w:trPr/>
        <w:tc>
          <w:tcPr>
            <w:tcW w:w="29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Acquired EBITDA and cost savings (1)</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color w:val="000000"/>
              </w:rPr>
            </w:pPr>
            <w:r>
              <w:rPr>
                <w:color w:val="000000"/>
              </w:rPr>
              <w:t>—</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color w:val="000000"/>
              </w:rPr>
            </w:pPr>
            <w:r>
              <w:rPr>
                <w:color w:val="000000"/>
              </w:rPr>
              <w:t>—</w:t>
            </w:r>
          </w:p>
        </w:tc>
        <w:tc>
          <w:tcPr>
            <w:tcW w:w="187"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1307" w:type="dxa"/>
            <w:tcBorders/>
            <w:shd w:fill="CFF0FC" w:val="clear"/>
            <w:vAlign w:val="center"/>
          </w:tcPr>
          <w:p>
            <w:pPr>
              <w:pStyle w:val="TableContents"/>
              <w:bidi w:val="0"/>
              <w:spacing w:before="0" w:after="283"/>
              <w:jc w:val="right"/>
              <w:rPr>
                <w:color w:val="000000"/>
              </w:rPr>
            </w:pPr>
            <w:r>
              <w:rPr>
                <w:color w:val="000000"/>
              </w:rPr>
              <w:t>—</w:t>
            </w:r>
          </w:p>
        </w:tc>
        <w:tc>
          <w:tcPr>
            <w:tcW w:w="420" w:type="dxa"/>
            <w:tcBorders/>
            <w:shd w:fill="CFF0FC" w:val="clear"/>
            <w:vAlign w:val="center"/>
          </w:tcPr>
          <w:p>
            <w:pPr>
              <w:pStyle w:val="TableContents"/>
              <w:bidi w:val="0"/>
              <w:spacing w:before="0" w:after="283"/>
              <w:jc w:val="left"/>
              <w:rPr/>
            </w:pPr>
            <w:r>
              <w:rPr/>
              <w:t> </w:t>
            </w:r>
          </w:p>
        </w:tc>
      </w:tr>
      <w:tr>
        <w:trPr/>
        <w:tc>
          <w:tcPr>
            <w:tcW w:w="29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Loss on extinguishment of debt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0.5</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187"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w:t>
            </w:r>
          </w:p>
        </w:tc>
        <w:tc>
          <w:tcPr>
            <w:tcW w:w="420" w:type="dxa"/>
            <w:tcBorders/>
            <w:shd w:fill="FFFFFF" w:val="clear"/>
            <w:vAlign w:val="center"/>
          </w:tcPr>
          <w:p>
            <w:pPr>
              <w:pStyle w:val="TableContents"/>
              <w:bidi w:val="0"/>
              <w:spacing w:before="0" w:after="283"/>
              <w:jc w:val="left"/>
              <w:rPr/>
            </w:pPr>
            <w:r>
              <w:rPr/>
              <w:t> </w:t>
            </w:r>
          </w:p>
        </w:tc>
      </w:tr>
      <w:tr>
        <w:trPr/>
        <w:tc>
          <w:tcPr>
            <w:tcW w:w="29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Equity in earnings of unconsolidated affiliates, net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(27.5</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(42.6</w:t>
            </w:r>
          </w:p>
        </w:tc>
        <w:tc>
          <w:tcPr>
            <w:tcW w:w="18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4"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130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(71.1</w:t>
            </w:r>
          </w:p>
        </w:tc>
        <w:tc>
          <w:tcPr>
            <w:tcW w:w="4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Purchase accounting adjustments (2)</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6.7</w:t>
            </w:r>
          </w:p>
        </w:tc>
        <w:tc>
          <w:tcPr>
            <w:tcW w:w="187"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8.9</w:t>
            </w:r>
          </w:p>
        </w:tc>
        <w:tc>
          <w:tcPr>
            <w:tcW w:w="420" w:type="dxa"/>
            <w:tcBorders/>
            <w:shd w:fill="FFFFFF" w:val="clear"/>
            <w:vAlign w:val="center"/>
          </w:tcPr>
          <w:p>
            <w:pPr>
              <w:pStyle w:val="TableContents"/>
              <w:bidi w:val="0"/>
              <w:spacing w:before="0" w:after="283"/>
              <w:jc w:val="left"/>
              <w:rPr/>
            </w:pPr>
            <w:r>
              <w:rPr/>
              <w:t> </w:t>
            </w:r>
          </w:p>
        </w:tc>
      </w:tr>
      <w:tr>
        <w:trPr/>
        <w:tc>
          <w:tcPr>
            <w:tcW w:w="29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ASC 606 adoption impact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(0.8</w:t>
            </w:r>
          </w:p>
        </w:tc>
        <w:tc>
          <w:tcPr>
            <w:tcW w:w="20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18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4"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130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w:t>
            </w:r>
          </w:p>
        </w:tc>
        <w:tc>
          <w:tcPr>
            <w:tcW w:w="4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Foreign currency translation losses (gains)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w:t>
            </w:r>
          </w:p>
        </w:tc>
        <w:tc>
          <w:tcPr>
            <w:tcW w:w="187"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w:t>
            </w:r>
          </w:p>
        </w:tc>
        <w:tc>
          <w:tcPr>
            <w:tcW w:w="4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Investment losses (gains)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0.5</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(13.7</w:t>
            </w:r>
          </w:p>
        </w:tc>
        <w:tc>
          <w:tcPr>
            <w:tcW w:w="18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4"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130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(56.8</w:t>
            </w:r>
          </w:p>
        </w:tc>
        <w:tc>
          <w:tcPr>
            <w:tcW w:w="4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9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Facilities and workforce restructuring</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13.8</w:t>
            </w:r>
          </w:p>
        </w:tc>
        <w:tc>
          <w:tcPr>
            <w:tcW w:w="20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42.5</w:t>
            </w:r>
          </w:p>
        </w:tc>
        <w:tc>
          <w:tcPr>
            <w:tcW w:w="187"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4"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49.3</w:t>
            </w:r>
          </w:p>
        </w:tc>
        <w:tc>
          <w:tcPr>
            <w:tcW w:w="420" w:type="dxa"/>
            <w:tcBorders/>
            <w:shd w:fill="FFFFFF" w:val="clear"/>
            <w:vAlign w:val="center"/>
          </w:tcPr>
          <w:p>
            <w:pPr>
              <w:pStyle w:val="TableContents"/>
              <w:bidi w:val="0"/>
              <w:spacing w:before="0" w:after="283"/>
              <w:jc w:val="left"/>
              <w:rPr/>
            </w:pPr>
            <w:r>
              <w:rPr/>
              <w:t> </w:t>
            </w:r>
          </w:p>
        </w:tc>
      </w:tr>
      <w:tr>
        <w:trPr/>
        <w:tc>
          <w:tcPr>
            <w:tcW w:w="2920"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Acquisition related (3)</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w:t>
            </w:r>
          </w:p>
        </w:tc>
        <w:tc>
          <w:tcPr>
            <w:tcW w:w="20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w:t>
            </w:r>
          </w:p>
        </w:tc>
        <w:tc>
          <w:tcPr>
            <w:tcW w:w="18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4" w:type="dxa"/>
            <w:tcBorders/>
            <w:shd w:fill="CFF0FC" w:val="clear"/>
            <w:vAlign w:val="center"/>
          </w:tcPr>
          <w:p>
            <w:pPr>
              <w:pStyle w:val="TableContents"/>
              <w:bidi w:val="0"/>
              <w:spacing w:before="0" w:after="283"/>
              <w:jc w:val="left"/>
              <w:rPr/>
            </w:pPr>
            <w:r>
              <w:rPr/>
              <w:t> </w:t>
            </w:r>
          </w:p>
        </w:tc>
        <w:tc>
          <w:tcPr>
            <w:tcW w:w="221"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shd w:fill="CFF0FC" w:val="clear"/>
            <w:vAlign w:val="center"/>
          </w:tcPr>
          <w:p>
            <w:pPr>
              <w:pStyle w:val="TableContents"/>
              <w:bidi w:val="0"/>
              <w:spacing w:before="0" w:after="283"/>
              <w:jc w:val="left"/>
              <w:rPr/>
            </w:pPr>
            <w:r>
              <w:rPr/>
              <w:t> </w:t>
            </w:r>
          </w:p>
        </w:tc>
        <w:tc>
          <w:tcPr>
            <w:tcW w:w="1307"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10.5</w:t>
            </w:r>
          </w:p>
        </w:tc>
        <w:tc>
          <w:tcPr>
            <w:tcW w:w="420" w:type="dxa"/>
            <w:tcBorders/>
            <w:shd w:fill="CFF0FC" w:val="clear"/>
            <w:vAlign w:val="center"/>
          </w:tcPr>
          <w:p>
            <w:pPr>
              <w:pStyle w:val="TableContents"/>
              <w:bidi w:val="0"/>
              <w:spacing w:before="0" w:after="283"/>
              <w:jc w:val="left"/>
              <w:rPr/>
            </w:pPr>
            <w:r>
              <w:rPr/>
              <w:t> </w:t>
            </w:r>
          </w:p>
        </w:tc>
      </w:tr>
      <w:tr>
        <w:trPr/>
        <w:tc>
          <w:tcPr>
            <w:tcW w:w="29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(4)</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0.5</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3.8</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9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Consolidated EBITDA</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534.8</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1,547.3</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2,066.3</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0"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Consolidated EBITDA attributable to noncontrolling interest (5)</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(0.9</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1"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4" w:type="dxa"/>
            <w:tcBorders/>
            <w:shd w:fill="FFFFFF" w:val="cle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920"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Consolidated EBITDA attributable to SS&amp;C common stockholders</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533.9</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1,545.2</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1,486.3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2,063.8</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b w:val="false"/>
          <w:color w:val="000000"/>
          <w:sz w:val="20"/>
        </w:rPr>
      </w:pPr>
      <w:r>
        <w:rPr>
          <w:rFonts w:ascii="Times New Roman" w:hAnsi="Times New Roman"/>
          <w:b w:val="false"/>
          <w:color w:val="000000"/>
          <w:sz w:val="20"/>
        </w:rPr>
        <w:t>________________________</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Acquired EBITDA reflects the EBITDA impact of significant businesses that were acquired during the period as if the acquisition occurred at the beginning of the period, as well as cost savings enacted in connection with acquisitions.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 (c) an adjustment to increase or decrease rent expense by the amount that would have been recognized if lease obligations were not adjusted to fair value at the date of acquisitions.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Acquisition related includes costs related to both current acquisitions and the resolution of pre-acquisition matters.</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Other includes additional expenses and income that are permitted to be excluded per the terms of our amended senior secured credit facility from Consolidated EBITDA, a financial measure used in calculating our covenant compliance.</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(5)</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 xml:space="preserve">Consolidated EBITDA attributable to noncontrolling interest represents Consolidated EBITDA based on the ownership interest retained by the noncontrolling parties of DomaniRx, our consolidated variable interest entity. </w:t>
      </w:r>
    </w:p>
    <w:p>
      <w:pPr>
        <w:pStyle w:val="TextBody"/>
        <w:bidi w:val="0"/>
        <w:spacing w:before="0" w:after="120"/>
        <w:jc w:val="left"/>
        <w:rPr/>
      </w:pPr>
      <w:r>
        <w:rPr/>
        <w:t> </w:t>
      </w:r>
    </w:p>
    <w:p>
      <w:pPr>
        <w:pStyle w:val="TextBody"/>
        <w:bidi w:val="0"/>
        <w:spacing w:before="0" w:after="120"/>
        <w:jc w:val="left"/>
        <w:rPr>
          <w:rFonts w:ascii="Times New Roman" w:hAnsi="Times New Roman"/>
          <w:b w:val="false"/>
          <w:color w:val="000000"/>
          <w:sz w:val="20"/>
        </w:rPr>
      </w:pPr>
      <w:r>
        <w:rPr>
          <w:rFonts w:ascii="Times New Roman" w:hAnsi="Times New Roman"/>
          <w:b w:val="false"/>
          <w:color w:val="000000"/>
          <w:sz w:val="20"/>
        </w:rPr>
        <w:t>Our covenant requirement for consolidated net secured leverage ratio and the actual ratio as of September 30, 2023 are as follows:</w:t>
      </w:r>
    </w:p>
    <w:tbl>
      <w:tblPr>
        <w:tblW w:w="5920" w:type="dxa"/>
        <w:jc w:val="left"/>
        <w:tblInd w:w="0" w:type="dxa"/>
        <w:tblLayout w:type="fixed"/>
        <w:tblCellMar>
          <w:top w:w="28" w:type="dxa"/>
          <w:left w:w="28" w:type="dxa"/>
          <w:bottom w:w="28" w:type="dxa"/>
          <w:right w:w="28" w:type="dxa"/>
        </w:tblCellMar>
      </w:tblPr>
      <w:tblGrid>
        <w:gridCol w:w="3961"/>
        <w:gridCol w:w="146"/>
        <w:gridCol w:w="1036"/>
        <w:gridCol w:w="146"/>
        <w:gridCol w:w="63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Covenant</w:t>
              <w:br/>
              <w:t>Requirement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br/>
              <w:t>Ratio</w:t>
            </w:r>
          </w:p>
        </w:tc>
      </w:tr>
      <w:tr>
        <w:trPr/>
        <w:tc>
          <w:tcPr>
            <w:tcW w:w="396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Maximum consolidated net secured leverage to</w:t>
              <w:br/>
              <w:t>   Consolidated EBITDA ratio</w:t>
            </w:r>
            <w:r>
              <w:rPr>
                <w:rFonts w:ascii="Times New Roman" w:hAnsi="Times New Roman"/>
                <w:b w:val="false"/>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6.25x</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2.21x</w:t>
            </w:r>
          </w:p>
        </w:tc>
      </w:tr>
    </w:tbl>
    <w:p>
      <w:pPr>
        <w:pStyle w:val="TextBody"/>
        <w:bidi w:val="0"/>
        <w:spacing w:before="40" w:after="283"/>
        <w:jc w:val="left"/>
        <w:rPr>
          <w:rFonts w:ascii="Times New Roman" w:hAnsi="Times New Roman"/>
          <w:b w:val="false"/>
          <w:color w:val="000000"/>
          <w:sz w:val="10"/>
        </w:rPr>
      </w:pPr>
      <w:r>
        <w:rPr>
          <w:rFonts w:ascii="Times New Roman" w:hAnsi="Times New Roman"/>
          <w:b w:val="false"/>
          <w:color w:val="000000"/>
          <w:sz w:val="10"/>
        </w:rPr>
        <w:t>_____________________________________________________</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Calculated as the ratio of consolidated net secured funded indebtedness, net of cash and cash equivalents, excluding $106.1 million of cash and cash equivalents held at DomaniRx, to Consolidated EBITDA,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pStyle w:val="TextBody"/>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Recently Adopted Accounting Pronouncement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In March 2020, the FASB issued ASU 2020-04, </w:t>
      </w:r>
      <w:r>
        <w:rPr>
          <w:rFonts w:ascii="Times New Roman" w:hAnsi="Times New Roman"/>
          <w:b w:val="false"/>
          <w:i/>
          <w:color w:val="000000"/>
          <w:sz w:val="20"/>
        </w:rPr>
        <w:t>Reference Rate Reform (Topic 848): Facilitation of the Effects of Reference Rate Reform on Financial Reporting</w:t>
      </w:r>
      <w:r>
        <w:rPr>
          <w:rFonts w:ascii="Times New Roman" w:hAnsi="Times New Roman"/>
          <w:b w:val="false"/>
          <w:color w:val="000000"/>
          <w:sz w:val="20"/>
        </w:rPr>
        <w:t xml:space="preserve">. ASU 2020-04 provides optional expedients and exceptions for applying U.S. GAAP if certain criteria are met to contracts, hedging relationships and other transactions that reference LIBOR or another reference rate expected to be discontinued. In January 2021, the FASB issued ASU 2021-01, </w:t>
      </w:r>
      <w:r>
        <w:rPr>
          <w:rFonts w:ascii="Times New Roman" w:hAnsi="Times New Roman"/>
          <w:b w:val="false"/>
          <w:i/>
          <w:color w:val="000000"/>
          <w:sz w:val="20"/>
        </w:rPr>
        <w:t>Reference Rate Reform (Topic 848): Scope</w:t>
      </w:r>
      <w:r>
        <w:rPr>
          <w:rFonts w:ascii="Times New Roman" w:hAnsi="Times New Roman"/>
          <w:b w:val="false"/>
          <w:color w:val="000000"/>
          <w:sz w:val="20"/>
        </w:rPr>
        <w:t>. The update provides additional optional guidance on the transition from LIBOR to include derivative instruments that use an interest rate for margining,</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discounting or contract price alignment. The standard will ease, if warranted, the requirements for accounting for the future effects of the rate reform. Additionally, in December 2022, the FASB issued ASU 2022-06, </w:t>
      </w:r>
      <w:r>
        <w:rPr>
          <w:rFonts w:ascii="Times New Roman" w:hAnsi="Times New Roman"/>
          <w:b w:val="false"/>
          <w:i/>
          <w:color w:val="000000"/>
          <w:sz w:val="20"/>
        </w:rPr>
        <w:t>Reference Rate Reform: Deferral of the Sunset Date of Topic 848,</w:t>
      </w:r>
      <w:r>
        <w:rPr>
          <w:rFonts w:ascii="Times New Roman" w:hAnsi="Times New Roman"/>
          <w:color w:val="000000"/>
          <w:sz w:val="20"/>
        </w:rPr>
        <w:t xml:space="preserve"> </w:t>
      </w:r>
      <w:r>
        <w:rPr>
          <w:rFonts w:ascii="Times New Roman" w:hAnsi="Times New Roman"/>
          <w:b w:val="false"/>
          <w:color w:val="000000"/>
          <w:sz w:val="20"/>
        </w:rPr>
        <w:t>which deferred the sunset date of Topic 848 from December 31, 2022 to December 31, 2024 to align with the amended cessation date of LIBOR. We have adopted ASU 2020-04 and the adoption of this standard did not have a material impact on our financial position, results of operations or cash flows.</w:t>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left"/>
        <w:rPr>
          <w:rFonts w:ascii="Times New Roman" w:hAnsi="Times New Roman"/>
          <w:sz w:val="20"/>
        </w:rPr>
      </w:pPr>
      <w:r>
        <w:rPr>
          <w:rFonts w:ascii="Times New Roman" w:hAnsi="Times New Roman"/>
          <w:b w:val="false"/>
          <w:color w:val="000000"/>
          <w:sz w:val="20"/>
        </w:rPr>
        <w:t>We derive service revenues from investment earnings related to cash balances maintained in bank accounts on which we are the agent for clients. The balances maintained in the bank accounts will fluctuate. For the nine months ended September 30, 2023, we had average daily cash balances of approximately $1,780.6 million maintained in such accounts. We estimate that a 100 basis point change in the interest earnings rate would equal approximately $9.6 million of net income, net of income taxes, on an annual basis. The effect of changes in interest rates attributable to earnings derived from cash balances we hold for clients is offset by changes in interest rates on our variable debt.</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At September 30, 2023, we had total variable interest rate debt of approximately $4,905.1 million. As of September 30, 2023, a 100 basis point increase in interest rates would result in an increase in interest expense of approximately $49.1 million per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Price Risk</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September 30, 2023 was approximately $49.0 million. The impact of a 10% change in fair value of these investments would have been approximately $3.6 million to net income, net of income taxes. Changes in equity values of our investments could have a material effect on our results of operations and our financial position.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Rate Risk</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During the nine months ended September 30, 2023, approximately 31% of our revenues were from clients located outside the United States. A portion of the revenues from clients located outside the United States is denominated in foreign currencies, the majority being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 currency exchange rates that result in foreign currency transaction gains and losses, which we report in other (expense) income, net. These amounts were not material for the nine months ended September 30, 2023.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because of our acquisitions and changes in our operations. We do not enter into any market risk sensitive instruments for trading purposes.</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pStyle w:val="TextBody"/>
        <w:bidi w:val="0"/>
        <w:jc w:val="left"/>
        <w:rPr/>
      </w:pPr>
      <w:r>
        <w:rPr/>
        <w:t> </w:t>
      </w:r>
    </w:p>
    <w:p>
      <w:pPr>
        <w:pStyle w:val="TextBody"/>
        <w:bidi w:val="0"/>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Our management, with the participation of our chief executive officer and chief financial officer (our principal executive officer and principal financial officer, respectively), evaluated the effectiveness of our disclosure controls and procedures as of September 30, 2023.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2023, our chief executive officer and chief financial officer concluded that, as of such date, our disclosure controls and procedures were effective at the reasonable assurance level.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have not been any changes in our internal control over financial reporting (as defined in Rules 13a-15(f) and 15d-15(f) under the Exchange Act) that occurred during the fiscal quarter ended September 30, 2023 that have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12" w:name="part_ii_or_information"/>
      <w:bookmarkEnd w:id="12"/>
      <w:r>
        <w:rPr>
          <w:rFonts w:ascii="Times New Roman" w:hAnsi="Times New Roman"/>
          <w:b/>
          <w:color w:val="000000"/>
          <w:sz w:val="20"/>
        </w:rPr>
        <w:t>PART II – OTHER INFORMATION</w:t>
      </w:r>
    </w:p>
    <w:p>
      <w:pPr>
        <w:pStyle w:val="TextBody"/>
        <w:bidi w:val="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information regarding certain legal proceedings in which we are involved as set forth in Note 14 – Commitments and Contingencies of the Notes to the Condensed Consolidated Financial Statements (Part I, Item 1 of this Quarterly Report on Form 10-Q) is incorporated by reference into this Item 1.</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pStyle w:val="TextBody"/>
        <w:bidi w:val="0"/>
        <w:jc w:val="left"/>
        <w:rPr/>
      </w:pPr>
      <w:r>
        <w:rPr/>
        <w:t> </w:t>
      </w:r>
    </w:p>
    <w:p>
      <w:pPr>
        <w:pStyle w:val="TextBody"/>
        <w:bidi w:val="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the date of this report, there have been no material changes to the risk factors we previously disclosed in our Annual Report on Form 10-K for the year ended December 31, 2022.</w:t>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of_securities"/>
      <w:bookmarkEnd w:id="15"/>
      <w:r>
        <w:rPr>
          <w:rFonts w:ascii="Times New Roman" w:hAnsi="Times New Roman"/>
          <w:b/>
          <w:color w:val="000000"/>
          <w:sz w:val="20"/>
        </w:rPr>
        <w:t>Item 2. Unregistered Sales of Equity Securities, Use of Proceeds, and Issuer Purchases of Equity Securities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following is a summary of the repurchases of our common stock in the third quarter of 2023 (in millions, except average price per share):</w:t>
      </w:r>
    </w:p>
    <w:tbl>
      <w:tblPr>
        <w:tblW w:w="10205" w:type="dxa"/>
        <w:jc w:val="left"/>
        <w:tblInd w:w="0" w:type="dxa"/>
        <w:tblLayout w:type="fixed"/>
        <w:tblCellMar>
          <w:top w:w="28" w:type="dxa"/>
          <w:left w:w="28" w:type="dxa"/>
          <w:bottom w:w="28" w:type="dxa"/>
          <w:right w:w="28" w:type="dxa"/>
        </w:tblCellMar>
      </w:tblPr>
      <w:tblGrid>
        <w:gridCol w:w="1605"/>
        <w:gridCol w:w="146"/>
        <w:gridCol w:w="381"/>
        <w:gridCol w:w="947"/>
        <w:gridCol w:w="146"/>
        <w:gridCol w:w="246"/>
        <w:gridCol w:w="307"/>
        <w:gridCol w:w="832"/>
        <w:gridCol w:w="146"/>
        <w:gridCol w:w="146"/>
        <w:gridCol w:w="596"/>
        <w:gridCol w:w="1482"/>
        <w:gridCol w:w="146"/>
        <w:gridCol w:w="246"/>
        <w:gridCol w:w="596"/>
        <w:gridCol w:w="2041"/>
        <w:gridCol w:w="196"/>
      </w:tblGrid>
      <w:tr>
        <w:trPr/>
        <w:tc>
          <w:tcPr>
            <w:tcW w:w="16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 Number of Shares Purchased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br/>
              <w:t>Total Number of Shares Purchased as Part of Publicly Announced Plans or Programs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26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 </w:t>
              <w:br/>
              <w:t>Maximum Number (or Approximate Dollar Value) of Shares that May Yet be Purchased Under Plans or Programs (3)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July 1, 2023 – July 31, 2023</w:t>
            </w:r>
          </w:p>
        </w:tc>
        <w:tc>
          <w:tcPr>
            <w:tcW w:w="146" w:type="dxa"/>
            <w:tcBorders/>
            <w:shd w:fill="CFF0FC" w:val="clear"/>
            <w:vAlign w:val="center"/>
          </w:tcPr>
          <w:p>
            <w:pPr>
              <w:pStyle w:val="TableContents"/>
              <w:bidi w:val="0"/>
              <w:spacing w:before="0" w:after="283"/>
              <w:jc w:val="right"/>
              <w:rPr/>
            </w:pPr>
            <w:r>
              <w:rPr/>
              <w:t> </w:t>
            </w:r>
          </w:p>
        </w:tc>
        <w:tc>
          <w:tcPr>
            <w:tcW w:w="381" w:type="dxa"/>
            <w:tcBorders/>
            <w:shd w:fill="CFF0FC" w:val="clear"/>
            <w:vAlign w:val="center"/>
          </w:tcPr>
          <w:p>
            <w:pPr>
              <w:pStyle w:val="TableContents"/>
              <w:bidi w:val="0"/>
              <w:spacing w:before="0" w:after="283"/>
              <w:jc w:val="left"/>
              <w:rPr/>
            </w:pPr>
            <w:r>
              <w:rPr/>
              <w:t> </w:t>
            </w:r>
          </w:p>
        </w:tc>
        <w:tc>
          <w:tcPr>
            <w:tcW w:w="9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6" w:type="dxa"/>
            <w:tcBorders/>
            <w:shd w:fill="CFF0FC" w:val="clear"/>
            <w:vAlign w:val="center"/>
          </w:tcPr>
          <w:p>
            <w:pPr>
              <w:pStyle w:val="TableContents"/>
              <w:bidi w:val="0"/>
              <w:spacing w:before="0" w:after="283"/>
              <w:jc w:val="left"/>
              <w:rPr/>
            </w:pPr>
            <w:r>
              <w:rPr/>
              <w:t> </w:t>
            </w:r>
          </w:p>
        </w:tc>
        <w:tc>
          <w:tcPr>
            <w:tcW w:w="14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w:t>
            </w:r>
          </w:p>
        </w:tc>
        <w:tc>
          <w:tcPr>
            <w:tcW w:w="196" w:type="dxa"/>
            <w:tcBorders/>
            <w:shd w:fill="CFF0FC" w:val="clear"/>
            <w:vAlign w:val="center"/>
          </w:tcPr>
          <w:p>
            <w:pPr>
              <w:pStyle w:val="TableContents"/>
              <w:bidi w:val="0"/>
              <w:spacing w:before="0" w:after="283"/>
              <w:jc w:val="left"/>
              <w:rPr/>
            </w:pPr>
            <w:r>
              <w:rPr/>
              <w:t> </w:t>
            </w:r>
          </w:p>
        </w:tc>
      </w:tr>
      <w:tr>
        <w:trPr/>
        <w:tc>
          <w:tcPr>
            <w:tcW w:w="160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August 1, 2023 – August 31, 2023</w:t>
            </w:r>
          </w:p>
        </w:tc>
        <w:tc>
          <w:tcPr>
            <w:tcW w:w="146" w:type="dxa"/>
            <w:tcBorders/>
            <w:shd w:fill="FFFFFF" w:val="clear"/>
            <w:vAlign w:val="center"/>
          </w:tcPr>
          <w:p>
            <w:pPr>
              <w:pStyle w:val="TableContents"/>
              <w:bidi w:val="0"/>
              <w:spacing w:before="0" w:after="283"/>
              <w:jc w:val="right"/>
              <w:rPr/>
            </w:pPr>
            <w:r>
              <w:rPr/>
              <w:t> </w:t>
            </w:r>
          </w:p>
        </w:tc>
        <w:tc>
          <w:tcPr>
            <w:tcW w:w="381"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30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6" w:type="dxa"/>
            <w:tcBorders/>
            <w:shd w:fill="FFFFFF" w:val="clear"/>
            <w:vAlign w:val="center"/>
          </w:tcPr>
          <w:p>
            <w:pPr>
              <w:pStyle w:val="TableContents"/>
              <w:bidi w:val="0"/>
              <w:spacing w:before="0" w:after="283"/>
              <w:jc w:val="left"/>
              <w:rPr/>
            </w:pPr>
            <w:r>
              <w:rPr/>
              <w:t> </w:t>
            </w:r>
          </w:p>
        </w:tc>
        <w:tc>
          <w:tcPr>
            <w:tcW w:w="148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59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914.2</w:t>
            </w:r>
          </w:p>
        </w:tc>
        <w:tc>
          <w:tcPr>
            <w:tcW w:w="196" w:type="dxa"/>
            <w:tcBorders/>
            <w:shd w:fill="FFFFFF" w:val="clear"/>
            <w:vAlign w:val="center"/>
          </w:tcPr>
          <w:p>
            <w:pPr>
              <w:pStyle w:val="TableContents"/>
              <w:bidi w:val="0"/>
              <w:spacing w:before="0" w:after="283"/>
              <w:jc w:val="left"/>
              <w:rPr/>
            </w:pPr>
            <w:r>
              <w:rPr/>
              <w:t> </w:t>
            </w:r>
          </w:p>
        </w:tc>
      </w:tr>
      <w:tr>
        <w:trPr/>
        <w:tc>
          <w:tcPr>
            <w:tcW w:w="160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September 1, 2023 – September 30, 2023</w:t>
            </w:r>
          </w:p>
        </w:tc>
        <w:tc>
          <w:tcPr>
            <w:tcW w:w="146" w:type="dxa"/>
            <w:tcBorders/>
            <w:shd w:fill="CFF0FC" w:val="clear"/>
            <w:vAlign w:val="center"/>
          </w:tcPr>
          <w:p>
            <w:pPr>
              <w:pStyle w:val="TableContents"/>
              <w:bidi w:val="0"/>
              <w:spacing w:before="0" w:after="283"/>
              <w:jc w:val="righ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30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3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54.49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5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59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20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902.2</w:t>
            </w:r>
          </w:p>
        </w:tc>
        <w:tc>
          <w:tcPr>
            <w:tcW w:w="196" w:type="dxa"/>
            <w:tcBorders/>
            <w:shd w:fill="CFF0FC" w:val="clear"/>
            <w:vAlign w:val="center"/>
          </w:tcPr>
          <w:p>
            <w:pPr>
              <w:pStyle w:val="TableContents"/>
              <w:bidi w:val="0"/>
              <w:spacing w:before="0" w:after="283"/>
              <w:jc w:val="left"/>
              <w:rPr/>
            </w:pPr>
            <w:r>
              <w:rPr/>
              <w:t> </w:t>
            </w:r>
          </w:p>
        </w:tc>
      </w:tr>
      <w:tr>
        <w:trPr/>
        <w:tc>
          <w:tcPr>
            <w:tcW w:w="1605"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1139" w:type="dxa"/>
            <w:gridSpan w:val="2"/>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firstLine="100"/>
              <w:jc w:val="right"/>
              <w:rPr/>
            </w:pPr>
            <w:r>
              <w:rPr/>
              <w:t> </w:t>
            </w:r>
          </w:p>
        </w:tc>
        <w:tc>
          <w:tcPr>
            <w:tcW w:w="2637" w:type="dxa"/>
            <w:gridSpan w:val="2"/>
            <w:tcBorders/>
            <w:shd w:fill="FFFFFF" w:val="clear"/>
            <w:vAlign w:val="center"/>
          </w:tcPr>
          <w:p>
            <w:pPr>
              <w:pStyle w:val="TableContents"/>
              <w:bidi w:val="0"/>
              <w:spacing w:before="0" w:after="283"/>
              <w:ind w:left="100" w:right="0" w:firstLine="100"/>
              <w:jc w:val="left"/>
              <w:rPr/>
            </w:pPr>
            <w:r>
              <w:rPr/>
              <w:t> </w:t>
            </w:r>
          </w:p>
        </w:tc>
        <w:tc>
          <w:tcPr>
            <w:tcW w:w="196" w:type="dxa"/>
            <w:tcBorders/>
            <w:shd w:fill="FFFFFF" w:val="cle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b w:val="false"/>
          <w:color w:val="000000"/>
          <w:sz w:val="20"/>
        </w:rPr>
        <w:t>(1) Information is based on trade dates of repurchase transactions.</w:t>
      </w:r>
      <w:r>
        <w:rPr>
          <w:rFonts w:ascii="Times New Roman" w:hAnsi="Times New Roman"/>
          <w:color w:val="000000"/>
          <w:sz w:val="20"/>
        </w:rPr>
        <w:t xml:space="preserve">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(2) Represents shares repurchased in open market transactions pursuant to the Common Stock Repurchase Program.</w:t>
      </w:r>
    </w:p>
    <w:p>
      <w:pPr>
        <w:pStyle w:val="TextBody"/>
        <w:bidi w:val="0"/>
        <w:jc w:val="left"/>
        <w:rPr>
          <w:rFonts w:ascii="Times New Roman" w:hAnsi="Times New Roman"/>
          <w:sz w:val="20"/>
        </w:rPr>
      </w:pPr>
      <w:r>
        <w:rPr>
          <w:rFonts w:ascii="Times New Roman" w:hAnsi="Times New Roman"/>
          <w:b w:val="false"/>
          <w:color w:val="000000"/>
          <w:sz w:val="20"/>
        </w:rPr>
        <w:t>(3) Share repurchases were made pursuant to our Common Stock Repurchase Program, most recently authorized by our Board of Directors in July 2023. The program allows for the purchase of up to $1 billion of outstanding common stock in one or more transactions on the open market or in privately negotiated purchases.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exhibits listed in the Exhibit Index immediately preceding such exhibits are filed as part of this Report.</w:t>
      </w:r>
    </w:p>
    <w:p>
      <w:pPr>
        <w:pStyle w:val="TextBody"/>
        <w:bidi w:val="0"/>
        <w:jc w:val="left"/>
        <w:rPr/>
      </w:pPr>
      <w:r>
        <w:rPr/>
        <w:t> </w:t>
      </w:r>
    </w:p>
    <w:p>
      <w:pPr>
        <w:pStyle w:val="TextBody"/>
        <w:bidi w:val="0"/>
        <w:jc w:val="center"/>
        <w:rPr>
          <w:rFonts w:ascii="Times New Roman" w:hAnsi="Times New Roman"/>
          <w:b/>
          <w:color w:val="000000"/>
          <w:sz w:val="20"/>
        </w:rPr>
      </w:pPr>
      <w:bookmarkStart w:id="17" w:name="exhibit_index"/>
      <w:bookmarkEnd w:id="17"/>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61"/>
        <w:gridCol w:w="146"/>
        <w:gridCol w:w="9298"/>
      </w:tblGrid>
      <w:tr>
        <w:trPr/>
        <w:tc>
          <w:tcPr>
            <w:tcW w:w="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sz w:val="4"/>
                <w:szCs w:val="4"/>
              </w:rPr>
            </w:pPr>
            <w:r>
              <w:rPr>
                <w:sz w:val="4"/>
                <w:szCs w:val="4"/>
              </w:rPr>
            </w:r>
          </w:p>
        </w:tc>
      </w:tr>
      <w:tr>
        <w:trPr/>
        <w:tc>
          <w:tcPr>
            <w:tcW w:w="7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Exhibit</w:t>
            </w:r>
          </w:p>
        </w:tc>
      </w:tr>
      <w:tr>
        <w:trPr/>
        <w:tc>
          <w:tcPr>
            <w:tcW w:w="761" w:type="dxa"/>
            <w:tcBorders/>
            <w:vAlign w:val="center"/>
          </w:tcPr>
          <w:p>
            <w:pPr>
              <w:pStyle w:val="TableContents"/>
              <w:bidi w:val="0"/>
              <w:spacing w:before="0" w:after="283"/>
              <w:jc w:val="left"/>
              <w:rPr/>
            </w:pPr>
            <w:r>
              <w:rPr/>
              <w:t> </w:t>
            </w:r>
          </w:p>
        </w:tc>
        <w:tc>
          <w:tcPr>
            <w:tcW w:w="9444" w:type="dxa"/>
            <w:gridSpan w:val="2"/>
            <w:tcBorders/>
            <w:vAlign w:val="center"/>
          </w:tcPr>
          <w:p>
            <w:pPr>
              <w:pStyle w:val="TableContents"/>
              <w:bidi w:val="0"/>
              <w:spacing w:before="0" w:after="283"/>
              <w:jc w:val="left"/>
              <w:rPr/>
            </w:pPr>
            <w:r>
              <w:rPr/>
              <w:t> </w:t>
            </w:r>
          </w:p>
        </w:tc>
      </w:tr>
      <w:tr>
        <w:trPr/>
        <w:tc>
          <w:tcPr>
            <w:tcW w:w="7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w:t>
            </w:r>
          </w:p>
        </w:tc>
        <w:tc>
          <w:tcPr>
            <w:tcW w:w="146" w:type="dxa"/>
            <w:tcBorders/>
            <w:vAlign w:val="center"/>
          </w:tcPr>
          <w:p>
            <w:pPr>
              <w:pStyle w:val="TableContents"/>
              <w:bidi w:val="0"/>
              <w:spacing w:before="0" w:after="283"/>
              <w:jc w:val="left"/>
              <w:rPr/>
            </w:pPr>
            <w:r>
              <w:rPr/>
              <w:t> </w:t>
            </w:r>
          </w:p>
        </w:tc>
        <w:tc>
          <w:tcPr>
            <w:tcW w:w="9298" w:type="dxa"/>
            <w:tcBorders/>
            <w:vAlign w:val="center"/>
          </w:tcPr>
          <w:p>
            <w:pPr>
              <w:pStyle w:val="TableContents"/>
              <w:bidi w:val="0"/>
              <w:spacing w:before="0" w:after="283"/>
              <w:jc w:val="left"/>
              <w:rPr/>
            </w:pPr>
            <w:hyperlink w:anchor="ssnc-ex10_1.htm">
              <w:r>
                <w:rPr>
                  <w:rStyle w:val="InternetLink"/>
                  <w:rFonts w:ascii="Times New Roman" w:hAnsi="Times New Roman"/>
                  <w:b w:val="false"/>
                  <w:color w:val="0000FF"/>
                  <w:sz w:val="20"/>
                  <w:u w:val="single"/>
                </w:rPr>
                <w:t>Offer Letter dated July 1, 2023, between Brian N. Schell and SS&amp;C Technologies Holdings, Inc.</w:t>
              </w:r>
            </w:hyperlink>
          </w:p>
        </w:tc>
      </w:tr>
      <w:tr>
        <w:trPr/>
        <w:tc>
          <w:tcPr>
            <w:tcW w:w="7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8" w:type="dxa"/>
            <w:tcBorders/>
            <w:vAlign w:val="center"/>
          </w:tcPr>
          <w:p>
            <w:pPr>
              <w:pStyle w:val="TableContents"/>
              <w:bidi w:val="0"/>
              <w:spacing w:before="0" w:after="283"/>
              <w:jc w:val="left"/>
              <w:rPr/>
            </w:pPr>
            <w:r>
              <w:rPr/>
              <w:t> </w:t>
            </w:r>
          </w:p>
        </w:tc>
      </w:tr>
      <w:tr>
        <w:trPr/>
        <w:tc>
          <w:tcPr>
            <w:tcW w:w="7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pPr>
            <w:hyperlink w:anchor="ssnc-ex31_1.htm">
              <w:r>
                <w:rPr>
                  <w:rStyle w:val="InternetLink"/>
                  <w:rFonts w:ascii="Times New Roman" w:hAnsi="Times New Roman"/>
                  <w:b w:val="false"/>
                  <w:color w:val="0000FF"/>
                  <w:sz w:val="20"/>
                  <w:u w:val="single"/>
                </w:rPr>
                <w:t>Certification of the Registrant’s Chief Executive Officer pursuant to Section 302 of the Sarbanes-Oxley Act of 2002*</w:t>
              </w:r>
            </w:hyperlink>
          </w:p>
        </w:tc>
      </w:tr>
      <w:tr>
        <w:trPr/>
        <w:tc>
          <w:tcPr>
            <w:tcW w:w="761" w:type="dxa"/>
            <w:tcBorders/>
            <w:vAlign w:val="center"/>
          </w:tcPr>
          <w:p>
            <w:pPr>
              <w:pStyle w:val="TableContents"/>
              <w:bidi w:val="0"/>
              <w:spacing w:before="0" w:after="283"/>
              <w:jc w:val="left"/>
              <w:rPr/>
            </w:pPr>
            <w:r>
              <w:rPr/>
              <w:t> </w:t>
            </w:r>
          </w:p>
        </w:tc>
        <w:tc>
          <w:tcPr>
            <w:tcW w:w="9444" w:type="dxa"/>
            <w:gridSpan w:val="2"/>
            <w:tcBorders/>
            <w:vAlign w:val="center"/>
          </w:tcPr>
          <w:p>
            <w:pPr>
              <w:pStyle w:val="TableContents"/>
              <w:bidi w:val="0"/>
              <w:spacing w:before="0" w:after="283"/>
              <w:jc w:val="left"/>
              <w:rPr/>
            </w:pPr>
            <w:r>
              <w:rPr/>
              <w:t> </w:t>
            </w:r>
          </w:p>
        </w:tc>
      </w:tr>
      <w:tr>
        <w:trPr/>
        <w:tc>
          <w:tcPr>
            <w:tcW w:w="7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pPr>
            <w:hyperlink w:anchor="ssnc-ex31_2.htm">
              <w:r>
                <w:rPr>
                  <w:rStyle w:val="InternetLink"/>
                  <w:rFonts w:ascii="Times New Roman" w:hAnsi="Times New Roman"/>
                  <w:b w:val="false"/>
                  <w:color w:val="0000FF"/>
                  <w:sz w:val="20"/>
                  <w:u w:val="single"/>
                </w:rPr>
                <w:t>Certification of the Registrant’s Chief Financial Officer pursuant to Section 302 of the Sarbanes-Oxley Act of 2002*</w:t>
              </w:r>
            </w:hyperlink>
          </w:p>
        </w:tc>
      </w:tr>
      <w:tr>
        <w:trPr/>
        <w:tc>
          <w:tcPr>
            <w:tcW w:w="761" w:type="dxa"/>
            <w:tcBorders/>
            <w:vAlign w:val="center"/>
          </w:tcPr>
          <w:p>
            <w:pPr>
              <w:pStyle w:val="TableContents"/>
              <w:bidi w:val="0"/>
              <w:spacing w:before="0" w:after="283"/>
              <w:jc w:val="left"/>
              <w:rPr/>
            </w:pPr>
            <w:r>
              <w:rPr/>
              <w:t> </w:t>
            </w:r>
          </w:p>
        </w:tc>
        <w:tc>
          <w:tcPr>
            <w:tcW w:w="9444" w:type="dxa"/>
            <w:gridSpan w:val="2"/>
            <w:tcBorders/>
            <w:vAlign w:val="center"/>
          </w:tcPr>
          <w:p>
            <w:pPr>
              <w:pStyle w:val="TableContents"/>
              <w:bidi w:val="0"/>
              <w:spacing w:before="0" w:after="283"/>
              <w:jc w:val="left"/>
              <w:rPr/>
            </w:pPr>
            <w:r>
              <w:rPr/>
              <w:t> </w:t>
            </w:r>
          </w:p>
        </w:tc>
      </w:tr>
      <w:tr>
        <w:trPr/>
        <w:tc>
          <w:tcPr>
            <w:tcW w:w="7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146"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pPr>
            <w:hyperlink w:anchor="ssnc-ex32.htm">
              <w:r>
                <w:rPr>
                  <w:rStyle w:val="InternetLink"/>
                  <w:rFonts w:ascii="Times New Roman" w:hAnsi="Times New Roman"/>
                  <w:b w:val="false"/>
                  <w:color w:val="0000FF"/>
                  <w:sz w:val="20"/>
                  <w:u w:val="single"/>
                </w:rPr>
                <w:t>Certification of the Registrant’s Chief Executive Officer and Chief Financial Officer pursuant to 18 U.S.C. Section 1350, as adopted pursuant to Section 906 of the Sarbanes-Oxley Act of 2002 (furnished and not filed for purposes of sections 11 or 12 of the Securities Act and section 18 of the Exchange Act)*</w:t>
              </w:r>
            </w:hyperlink>
          </w:p>
        </w:tc>
      </w:tr>
      <w:tr>
        <w:trPr/>
        <w:tc>
          <w:tcPr>
            <w:tcW w:w="761" w:type="dxa"/>
            <w:tcBorders/>
            <w:vAlign w:val="center"/>
          </w:tcPr>
          <w:p>
            <w:pPr>
              <w:pStyle w:val="TableContents"/>
              <w:bidi w:val="0"/>
              <w:spacing w:before="0" w:after="283"/>
              <w:jc w:val="left"/>
              <w:rPr/>
            </w:pPr>
            <w:r>
              <w:rPr/>
              <w:t> </w:t>
            </w:r>
          </w:p>
        </w:tc>
        <w:tc>
          <w:tcPr>
            <w:tcW w:w="9444" w:type="dxa"/>
            <w:gridSpan w:val="2"/>
            <w:tcBorders/>
            <w:vAlign w:val="center"/>
          </w:tcPr>
          <w:p>
            <w:pPr>
              <w:pStyle w:val="TableContents"/>
              <w:bidi w:val="0"/>
              <w:spacing w:before="0" w:after="283"/>
              <w:jc w:val="left"/>
              <w:rPr/>
            </w:pPr>
            <w:r>
              <w:rPr/>
              <w:t> </w:t>
            </w:r>
          </w:p>
        </w:tc>
      </w:tr>
      <w:tr>
        <w:trPr/>
        <w:tc>
          <w:tcPr>
            <w:tcW w:w="7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146"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its XBRL tags are embedded within the Inline XBRL document.</w:t>
            </w:r>
          </w:p>
        </w:tc>
      </w:tr>
      <w:tr>
        <w:trPr/>
        <w:tc>
          <w:tcPr>
            <w:tcW w:w="761" w:type="dxa"/>
            <w:tcBorders/>
            <w:vAlign w:val="center"/>
          </w:tcPr>
          <w:p>
            <w:pPr>
              <w:pStyle w:val="TableContents"/>
              <w:bidi w:val="0"/>
              <w:spacing w:before="0" w:after="283"/>
              <w:jc w:val="left"/>
              <w:rPr/>
            </w:pPr>
            <w:r>
              <w:rPr/>
              <w:t> </w:t>
            </w:r>
          </w:p>
        </w:tc>
        <w:tc>
          <w:tcPr>
            <w:tcW w:w="9444" w:type="dxa"/>
            <w:gridSpan w:val="2"/>
            <w:tcBorders/>
            <w:vAlign w:val="center"/>
          </w:tcPr>
          <w:p>
            <w:pPr>
              <w:pStyle w:val="TableContents"/>
              <w:bidi w:val="0"/>
              <w:spacing w:before="0" w:after="283"/>
              <w:jc w:val="left"/>
              <w:rPr/>
            </w:pPr>
            <w:r>
              <w:rPr/>
              <w:t> </w:t>
            </w:r>
          </w:p>
        </w:tc>
      </w:tr>
      <w:tr>
        <w:trPr/>
        <w:tc>
          <w:tcPr>
            <w:tcW w:w="7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146"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r>
      <w:tr>
        <w:trPr/>
        <w:tc>
          <w:tcPr>
            <w:tcW w:w="761" w:type="dxa"/>
            <w:tcBorders/>
            <w:vAlign w:val="center"/>
          </w:tcPr>
          <w:p>
            <w:pPr>
              <w:pStyle w:val="TableContents"/>
              <w:bidi w:val="0"/>
              <w:spacing w:before="0" w:after="283"/>
              <w:jc w:val="left"/>
              <w:rPr/>
            </w:pPr>
            <w:r>
              <w:rPr/>
              <w:t> </w:t>
            </w:r>
          </w:p>
        </w:tc>
        <w:tc>
          <w:tcPr>
            <w:tcW w:w="9444" w:type="dxa"/>
            <w:gridSpan w:val="2"/>
            <w:tcBorders/>
            <w:vAlign w:val="center"/>
          </w:tcPr>
          <w:p>
            <w:pPr>
              <w:pStyle w:val="TableContents"/>
              <w:bidi w:val="0"/>
              <w:spacing w:before="0" w:after="283"/>
              <w:jc w:val="left"/>
              <w:rPr/>
            </w:pPr>
            <w:r>
              <w:rPr/>
              <w:t> </w:t>
            </w:r>
          </w:p>
        </w:tc>
      </w:tr>
      <w:tr>
        <w:trPr/>
        <w:tc>
          <w:tcPr>
            <w:tcW w:w="7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146"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Calculation Linkbase Document.*</w:t>
            </w:r>
          </w:p>
        </w:tc>
      </w:tr>
      <w:tr>
        <w:trPr/>
        <w:tc>
          <w:tcPr>
            <w:tcW w:w="761" w:type="dxa"/>
            <w:tcBorders/>
            <w:vAlign w:val="center"/>
          </w:tcPr>
          <w:p>
            <w:pPr>
              <w:pStyle w:val="TableContents"/>
              <w:bidi w:val="0"/>
              <w:spacing w:before="0" w:after="283"/>
              <w:jc w:val="left"/>
              <w:rPr/>
            </w:pPr>
            <w:r>
              <w:rPr/>
              <w:t> </w:t>
            </w:r>
          </w:p>
        </w:tc>
        <w:tc>
          <w:tcPr>
            <w:tcW w:w="9444" w:type="dxa"/>
            <w:gridSpan w:val="2"/>
            <w:tcBorders/>
            <w:vAlign w:val="center"/>
          </w:tcPr>
          <w:p>
            <w:pPr>
              <w:pStyle w:val="TableContents"/>
              <w:bidi w:val="0"/>
              <w:spacing w:before="0" w:after="283"/>
              <w:jc w:val="left"/>
              <w:rPr/>
            </w:pPr>
            <w:r>
              <w:rPr/>
              <w:t> </w:t>
            </w:r>
          </w:p>
        </w:tc>
      </w:tr>
      <w:tr>
        <w:trPr/>
        <w:tc>
          <w:tcPr>
            <w:tcW w:w="7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146"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Label Linkbase Document.*</w:t>
            </w:r>
          </w:p>
        </w:tc>
      </w:tr>
      <w:tr>
        <w:trPr/>
        <w:tc>
          <w:tcPr>
            <w:tcW w:w="761" w:type="dxa"/>
            <w:tcBorders/>
            <w:vAlign w:val="center"/>
          </w:tcPr>
          <w:p>
            <w:pPr>
              <w:pStyle w:val="TableContents"/>
              <w:bidi w:val="0"/>
              <w:spacing w:before="0" w:after="283"/>
              <w:jc w:val="left"/>
              <w:rPr/>
            </w:pPr>
            <w:r>
              <w:rPr/>
              <w:t> </w:t>
            </w:r>
          </w:p>
        </w:tc>
        <w:tc>
          <w:tcPr>
            <w:tcW w:w="9444" w:type="dxa"/>
            <w:gridSpan w:val="2"/>
            <w:tcBorders/>
            <w:vAlign w:val="center"/>
          </w:tcPr>
          <w:p>
            <w:pPr>
              <w:pStyle w:val="TableContents"/>
              <w:bidi w:val="0"/>
              <w:spacing w:before="0" w:after="283"/>
              <w:jc w:val="left"/>
              <w:rPr/>
            </w:pPr>
            <w:r>
              <w:rPr/>
              <w:t> </w:t>
            </w:r>
          </w:p>
        </w:tc>
      </w:tr>
      <w:tr>
        <w:trPr/>
        <w:tc>
          <w:tcPr>
            <w:tcW w:w="7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146"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Presentation Linkbase Document.*</w:t>
            </w:r>
          </w:p>
        </w:tc>
      </w:tr>
      <w:tr>
        <w:trPr/>
        <w:tc>
          <w:tcPr>
            <w:tcW w:w="761" w:type="dxa"/>
            <w:tcBorders/>
            <w:vAlign w:val="center"/>
          </w:tcPr>
          <w:p>
            <w:pPr>
              <w:pStyle w:val="TableContents"/>
              <w:bidi w:val="0"/>
              <w:spacing w:before="0" w:after="283"/>
              <w:jc w:val="left"/>
              <w:rPr/>
            </w:pPr>
            <w:r>
              <w:rPr/>
              <w:t> </w:t>
            </w:r>
          </w:p>
        </w:tc>
        <w:tc>
          <w:tcPr>
            <w:tcW w:w="9444" w:type="dxa"/>
            <w:gridSpan w:val="2"/>
            <w:tcBorders/>
            <w:vAlign w:val="center"/>
          </w:tcPr>
          <w:p>
            <w:pPr>
              <w:pStyle w:val="TableContents"/>
              <w:bidi w:val="0"/>
              <w:spacing w:before="0" w:after="283"/>
              <w:jc w:val="left"/>
              <w:rPr/>
            </w:pPr>
            <w:r>
              <w:rPr/>
              <w:t> </w:t>
            </w:r>
          </w:p>
        </w:tc>
      </w:tr>
      <w:tr>
        <w:trPr/>
        <w:tc>
          <w:tcPr>
            <w:tcW w:w="7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146" w:type="dxa"/>
            <w:tcBorders/>
            <w:vAlign w:val="center"/>
          </w:tcPr>
          <w:p>
            <w:pPr>
              <w:pStyle w:val="TableContents"/>
              <w:bidi w:val="0"/>
              <w:spacing w:before="0" w:after="283"/>
              <w:jc w:val="left"/>
              <w:rPr>
                <w:sz w:val="4"/>
                <w:szCs w:val="4"/>
              </w:rPr>
            </w:pPr>
            <w:r>
              <w:rPr>
                <w:sz w:val="4"/>
                <w:szCs w:val="4"/>
              </w:rPr>
            </w:r>
          </w:p>
        </w:tc>
        <w:tc>
          <w:tcPr>
            <w:tcW w:w="9298"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r>
      <w:tr>
        <w:trPr/>
        <w:tc>
          <w:tcPr>
            <w:tcW w:w="7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98" w:type="dxa"/>
            <w:tcBorders/>
            <w:vAlign w:val="center"/>
          </w:tcPr>
          <w:p>
            <w:pPr>
              <w:pStyle w:val="TableContents"/>
              <w:bidi w:val="0"/>
              <w:spacing w:before="0" w:after="283"/>
              <w:jc w:val="left"/>
              <w:rPr/>
            </w:pPr>
            <w:r>
              <w:rPr/>
              <w:t> </w:t>
            </w:r>
          </w:p>
        </w:tc>
      </w:tr>
      <w:tr>
        <w:trPr/>
        <w:tc>
          <w:tcPr>
            <w:tcW w:w="76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146" w:type="dxa"/>
            <w:tcBorders/>
            <w:vAlign w:val="center"/>
          </w:tcPr>
          <w:p>
            <w:pPr>
              <w:pStyle w:val="TableContents"/>
              <w:bidi w:val="0"/>
              <w:spacing w:before="0" w:after="283"/>
              <w:jc w:val="left"/>
              <w:rPr/>
            </w:pPr>
            <w:r>
              <w:rPr/>
              <w:t> </w:t>
            </w:r>
          </w:p>
        </w:tc>
        <w:tc>
          <w:tcPr>
            <w:tcW w:w="9298"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Cover Page Interactive Data File (formatted as Inline XBRL and contained in Exhibit 101).</w:t>
            </w:r>
          </w:p>
          <w:p>
            <w:pPr>
              <w:pStyle w:val="TableContents"/>
              <w:bidi w:val="0"/>
              <w:spacing w:before="0" w:after="283"/>
              <w:jc w:val="left"/>
              <w:rPr/>
            </w:pPr>
            <w:r>
              <w:rPr/>
              <w:t> </w:t>
            </w:r>
          </w:p>
        </w:tc>
      </w:tr>
    </w:tbl>
    <w:p>
      <w:pPr>
        <w:pStyle w:val="TextBody"/>
        <w:bidi w:val="0"/>
        <w:jc w:val="left"/>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
      <w:bookmarkEnd w:id="18"/>
      <w:r>
        <w:rPr>
          <w:rFonts w:ascii="Times New Roman" w:hAnsi="Times New Roman"/>
          <w:b/>
          <w:color w:val="000000"/>
          <w:sz w:val="20"/>
        </w:rPr>
        <w:t>SIGNATURE</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tbl>
      <w:tblPr>
        <w:tblW w:w="6351" w:type="dxa"/>
        <w:jc w:val="left"/>
        <w:tblInd w:w="0" w:type="dxa"/>
        <w:tblLayout w:type="fixed"/>
        <w:tblCellMar>
          <w:top w:w="28" w:type="dxa"/>
          <w:left w:w="28" w:type="dxa"/>
          <w:bottom w:w="28" w:type="dxa"/>
          <w:right w:w="28" w:type="dxa"/>
        </w:tblCellMar>
      </w:tblPr>
      <w:tblGrid>
        <w:gridCol w:w="421"/>
        <w:gridCol w:w="109"/>
        <w:gridCol w:w="582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r>
      <w:tr>
        <w:trPr/>
        <w:tc>
          <w:tcPr>
            <w:tcW w:w="6351" w:type="dxa"/>
            <w:gridSpan w:val="3"/>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SS&amp;C TECHNOLOGIES HOLDINGS, INC.</w:t>
            </w:r>
          </w:p>
        </w:tc>
      </w:tr>
      <w:tr>
        <w:trPr/>
        <w:tc>
          <w:tcPr>
            <w:tcW w:w="421" w:type="dxa"/>
            <w:tcBorders/>
            <w:vAlign w:val="center"/>
          </w:tcPr>
          <w:p>
            <w:pPr>
              <w:pStyle w:val="TableContents"/>
              <w:bidi w:val="0"/>
              <w:spacing w:before="0" w:after="283"/>
              <w:jc w:val="left"/>
              <w:rPr/>
            </w:pPr>
            <w:r>
              <w:rPr/>
              <w:t> </w:t>
            </w:r>
          </w:p>
        </w:tc>
        <w:tc>
          <w:tcPr>
            <w:tcW w:w="5930" w:type="dxa"/>
            <w:gridSpan w:val="2"/>
            <w:tcBorders/>
            <w:vAlign w:val="center"/>
          </w:tcPr>
          <w:p>
            <w:pPr>
              <w:pStyle w:val="TableContents"/>
              <w:bidi w:val="0"/>
              <w:spacing w:before="0" w:after="283"/>
              <w:jc w:val="left"/>
              <w:rPr/>
            </w:pPr>
            <w:r>
              <w:rPr/>
              <w:t> </w:t>
            </w:r>
          </w:p>
        </w:tc>
      </w:tr>
      <w:tr>
        <w:trPr/>
        <w:tc>
          <w:tcPr>
            <w:tcW w:w="4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09" w:type="dxa"/>
            <w:tcBorders/>
            <w:vAlign w:val="center"/>
          </w:tcPr>
          <w:p>
            <w:pPr>
              <w:pStyle w:val="TableContents"/>
              <w:bidi w:val="0"/>
              <w:spacing w:before="0" w:after="283"/>
              <w:jc w:val="left"/>
              <w:rPr>
                <w:sz w:val="4"/>
                <w:szCs w:val="4"/>
              </w:rPr>
            </w:pPr>
            <w:r>
              <w:rPr>
                <w:sz w:val="4"/>
                <w:szCs w:val="4"/>
              </w:rPr>
            </w:r>
          </w:p>
        </w:tc>
        <w:tc>
          <w:tcPr>
            <w:tcW w:w="58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Brian N. Schell</w:t>
            </w:r>
          </w:p>
        </w:tc>
      </w:tr>
      <w:tr>
        <w:trPr/>
        <w:tc>
          <w:tcPr>
            <w:tcW w:w="42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jc w:val="left"/>
              <w:rPr>
                <w:rFonts w:ascii="Times New Roman" w:hAnsi="Times New Roman"/>
                <w:b w:val="false"/>
                <w:color w:val="000000"/>
                <w:sz w:val="20"/>
              </w:rPr>
            </w:pPr>
            <w:r>
              <w:rPr>
                <w:rFonts w:ascii="Times New Roman" w:hAnsi="Times New Roman"/>
                <w:b w:val="false"/>
                <w:color w:val="000000"/>
                <w:sz w:val="20"/>
              </w:rPr>
              <w:t>Brian N. Schell</w:t>
            </w:r>
          </w:p>
          <w:p>
            <w:pPr>
              <w:pStyle w:val="TableContents"/>
              <w:bidi w:val="0"/>
              <w:jc w:val="left"/>
              <w:rPr>
                <w:rFonts w:ascii="Times New Roman" w:hAnsi="Times New Roman"/>
                <w:b w:val="false"/>
                <w:color w:val="000000"/>
                <w:sz w:val="20"/>
              </w:rPr>
            </w:pPr>
            <w:r>
              <w:rPr>
                <w:rFonts w:ascii="Times New Roman" w:hAnsi="Times New Roman"/>
                <w:b w:val="false"/>
                <w:color w:val="000000"/>
                <w:sz w:val="20"/>
              </w:rPr>
              <w:t>Executive Vice President and Chief Financial Officer</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(Duly Authorized Officer, Principal Financial and Accounting Officer)</w:t>
            </w:r>
          </w:p>
        </w:tc>
      </w:tr>
    </w:tbl>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Date: November 1, 2023</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bookmarkStart w:id="19" w:name="ssnc-ex10_1.htm"/>
      <w:bookmarkStart w:id="20" w:name="ksssncex10_1"/>
      <w:bookmarkEnd w:id="19"/>
      <w:bookmarkEnd w:id="20"/>
      <w:r>
        <w:rPr/>
        <w:t> </w:t>
      </w:r>
      <w:r>
        <w:br w:type="page"/>
      </w:r>
    </w:p>
    <w:p>
      <w:pPr>
        <w:pStyle w:val="TextBody"/>
        <w:bidi w:val="0"/>
        <w:jc w:val="left"/>
        <w:rPr/>
      </w:pPr>
      <w:r>
        <w:rPr/>
        <w:drawing>
          <wp:inline distT="0" distB="0" distL="0" distR="0">
            <wp:extent cx="1143000"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 cy="647700"/>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spacing w:before="0" w:after="160"/>
        <w:jc w:val="right"/>
        <w:rPr>
          <w:rFonts w:ascii="Arial" w:hAnsi="Arial"/>
          <w:b/>
          <w:color w:val="000000"/>
          <w:sz w:val="20"/>
        </w:rPr>
      </w:pPr>
      <w:r>
        <w:rPr>
          <w:rFonts w:ascii="Arial" w:hAnsi="Arial"/>
          <w:b/>
          <w:color w:val="000000"/>
          <w:sz w:val="20"/>
        </w:rPr>
        <w:t>Exhibit 10.1</w:t>
      </w:r>
    </w:p>
    <w:p>
      <w:pPr>
        <w:pStyle w:val="TextBody"/>
        <w:bidi w:val="0"/>
        <w:spacing w:before="0" w:after="160"/>
        <w:jc w:val="right"/>
        <w:rPr>
          <w:rFonts w:ascii="Arial" w:hAnsi="Arial"/>
          <w:b w:val="false"/>
          <w:color w:val="000000"/>
          <w:sz w:val="20"/>
        </w:rPr>
      </w:pPr>
      <w:r>
        <w:rPr>
          <w:rFonts w:ascii="Arial" w:hAnsi="Arial"/>
          <w:b w:val="false"/>
          <w:color w:val="000000"/>
          <w:sz w:val="20"/>
        </w:rPr>
        <w:t>June 28, 2023</w:t>
      </w:r>
    </w:p>
    <w:p>
      <w:pPr>
        <w:pStyle w:val="TextBody"/>
        <w:bidi w:val="0"/>
        <w:spacing w:before="0" w:after="160"/>
        <w:jc w:val="center"/>
        <w:rPr/>
      </w:pPr>
      <w:r>
        <w:rPr/>
        <w:t> </w:t>
      </w:r>
    </w:p>
    <w:p>
      <w:pPr>
        <w:pStyle w:val="TextBody"/>
        <w:bidi w:val="0"/>
        <w:spacing w:before="0" w:after="160"/>
        <w:jc w:val="center"/>
        <w:rPr/>
      </w:pPr>
      <w:r>
        <w:rPr/>
        <w:t> </w:t>
      </w:r>
    </w:p>
    <w:p>
      <w:pPr>
        <w:pStyle w:val="TextBody"/>
        <w:bidi w:val="0"/>
        <w:jc w:val="left"/>
        <w:rPr>
          <w:rFonts w:ascii="Arial" w:hAnsi="Arial"/>
          <w:b w:val="false"/>
          <w:color w:val="000000"/>
          <w:sz w:val="20"/>
        </w:rPr>
      </w:pPr>
      <w:r>
        <w:rPr>
          <w:rFonts w:ascii="Arial" w:hAnsi="Arial"/>
          <w:b w:val="false"/>
          <w:color w:val="000000"/>
          <w:sz w:val="20"/>
        </w:rPr>
        <w:t>VIA ELECTRONIC MAIL</w:t>
      </w:r>
    </w:p>
    <w:p>
      <w:pPr>
        <w:pStyle w:val="TextBody"/>
        <w:bidi w:val="0"/>
        <w:spacing w:before="0" w:after="160"/>
        <w:jc w:val="both"/>
        <w:rPr/>
      </w:pPr>
      <w:r>
        <w:rPr/>
        <w:t> </w:t>
      </w:r>
    </w:p>
    <w:p>
      <w:pPr>
        <w:pStyle w:val="TextBody"/>
        <w:bidi w:val="0"/>
        <w:spacing w:before="0" w:after="160"/>
        <w:jc w:val="both"/>
        <w:rPr/>
      </w:pPr>
      <w:r>
        <w:rPr/>
        <w:t> </w:t>
      </w:r>
    </w:p>
    <w:p>
      <w:pPr>
        <w:pStyle w:val="TextBody"/>
        <w:bidi w:val="0"/>
        <w:spacing w:before="0" w:after="160"/>
        <w:jc w:val="both"/>
        <w:rPr>
          <w:rFonts w:ascii="Times New Roman" w:hAnsi="Times New Roman"/>
          <w:sz w:val="20"/>
        </w:rPr>
      </w:pPr>
      <w:r>
        <w:rPr>
          <w:rFonts w:ascii="Arial" w:hAnsi="Arial"/>
          <w:b w:val="false"/>
          <w:color w:val="000000"/>
          <w:sz w:val="20"/>
        </w:rPr>
        <w:t xml:space="preserve">Re: </w:t>
      </w:r>
      <w:r>
        <w:rPr>
          <w:rFonts w:ascii="Arial" w:hAnsi="Arial"/>
          <w:b w:val="false"/>
          <w:color w:val="000000"/>
          <w:sz w:val="20"/>
          <w:u w:val="single"/>
        </w:rPr>
        <w:t>Offer of Employment</w:t>
      </w:r>
      <w:r>
        <w:rPr>
          <w:rFonts w:ascii="Times New Roman" w:hAnsi="Times New Roman"/>
          <w:color w:val="000000"/>
          <w:sz w:val="20"/>
        </w:rPr>
        <w:t xml:space="preserve"> </w:t>
      </w:r>
    </w:p>
    <w:p>
      <w:pPr>
        <w:pStyle w:val="TextBody"/>
        <w:bidi w:val="0"/>
        <w:spacing w:before="0" w:after="160"/>
        <w:jc w:val="both"/>
        <w:rPr/>
      </w:pPr>
      <w:r>
        <w:rPr/>
        <w:t> </w:t>
      </w:r>
    </w:p>
    <w:p>
      <w:pPr>
        <w:pStyle w:val="TextBody"/>
        <w:bidi w:val="0"/>
        <w:spacing w:before="0" w:after="160"/>
        <w:jc w:val="both"/>
        <w:rPr>
          <w:rFonts w:ascii="Times New Roman" w:hAnsi="Times New Roman"/>
          <w:sz w:val="20"/>
        </w:rPr>
      </w:pPr>
      <w:r>
        <w:rPr>
          <w:rFonts w:ascii="Arial" w:hAnsi="Arial"/>
          <w:b w:val="false"/>
          <w:color w:val="000000"/>
          <w:sz w:val="20"/>
        </w:rPr>
        <w:t>Dear Brian,</w:t>
      </w:r>
      <w:r>
        <w:rPr>
          <w:rFonts w:ascii="Times New Roman" w:hAnsi="Times New Roman"/>
          <w:color w:val="000000"/>
          <w:sz w:val="20"/>
        </w:rPr>
        <w:t xml:space="preserve"> </w:t>
      </w:r>
    </w:p>
    <w:p>
      <w:pPr>
        <w:pStyle w:val="TextBody"/>
        <w:bidi w:val="0"/>
        <w:spacing w:before="0" w:after="160"/>
        <w:jc w:val="both"/>
        <w:rPr>
          <w:rFonts w:ascii="Arial" w:hAnsi="Arial"/>
          <w:b w:val="false"/>
          <w:color w:val="000000"/>
          <w:sz w:val="20"/>
        </w:rPr>
      </w:pPr>
      <w:r>
        <w:rPr>
          <w:rFonts w:ascii="Arial" w:hAnsi="Arial"/>
          <w:b w:val="false"/>
          <w:color w:val="000000"/>
          <w:sz w:val="20"/>
        </w:rPr>
        <w:t>I am pleased to confirm this offer of employment with SS&amp;C Technologies Holdings, Inc. (“SS&amp;C” or the “Company”), and look forward to your joining the Company subject to the terms of this letter agreement (this “Letter”). We believe you will have a challenging and rewarding career here, and look forward to your contributions to the Company’s further growth and success. Your employment will begin on or around August 7, 2023 or such later date as mutually determined between you and SS&amp;C (the actual date of commencement of your employment, the “Start Date”).</w:t>
      </w:r>
    </w:p>
    <w:p>
      <w:pPr>
        <w:pStyle w:val="TextBody"/>
        <w:bidi w:val="0"/>
        <w:spacing w:before="0" w:after="160"/>
        <w:jc w:val="both"/>
        <w:rPr>
          <w:rFonts w:ascii="Arial" w:hAnsi="Arial"/>
          <w:b/>
          <w:color w:val="000000"/>
          <w:sz w:val="20"/>
          <w:u w:val="single"/>
        </w:rPr>
      </w:pPr>
      <w:r>
        <w:rPr>
          <w:rFonts w:ascii="Arial" w:hAnsi="Arial"/>
          <w:b/>
          <w:color w:val="000000"/>
          <w:sz w:val="20"/>
          <w:u w:val="single"/>
        </w:rPr>
        <w:t>Position and Duties; Work Location</w:t>
      </w:r>
    </w:p>
    <w:p>
      <w:pPr>
        <w:pStyle w:val="TextBody"/>
        <w:bidi w:val="0"/>
        <w:spacing w:before="0" w:after="160"/>
        <w:jc w:val="both"/>
        <w:rPr>
          <w:rFonts w:ascii="Arial" w:hAnsi="Arial"/>
          <w:b w:val="false"/>
          <w:color w:val="000000"/>
          <w:sz w:val="20"/>
        </w:rPr>
      </w:pPr>
      <w:r>
        <w:rPr>
          <w:rFonts w:ascii="Arial" w:hAnsi="Arial"/>
          <w:b w:val="false"/>
          <w:color w:val="000000"/>
          <w:sz w:val="20"/>
        </w:rPr>
        <w:t>Your position title will be Executive Vice President and Chief Financial Officer, and your primary work office location will be at 100 S. Wacker Drive, 19th Floor, Chicago, IL 60606. You will report to William C. Stone, Chairman &amp; CEO. You will have such duties and responsibilities as are consistent with your position and as may be assigned to you from time to time by the Chairman &amp; CEO.</w:t>
      </w:r>
    </w:p>
    <w:p>
      <w:pPr>
        <w:pStyle w:val="TextBody"/>
        <w:bidi w:val="0"/>
        <w:spacing w:before="0" w:after="160"/>
        <w:jc w:val="both"/>
        <w:rPr>
          <w:rFonts w:ascii="Arial" w:hAnsi="Arial"/>
          <w:b w:val="false"/>
          <w:color w:val="000000"/>
          <w:sz w:val="20"/>
        </w:rPr>
      </w:pPr>
      <w:r>
        <w:rPr>
          <w:rFonts w:ascii="Arial" w:hAnsi="Arial"/>
          <w:b w:val="false"/>
          <w:color w:val="000000"/>
          <w:sz w:val="20"/>
        </w:rPr>
        <w:t>You will devote all of your business time and best efforts to the performance of your duties to the Company and will not engage in any other business, profession or occupation for compensation or otherwise that would conflict with the rendition of your services either directly or indirectly.</w:t>
      </w:r>
    </w:p>
    <w:p>
      <w:pPr>
        <w:pStyle w:val="TextBody"/>
        <w:bidi w:val="0"/>
        <w:spacing w:before="0" w:after="160"/>
        <w:jc w:val="both"/>
        <w:rPr>
          <w:rFonts w:ascii="Times New Roman" w:hAnsi="Times New Roman"/>
          <w:sz w:val="20"/>
        </w:rPr>
      </w:pPr>
      <w:r>
        <w:rPr>
          <w:rFonts w:ascii="Arial" w:hAnsi="Arial"/>
          <w:b/>
          <w:color w:val="000000"/>
          <w:sz w:val="20"/>
          <w:u w:val="single"/>
        </w:rPr>
        <w:t>Base Salary and FTO</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rial" w:hAnsi="Arial"/>
          <w:b w:val="false"/>
          <w:color w:val="000000"/>
          <w:sz w:val="20"/>
        </w:rPr>
        <w:t xml:space="preserve">Your salary will be at the annualized rate of </w:t>
      </w:r>
      <w:r>
        <w:rPr>
          <w:rFonts w:ascii="Arial" w:hAnsi="Arial"/>
          <w:b/>
          <w:color w:val="000000"/>
          <w:sz w:val="20"/>
        </w:rPr>
        <w:t>$600,000</w:t>
      </w:r>
      <w:r>
        <w:rPr>
          <w:rFonts w:ascii="Times New Roman" w:hAnsi="Times New Roman"/>
          <w:color w:val="000000"/>
          <w:sz w:val="20"/>
        </w:rPr>
        <w:t xml:space="preserve"> </w:t>
      </w:r>
      <w:r>
        <w:rPr>
          <w:rFonts w:ascii="Arial" w:hAnsi="Arial"/>
          <w:b w:val="false"/>
          <w:color w:val="000000"/>
          <w:sz w:val="20"/>
        </w:rPr>
        <w:t>and will be paid semi-monthly in accordance with the Company’s regular payroll practices.</w:t>
      </w:r>
    </w:p>
    <w:p>
      <w:pPr>
        <w:pStyle w:val="TextBody"/>
        <w:bidi w:val="0"/>
        <w:spacing w:before="0" w:after="160"/>
        <w:jc w:val="both"/>
        <w:rPr>
          <w:rFonts w:ascii="Times New Roman" w:hAnsi="Times New Roman"/>
          <w:sz w:val="20"/>
        </w:rPr>
      </w:pPr>
      <w:r>
        <w:rPr>
          <w:rFonts w:ascii="Arial" w:hAnsi="Arial"/>
          <w:b w:val="false"/>
          <w:color w:val="000000"/>
          <w:sz w:val="20"/>
        </w:rPr>
        <w:t>In recognition of our employees’ contributions and commitment, we are proud to offer a Flexible Time Off (FTO) policy, entitling you to take time off whenever you need it in accordance with the company policy. You will be required to notify your manager through your local HR/ Leave System of record in advance of taking FTO. For more information on benefits, please refer to the enclosed Benefits Summary / FTO Policy.</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rial" w:hAnsi="Arial"/>
          <w:b/>
          <w:color w:val="000000"/>
          <w:sz w:val="20"/>
          <w:u w:val="single"/>
        </w:rPr>
        <w:t>Annual Bonus</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rial" w:hAnsi="Arial"/>
          <w:b w:val="false"/>
          <w:color w:val="000000"/>
          <w:sz w:val="20"/>
        </w:rPr>
        <w:t xml:space="preserve">In your position as Chief Financial Officer, you will participate in the Company’s annual cash bonus program for executive officers subject to the terms approved by the Compensation Committee of the Board of Directors of the Company from time to time. You will have an annual target bonus opportunity under the cash bonus program of </w:t>
      </w:r>
      <w:r>
        <w:rPr>
          <w:rFonts w:ascii="Arial" w:hAnsi="Arial"/>
          <w:b/>
          <w:color w:val="000000"/>
          <w:sz w:val="20"/>
        </w:rPr>
        <w:t xml:space="preserve">$1,400,000 </w:t>
      </w:r>
      <w:r>
        <w:rPr>
          <w:rFonts w:ascii="Arial" w:hAnsi="Arial"/>
          <w:b w:val="false"/>
          <w:color w:val="000000"/>
          <w:sz w:val="20"/>
        </w:rPr>
        <w:t>(which shall not be prorated for 2023), provided that the actual amount of any annual cash bonus payable to you will be determined based on the level of attainment of Company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143000" cy="6477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43000" cy="647700"/>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spacing w:before="0" w:after="160"/>
        <w:jc w:val="both"/>
        <w:rPr>
          <w:rFonts w:ascii="Arial" w:hAnsi="Arial"/>
          <w:b w:val="false"/>
          <w:color w:val="000000"/>
          <w:sz w:val="20"/>
        </w:rPr>
      </w:pPr>
      <w:r>
        <w:rPr>
          <w:rFonts w:ascii="Arial" w:hAnsi="Arial"/>
          <w:b w:val="false"/>
          <w:color w:val="000000"/>
          <w:sz w:val="20"/>
        </w:rPr>
        <w:t>financial performance and other strategic goals, and subject to such other terms and conditions, as established by the Compensation Committee.</w:t>
      </w:r>
    </w:p>
    <w:p>
      <w:pPr>
        <w:pStyle w:val="TextBody"/>
        <w:bidi w:val="0"/>
        <w:spacing w:before="0" w:after="160"/>
        <w:jc w:val="both"/>
        <w:rPr>
          <w:rFonts w:ascii="Arial" w:hAnsi="Arial"/>
          <w:b w:val="false"/>
          <w:color w:val="000000"/>
          <w:sz w:val="20"/>
        </w:rPr>
      </w:pPr>
      <w:r>
        <w:rPr>
          <w:rFonts w:ascii="Arial" w:hAnsi="Arial"/>
          <w:b w:val="false"/>
          <w:color w:val="000000"/>
          <w:sz w:val="20"/>
        </w:rPr>
        <w:t>Payment of any earned annual cash bonus for any applicable year (if any) will be at the same time annual bonuses are paid to other executive officers of the Company, subject to your continued employment with the Company through the applicable payment date.</w:t>
      </w:r>
    </w:p>
    <w:p>
      <w:pPr>
        <w:pStyle w:val="TextBody"/>
        <w:bidi w:val="0"/>
        <w:jc w:val="left"/>
        <w:rPr/>
      </w:pPr>
      <w:r>
        <w:rPr/>
        <w:t> </w:t>
      </w:r>
    </w:p>
    <w:p>
      <w:pPr>
        <w:pStyle w:val="TextBody"/>
        <w:bidi w:val="0"/>
        <w:spacing w:before="0" w:after="160"/>
        <w:jc w:val="both"/>
        <w:rPr>
          <w:rFonts w:ascii="Arial" w:hAnsi="Arial"/>
          <w:b/>
          <w:color w:val="000000"/>
          <w:sz w:val="20"/>
          <w:u w:val="single"/>
        </w:rPr>
      </w:pPr>
      <w:r>
        <w:rPr>
          <w:rFonts w:ascii="Arial" w:hAnsi="Arial"/>
          <w:b/>
          <w:color w:val="000000"/>
          <w:sz w:val="20"/>
          <w:u w:val="single"/>
        </w:rPr>
        <w:t>Initial Equity Grant</w:t>
      </w:r>
    </w:p>
    <w:p>
      <w:pPr>
        <w:pStyle w:val="TextBody"/>
        <w:bidi w:val="0"/>
        <w:spacing w:before="0" w:after="160"/>
        <w:jc w:val="both"/>
        <w:rPr>
          <w:rFonts w:ascii="Arial" w:hAnsi="Arial"/>
          <w:b w:val="false"/>
          <w:color w:val="000000"/>
          <w:sz w:val="20"/>
        </w:rPr>
      </w:pPr>
      <w:r>
        <w:rPr>
          <w:rFonts w:ascii="Arial" w:hAnsi="Arial"/>
          <w:b w:val="false"/>
          <w:color w:val="000000"/>
          <w:sz w:val="20"/>
        </w:rPr>
        <w:t>Within 30 days following your Start Date, you will be granted an award of restricted stock units (RSUs) with respect to common stock of the Company having a grant date value of $5,500,000, with the actual number of RSUs to be granted to you determined by dividing (i) the grant date value of the award by (ii) the closing price of the Company’s common stock on the grant date, with any fractional shares rounded up to the nearest whole share, and with such RSUs vesting in equal annual installments over three years. The RSUs will be subject to the terms and conditions of the Company’s 2023 Stock Incentive Plan or any successor plan thereto (any such plan, as amended from time to time, the “Stock Plan”) and the related RSU award agreement provided to you.</w:t>
      </w:r>
    </w:p>
    <w:p>
      <w:pPr>
        <w:pStyle w:val="TextBody"/>
        <w:bidi w:val="0"/>
        <w:jc w:val="both"/>
        <w:rPr>
          <w:rFonts w:ascii="Arial" w:hAnsi="Arial"/>
          <w:b/>
          <w:color w:val="000000"/>
          <w:sz w:val="20"/>
          <w:u w:val="single"/>
        </w:rPr>
      </w:pPr>
      <w:r>
        <w:rPr>
          <w:rFonts w:ascii="Arial" w:hAnsi="Arial"/>
          <w:b/>
          <w:color w:val="000000"/>
          <w:sz w:val="20"/>
          <w:u w:val="single"/>
        </w:rPr>
        <w:t>Long-Term Incentive Program</w:t>
      </w:r>
    </w:p>
    <w:p>
      <w:pPr>
        <w:pStyle w:val="TextBody"/>
        <w:bidi w:val="0"/>
        <w:jc w:val="both"/>
        <w:rPr/>
      </w:pPr>
      <w:r>
        <w:rPr/>
        <w:t> </w:t>
      </w:r>
    </w:p>
    <w:p>
      <w:pPr>
        <w:pStyle w:val="TextBody"/>
        <w:bidi w:val="0"/>
        <w:jc w:val="both"/>
        <w:rPr>
          <w:rFonts w:ascii="Times New Roman" w:hAnsi="Times New Roman"/>
          <w:sz w:val="20"/>
        </w:rPr>
      </w:pPr>
      <w:r>
        <w:rPr>
          <w:rFonts w:ascii="Arial" w:hAnsi="Arial"/>
          <w:b w:val="false"/>
          <w:color w:val="000000"/>
          <w:sz w:val="20"/>
        </w:rPr>
        <w:t>In your position as Chief Financial Officer, you will be eligible to participate in, and receive equity-based awards under, the Company’s long-term incentive program for executive officers on the terms approved by the Compensation Committee from time to time. Your 2023 annual target long-term incentive award value under the long-term incentive program is $</w:t>
      </w:r>
      <w:r>
        <w:rPr>
          <w:rFonts w:ascii="Arial" w:hAnsi="Arial"/>
          <w:b/>
          <w:color w:val="000000"/>
          <w:sz w:val="20"/>
        </w:rPr>
        <w:t xml:space="preserve">4,000,000 </w:t>
      </w:r>
      <w:r>
        <w:rPr>
          <w:rFonts w:ascii="Arial" w:hAnsi="Arial"/>
          <w:b w:val="false"/>
          <w:color w:val="000000"/>
          <w:sz w:val="20"/>
        </w:rPr>
        <w:t>(which shall not be prorated for 2023), provided that the actual amount of your long-term incentive awards for any subsequent year will be determined by the Compensation Committee in its discretion. For 2023, 50% of the target value of your long-term incentive award will be granted in the form of PSUs, 25% will be granted in the form of time-based stock options and the remaining 25% will be granted in the form of RSUs, in each case on the same vesting (and other) terms as approved by the Compensation Committee for 2023 as described in SS&amp;C’s 2023 annual proxy statement filed with the SEC on April 6, 2023. Your long-term incentive awards will be subject to the terms and conditions of the Stock Plan and the related award agreements provided to you.</w:t>
      </w:r>
    </w:p>
    <w:p>
      <w:pPr>
        <w:pStyle w:val="TextBody"/>
        <w:bidi w:val="0"/>
        <w:jc w:val="left"/>
        <w:rPr/>
      </w:pPr>
      <w:r>
        <w:rPr/>
        <w:t> </w:t>
      </w:r>
    </w:p>
    <w:p>
      <w:pPr>
        <w:pStyle w:val="TextBody"/>
        <w:bidi w:val="0"/>
        <w:spacing w:before="0" w:after="160"/>
        <w:jc w:val="both"/>
        <w:rPr>
          <w:rFonts w:ascii="Arial" w:hAnsi="Arial"/>
          <w:b/>
          <w:color w:val="000000"/>
          <w:sz w:val="20"/>
          <w:u w:val="single"/>
        </w:rPr>
      </w:pPr>
      <w:r>
        <w:rPr>
          <w:rFonts w:ascii="Arial" w:hAnsi="Arial"/>
          <w:b/>
          <w:color w:val="000000"/>
          <w:sz w:val="20"/>
          <w:u w:val="single"/>
        </w:rPr>
        <w:t>Benefits</w:t>
      </w:r>
    </w:p>
    <w:p>
      <w:pPr>
        <w:pStyle w:val="TextBody"/>
        <w:bidi w:val="0"/>
        <w:spacing w:before="0" w:after="160"/>
        <w:jc w:val="both"/>
        <w:rPr>
          <w:rFonts w:ascii="Times New Roman" w:hAnsi="Times New Roman"/>
          <w:sz w:val="20"/>
        </w:rPr>
      </w:pPr>
      <w:r>
        <w:rPr>
          <w:rFonts w:ascii="Arial" w:hAnsi="Arial"/>
          <w:b w:val="false"/>
          <w:color w:val="000000"/>
          <w:sz w:val="20"/>
        </w:rPr>
        <w:t xml:space="preserve">The Company offers its employees a package of benefits and/or benefit choices such as medical insurance, dental insurance, short and long term disability insurance, life insurance, flexible spending, tuition reimbursement and 401k. For full time or part time employees scheduled to work 30 hours or more per week, benefits will begin on the first of the month following the first day of employment. If you have any benefits queries, please email </w:t>
      </w:r>
      <w:r>
        <w:rPr>
          <w:rFonts w:ascii="Arial" w:hAnsi="Arial"/>
          <w:b w:val="false"/>
          <w:color w:val="0563C1"/>
          <w:sz w:val="20"/>
        </w:rPr>
        <w:t>Peoplecenter@sscinc.com</w:t>
      </w:r>
    </w:p>
    <w:p>
      <w:pPr>
        <w:pStyle w:val="TextBody"/>
        <w:bidi w:val="0"/>
        <w:spacing w:before="0" w:after="160"/>
        <w:jc w:val="both"/>
        <w:rPr>
          <w:rFonts w:ascii="Arial" w:hAnsi="Arial"/>
          <w:b w:val="false"/>
          <w:color w:val="000000"/>
          <w:sz w:val="20"/>
        </w:rPr>
      </w:pPr>
      <w:r>
        <w:rPr>
          <w:rFonts w:ascii="Arial" w:hAnsi="Arial"/>
          <w:b w:val="false"/>
          <w:color w:val="000000"/>
          <w:sz w:val="20"/>
        </w:rPr>
        <w:t>You will receive reimbursement of reasonable business expenses incurred by you in the course your employment, provided that such expenses are incurred, documented and accounted for in accordance with the Company’s applicable policies and procedures as in effect from time to time.</w:t>
      </w:r>
    </w:p>
    <w:p>
      <w:pPr>
        <w:pStyle w:val="TextBody"/>
        <w:bidi w:val="0"/>
        <w:spacing w:before="0" w:after="160"/>
        <w:jc w:val="both"/>
        <w:rPr>
          <w:rFonts w:ascii="Arial" w:hAnsi="Arial"/>
          <w:b/>
          <w:color w:val="000000"/>
          <w:sz w:val="20"/>
          <w:u w:val="single"/>
        </w:rPr>
      </w:pPr>
      <w:r>
        <w:rPr>
          <w:rFonts w:ascii="Arial" w:hAnsi="Arial"/>
          <w:b/>
          <w:color w:val="000000"/>
          <w:sz w:val="20"/>
          <w:u w:val="single"/>
        </w:rPr>
        <w:t>Termination of Employment; Severance</w:t>
      </w:r>
    </w:p>
    <w:p>
      <w:pPr>
        <w:pStyle w:val="TextBody"/>
        <w:bidi w:val="0"/>
        <w:spacing w:before="0" w:after="160"/>
        <w:jc w:val="both"/>
        <w:rPr>
          <w:rFonts w:ascii="Times New Roman" w:hAnsi="Times New Roman"/>
          <w:sz w:val="20"/>
        </w:rPr>
      </w:pPr>
      <w:r>
        <w:rPr>
          <w:rFonts w:ascii="Arial" w:hAnsi="Arial"/>
          <w:b w:val="false"/>
          <w:color w:val="000000"/>
          <w:sz w:val="20"/>
        </w:rPr>
        <w:t>Your employment may be terminated by the Company for any reason, with or without Cause (as defined below), and by you with 30 days’ prior written notice to SS&amp;C. In the event your employment with the Company terminates for any reason (including death or disability), you will be entitled to receive (i) any base salary earned but not paid through the date of termination, (ii) any unreimbursed business expenses incurred prior to the date of termination that are reimbursable in accordance with applicable Company policy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143000" cy="647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43000" cy="647700"/>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spacing w:before="0" w:after="160"/>
        <w:jc w:val="both"/>
        <w:rPr>
          <w:rFonts w:ascii="Arial" w:hAnsi="Arial"/>
          <w:b w:val="false"/>
          <w:color w:val="000000"/>
          <w:sz w:val="20"/>
        </w:rPr>
      </w:pPr>
      <w:r>
        <w:rPr>
          <w:rFonts w:ascii="Arial" w:hAnsi="Arial"/>
          <w:b w:val="false"/>
          <w:color w:val="000000"/>
          <w:sz w:val="20"/>
        </w:rPr>
        <w:t>and (iii) any other vested benefits due to you as determined in accordance with applicable Company plans or policies (together, the “Accrued Benefits”). In addition, your outstanding equity-based awards will be treated in accordance with the terms of the Stock Plan and the applicable award agreements under which such awards were granted.</w:t>
      </w:r>
    </w:p>
    <w:p>
      <w:pPr>
        <w:pStyle w:val="TextBody"/>
        <w:bidi w:val="0"/>
        <w:spacing w:before="0" w:after="160"/>
        <w:jc w:val="both"/>
        <w:rPr>
          <w:rFonts w:ascii="Arial" w:hAnsi="Arial"/>
          <w:b w:val="false"/>
          <w:color w:val="000000"/>
          <w:sz w:val="20"/>
        </w:rPr>
      </w:pPr>
      <w:r>
        <w:rPr>
          <w:rFonts w:ascii="Arial" w:hAnsi="Arial"/>
          <w:b w:val="false"/>
          <w:color w:val="000000"/>
          <w:sz w:val="20"/>
        </w:rPr>
        <w:t>In addition, if your employment is terminated by the Company without Cause, then, subject to your execution and non-revocation of a release of claims against the Company in a customary form to be provided by the Company (the “Release”) (which such Release must be executed and become irrevocable within 60 days of your termination date), then you will be entitled to the following severance payments: (i) continued payment of your then-current base salary for a period of 12 months following your termination date, payable in accordance with the Company’s regular payroll practices, (ii) any earned but unpaid annual bonus in respect of the fiscal year prior to the year of termination, payable when annual bonuses are normally paid to similarly situated executives and in no event later than 60 days following your termination date, and (iii) a target annual bonus for the year of termination, prorated based on the number of days that you were employed during the year of termination and payable no later than 60 days following your termination date (collectively, the “Severance Payments”).</w:t>
      </w:r>
    </w:p>
    <w:p>
      <w:pPr>
        <w:pStyle w:val="TextBody"/>
        <w:bidi w:val="0"/>
        <w:spacing w:before="0" w:after="160"/>
        <w:jc w:val="both"/>
        <w:rPr>
          <w:rFonts w:ascii="Arial" w:hAnsi="Arial"/>
          <w:b w:val="false"/>
          <w:color w:val="000000"/>
          <w:sz w:val="20"/>
        </w:rPr>
      </w:pPr>
      <w:r>
        <w:rPr>
          <w:rFonts w:ascii="Arial" w:hAnsi="Arial"/>
          <w:b w:val="false"/>
          <w:color w:val="000000"/>
          <w:sz w:val="20"/>
        </w:rPr>
        <w:t>For purposes of your employment hereunder, “Cause” means (i) the Company’s determination that you failed to substantially perform your duties (other than any such failure resulting from your disability) which is not remedied within fifteen days after receipt of written notice from the Company or an affiliate, as applicable, specifying such failure; (ii) the Company’s determination that you failed to carry out, or comply with any lawful and reasonable directive of the Company or the Chief Executive Officer of the Company, which is not remedied within fifteen days after receipt of written notice from the Company or any affiliate, as applicable, specifying such failure; (iii) your conviction, plea of no contest, plea of nolo contendere, or imposition of unadjudicated probation for any felony or a crime involving moral turpitude; (iv) your unlawful use (including being under the influence) or possession of illegal drugs on the Company’s or any affiliate’s, as applicable, premises or while performing your duties and responsibilities; or (v) your commission of a material act of fraud, embezzlement, misappropriation, willful misconduct or breach of fiduciary duty against the Company or any affiliate, as applicable.</w:t>
      </w:r>
    </w:p>
    <w:p>
      <w:pPr>
        <w:pStyle w:val="TextBody"/>
        <w:bidi w:val="0"/>
        <w:spacing w:before="0" w:after="160"/>
        <w:jc w:val="both"/>
        <w:rPr>
          <w:rFonts w:ascii="Arial" w:hAnsi="Arial"/>
          <w:b w:val="false"/>
          <w:color w:val="000000"/>
          <w:sz w:val="20"/>
        </w:rPr>
      </w:pPr>
      <w:r>
        <w:rPr>
          <w:rFonts w:ascii="Arial" w:hAnsi="Arial"/>
          <w:b w:val="false"/>
          <w:color w:val="000000"/>
          <w:sz w:val="20"/>
        </w:rPr>
        <w:t>Notwithstanding anything to the contrary in this Letter, if (i) you breach any of the restrictions set forth in (A) the Non-Disclosure &amp; Non-Solicitation Agreement referenced below, (B) under the heading “Restrictive Covenants” below or (C) any other agreement between you and the Company or (ii) at any time following your termination of employment, the Company determines that you engaged in an act or omission that, if discovered during your employment, would have entitled the Company to terminate your employment for Cause, then, in each case you will forfeit your entitlement to the Severance Payments set forth above, to the extent not yet paid.</w:t>
      </w:r>
    </w:p>
    <w:p>
      <w:pPr>
        <w:pStyle w:val="TextBody"/>
        <w:bidi w:val="0"/>
        <w:spacing w:before="0" w:after="160"/>
        <w:jc w:val="both"/>
        <w:rPr>
          <w:rFonts w:ascii="Arial" w:hAnsi="Arial"/>
          <w:b/>
          <w:color w:val="000000"/>
          <w:sz w:val="20"/>
          <w:u w:val="single"/>
        </w:rPr>
      </w:pPr>
      <w:r>
        <w:rPr>
          <w:rFonts w:ascii="Arial" w:hAnsi="Arial"/>
          <w:b/>
          <w:color w:val="000000"/>
          <w:sz w:val="20"/>
          <w:u w:val="single"/>
        </w:rPr>
        <w:t>Restrictive Covenants</w:t>
      </w:r>
    </w:p>
    <w:p>
      <w:pPr>
        <w:pStyle w:val="TextBody"/>
        <w:bidi w:val="0"/>
        <w:spacing w:before="0" w:after="160"/>
        <w:jc w:val="both"/>
        <w:rPr>
          <w:rFonts w:ascii="Arial" w:hAnsi="Arial"/>
          <w:b w:val="false"/>
          <w:color w:val="000000"/>
          <w:sz w:val="20"/>
        </w:rPr>
      </w:pPr>
      <w:r>
        <w:rPr>
          <w:rFonts w:ascii="Arial" w:hAnsi="Arial"/>
          <w:b w:val="false"/>
          <w:color w:val="000000"/>
          <w:sz w:val="20"/>
        </w:rPr>
        <w:t>You acknowledge and agree that this offer and your employment with the Company are conditioned on your execution of the Non-Disclosure &amp; Non-Solicitation Agreement referenced below.</w:t>
      </w:r>
    </w:p>
    <w:p>
      <w:pPr>
        <w:pStyle w:val="TextBody"/>
        <w:bidi w:val="0"/>
        <w:spacing w:before="0" w:after="160"/>
        <w:jc w:val="both"/>
        <w:rPr>
          <w:rFonts w:ascii="Times New Roman" w:hAnsi="Times New Roman"/>
          <w:sz w:val="20"/>
        </w:rPr>
      </w:pPr>
      <w:r>
        <w:rPr>
          <w:rFonts w:ascii="Arial" w:hAnsi="Arial"/>
          <w:b w:val="false"/>
          <w:color w:val="000000"/>
          <w:sz w:val="20"/>
        </w:rPr>
        <w:t>In addition, to protect the confidential information and other trade secrets of the Company and its affiliates, and in specific consideration for the payments under this Letter, including the Severance Payments, you agree that during your employment with SS&amp;C and for a period of 12 months following a termination of your employment for any reason, you agree not to, directly or indirectly, engage in, have any equity interest in, manage or operate, provide services for, consult with or be employed by any person, firm, corporation, partnership or business (whether as director, officer, employee, agent, representative, partner, security holder, consultant or otherwise) that engages in any business which competes (a “competing business”)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143000" cy="6477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43000" cy="647700"/>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spacing w:before="0" w:after="160"/>
        <w:jc w:val="both"/>
        <w:rPr>
          <w:rFonts w:ascii="Arial" w:hAnsi="Arial"/>
          <w:b w:val="false"/>
          <w:color w:val="000000"/>
          <w:sz w:val="20"/>
        </w:rPr>
      </w:pPr>
      <w:r>
        <w:rPr>
          <w:rFonts w:ascii="Arial" w:hAnsi="Arial"/>
          <w:b w:val="false"/>
          <w:color w:val="000000"/>
          <w:sz w:val="20"/>
        </w:rPr>
        <w:t>with any business line of the Company or any of its subsidiaries or affiliates that generates more than $50 million of revenues annually as of the date of your termination of employment anywhere in the world without the prior written consent of the Company; provided, however, that you will be permitted to acquire a passive stock interest in such a competing business provided the stock acquired is publicly traded and is not more than two percent (2%) of the outstanding interest in such business.</w:t>
      </w:r>
    </w:p>
    <w:p>
      <w:pPr>
        <w:pStyle w:val="TextBody"/>
        <w:bidi w:val="0"/>
        <w:spacing w:before="0" w:after="160"/>
        <w:jc w:val="both"/>
        <w:rPr>
          <w:rFonts w:ascii="Arial" w:hAnsi="Arial"/>
          <w:b w:val="false"/>
          <w:color w:val="000000"/>
          <w:sz w:val="20"/>
        </w:rPr>
      </w:pPr>
      <w:r>
        <w:rPr>
          <w:rFonts w:ascii="Arial" w:hAnsi="Arial"/>
          <w:b w:val="false"/>
          <w:color w:val="000000"/>
          <w:sz w:val="20"/>
        </w:rPr>
        <w:t>You acknowledge that a material part of the inducement for the Company to provide the compensation and benefits provided under this Letter are the restrictive covenants described above, that such covenants relate to special, unique and extraordinary matters, and that a violation of any of such covenants will cause the Company irreparable injury for which adequate remedies are not available at law. Therefore, you agree that, if you breach any of such covenants during or following termination of your employment, the Company will be entitled to an injunction, restraining order or such other equitable relief (without the requirement to post a bond) restraining you from committing any violation of such covenants, and the Company will have no further obligations to pay you any compensation or benefits otherwise payable hereunder. The remedies in the preceding sentence are cumulative and are in addition to any other rights and remedies the Company may have at law or in equity as an arbitrator (or court) reasonably determines.</w:t>
      </w:r>
    </w:p>
    <w:p>
      <w:pPr>
        <w:pStyle w:val="TextBody"/>
        <w:bidi w:val="0"/>
        <w:spacing w:before="0" w:after="160"/>
        <w:jc w:val="both"/>
        <w:rPr>
          <w:rFonts w:ascii="Times New Roman" w:hAnsi="Times New Roman"/>
          <w:sz w:val="20"/>
        </w:rPr>
      </w:pPr>
      <w:r>
        <w:rPr>
          <w:rFonts w:ascii="Arial" w:hAnsi="Arial"/>
          <w:b w:val="false"/>
          <w:color w:val="000000"/>
          <w:sz w:val="20"/>
        </w:rPr>
        <w:t>Nothing in this Letter, the Non-Disclosure &amp; Non-Solicitation Agreement referenced below or otherwise</w:t>
      </w:r>
      <w:r>
        <w:rPr>
          <w:rFonts w:ascii="Times New Roman" w:hAnsi="Times New Roman"/>
          <w:color w:val="000000"/>
          <w:sz w:val="20"/>
        </w:rPr>
        <w:t xml:space="preserve"> </w:t>
      </w:r>
      <w:r>
        <w:rPr>
          <w:rFonts w:ascii="Arial" w:hAnsi="Arial"/>
          <w:b w:val="false"/>
          <w:color w:val="000000"/>
          <w:sz w:val="20"/>
        </w:rPr>
        <w:t>limits your ability to communicate directly with and provide information, including documents, not otherwise protected from disclosure by any applicable law or privilege to the Securities and Exchange Commission (the “SEC”) or any other federal, state or local governmental agency or commission (“Government Agency”) regarding possible legal violations, without disclosure to the Company. The Company may not retaliate against you for any of these activities, and nothing in this Letter, the Non-Disclosure &amp; Non-Solicitation Agreement or otherwise requires you to waive any monetary award or other payment that you might become entitled to from the SEC or any other Government Agency. Further, nothing in this Letter, the Non-Disclosure &amp; Non-Solicitation Agreement or otherwise precludes you from filing a charge of discrimination with the Equal Employment Opportunity Commission or a like charge or complaint with a state or local fair employment practice agency. You will not be held criminally or civilly liable under any federal or state trade secret law for the disclosure of a trade secret that — (A) is made —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pStyle w:val="TextBody"/>
        <w:bidi w:val="0"/>
        <w:spacing w:before="0" w:after="160"/>
        <w:jc w:val="both"/>
        <w:rPr>
          <w:rFonts w:ascii="Times New Roman" w:hAnsi="Times New Roman"/>
          <w:sz w:val="20"/>
        </w:rPr>
      </w:pPr>
      <w:r>
        <w:rPr>
          <w:rFonts w:ascii="Arial" w:hAnsi="Arial"/>
          <w:b/>
          <w:color w:val="000000"/>
          <w:sz w:val="20"/>
          <w:u w:val="single"/>
        </w:rPr>
        <w:t>Orientation</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rial" w:hAnsi="Arial"/>
          <w:b w:val="false"/>
          <w:color w:val="000000"/>
          <w:sz w:val="20"/>
        </w:rPr>
        <w:t>During your first week, you will be scheduled to participate in the Company's employee orientation during which a member of Human Resources will review company policies and procedures and answer any questions you may have about your employment.</w:t>
      </w:r>
      <w:r>
        <w:rPr>
          <w:rFonts w:ascii="Times New Roman" w:hAnsi="Times New Roman"/>
          <w:color w:val="000000"/>
          <w:sz w:val="20"/>
        </w:rPr>
        <w:t xml:space="preserve"> </w:t>
      </w:r>
    </w:p>
    <w:p>
      <w:pPr>
        <w:pStyle w:val="TextBody"/>
        <w:bidi w:val="0"/>
        <w:spacing w:before="0" w:after="160"/>
        <w:jc w:val="both"/>
        <w:rPr>
          <w:rFonts w:ascii="Arial" w:hAnsi="Arial"/>
          <w:b/>
          <w:color w:val="000000"/>
          <w:sz w:val="20"/>
          <w:u w:val="single"/>
        </w:rPr>
      </w:pPr>
      <w:r>
        <w:rPr>
          <w:rFonts w:ascii="Arial" w:hAnsi="Arial"/>
          <w:b/>
          <w:color w:val="000000"/>
          <w:sz w:val="20"/>
          <w:u w:val="single"/>
        </w:rPr>
        <w:t>Accurate Information Provided</w:t>
      </w:r>
    </w:p>
    <w:p>
      <w:pPr>
        <w:pStyle w:val="TextBody"/>
        <w:bidi w:val="0"/>
        <w:spacing w:before="0" w:after="160"/>
        <w:jc w:val="both"/>
        <w:rPr>
          <w:rFonts w:ascii="Times New Roman" w:hAnsi="Times New Roman"/>
          <w:sz w:val="20"/>
        </w:rPr>
      </w:pPr>
      <w:r>
        <w:rPr>
          <w:rFonts w:ascii="Arial" w:hAnsi="Arial"/>
          <w:b w:val="false"/>
          <w:color w:val="000000"/>
          <w:sz w:val="20"/>
        </w:rPr>
        <w:t>By signing this Letter, you are verifying that the information you have provided (or which has been provided on your behalf) both verbally and in writing are complete and accurate. You understand that a false statement may disqualify you from employment or cause your subsequent discharge if you are employed by the Company.</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rial" w:hAnsi="Arial"/>
          <w:b/>
          <w:color w:val="000000"/>
          <w:sz w:val="20"/>
          <w:u w:val="single"/>
        </w:rPr>
        <w:t>Your employment is contingent upon the following</w:t>
      </w:r>
      <w:r>
        <w:rPr>
          <w:rFonts w:ascii="Arial" w:hAnsi="Arial"/>
          <w:b w:val="false"/>
          <w:color w:val="000000"/>
          <w:sz w:val="20"/>
        </w:rPr>
        <w:t>:</w:t>
      </w:r>
    </w:p>
    <w:p>
      <w:pPr>
        <w:pStyle w:val="TextBody"/>
        <w:bidi w:val="0"/>
        <w:spacing w:before="0" w:after="160"/>
        <w:jc w:val="both"/>
        <w:rPr>
          <w:rFonts w:ascii="Times New Roman" w:hAnsi="Times New Roman"/>
          <w:sz w:val="20"/>
        </w:rPr>
      </w:pPr>
      <w:r>
        <w:rPr>
          <w:rFonts w:ascii="Arial" w:hAnsi="Arial"/>
          <w:b w:val="false"/>
          <w:color w:val="000000"/>
          <w:sz w:val="20"/>
        </w:rPr>
        <w:t>Completion of the following new hire forms and agreements, which must be signed, either before or on your Start Date: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143000" cy="6477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43000" cy="647700"/>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b w:val="false"/>
          <w:color w:val="000000"/>
          <w:sz w:val="20"/>
        </w:rPr>
      </w:pPr>
      <w:r>
        <w:rPr>
          <w:rFonts w:ascii="Arial" w:hAnsi="Arial"/>
          <w:b w:val="false"/>
          <w:color w:val="000000"/>
          <w:sz w:val="20"/>
        </w:rPr>
        <w:t xml:space="preserve">Employment Application and I-9 Form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b w:val="false"/>
          <w:color w:val="000000"/>
          <w:sz w:val="20"/>
        </w:rPr>
      </w:pPr>
      <w:r>
        <w:rPr>
          <w:rFonts w:ascii="Arial" w:hAnsi="Arial"/>
          <w:b w:val="false"/>
          <w:color w:val="000000"/>
          <w:sz w:val="20"/>
        </w:rPr>
        <w:t xml:space="preserve">Anti-Money Laundering Policy Acknowledgement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b w:val="false"/>
          <w:color w:val="000000"/>
          <w:sz w:val="20"/>
        </w:rPr>
      </w:pPr>
      <w:r>
        <w:rPr>
          <w:rFonts w:ascii="Arial" w:hAnsi="Arial"/>
          <w:b w:val="false"/>
          <w:color w:val="000000"/>
          <w:sz w:val="20"/>
        </w:rPr>
        <w:t xml:space="preserve">Employee Payroll Deduction Authorization Form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b w:val="false"/>
          <w:color w:val="000000"/>
          <w:sz w:val="20"/>
        </w:rPr>
      </w:pPr>
      <w:r>
        <w:rPr>
          <w:rFonts w:ascii="Arial" w:hAnsi="Arial"/>
          <w:b w:val="false"/>
          <w:color w:val="000000"/>
          <w:sz w:val="20"/>
        </w:rPr>
        <w:t xml:space="preserve">Information Security Acceptable Use Policy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b w:val="false"/>
          <w:color w:val="000000"/>
          <w:sz w:val="20"/>
        </w:rPr>
      </w:pPr>
      <w:r>
        <w:rPr>
          <w:rFonts w:ascii="Arial" w:hAnsi="Arial"/>
          <w:b w:val="false"/>
          <w:color w:val="000000"/>
          <w:sz w:val="20"/>
        </w:rPr>
        <w:t xml:space="preserve">Securities Transaction Policy Acknowledgement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b w:val="false"/>
          <w:color w:val="000000"/>
          <w:sz w:val="20"/>
        </w:rPr>
      </w:pPr>
      <w:r>
        <w:rPr>
          <w:rFonts w:ascii="Arial" w:hAnsi="Arial"/>
          <w:b w:val="false"/>
          <w:color w:val="000000"/>
          <w:sz w:val="20"/>
        </w:rPr>
        <w:t xml:space="preserve">Non-Disclosure &amp; Non-Solicitation Agreement </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b w:val="false"/>
          <w:color w:val="000000"/>
          <w:sz w:val="20"/>
        </w:rPr>
      </w:pPr>
      <w:r>
        <w:rPr>
          <w:rFonts w:ascii="Arial" w:hAnsi="Arial"/>
          <w:b w:val="false"/>
          <w:color w:val="000000"/>
          <w:sz w:val="20"/>
        </w:rPr>
        <w:t xml:space="preserve">Employee Handbook and Code of Business Conduct and Ethics Acknowledgement Forms </w:t>
      </w:r>
    </w:p>
    <w:p>
      <w:pPr>
        <w:pStyle w:val="TextBody"/>
        <w:bidi w:val="0"/>
        <w:spacing w:before="0" w:after="160"/>
        <w:jc w:val="both"/>
        <w:rPr/>
      </w:pPr>
      <w:r>
        <w:rPr/>
        <w:t> </w:t>
      </w:r>
    </w:p>
    <w:p>
      <w:pPr>
        <w:pStyle w:val="TextBody"/>
        <w:bidi w:val="0"/>
        <w:spacing w:before="0" w:after="160"/>
        <w:jc w:val="both"/>
        <w:rPr>
          <w:rFonts w:ascii="Arial" w:hAnsi="Arial"/>
          <w:b w:val="false"/>
          <w:color w:val="000000"/>
          <w:sz w:val="20"/>
        </w:rPr>
      </w:pPr>
      <w:r>
        <w:rPr>
          <w:rFonts w:ascii="Arial" w:hAnsi="Arial"/>
          <w:b w:val="false"/>
          <w:color w:val="000000"/>
          <w:sz w:val="20"/>
        </w:rPr>
        <w:t>In addition, the effectiveness of this Letter and the commencement of your employment with the Company hereunder is conditioned upon your employment with the Company not violating the terms of any restrictive covenant obligations (including any non-compete obligations) that you may have with respect to your existing employer.</w:t>
      </w:r>
    </w:p>
    <w:p>
      <w:pPr>
        <w:pStyle w:val="TextBody"/>
        <w:bidi w:val="0"/>
        <w:spacing w:before="0" w:after="160"/>
        <w:jc w:val="both"/>
        <w:rPr/>
      </w:pPr>
      <w:r>
        <w:rPr/>
        <w:t> </w:t>
      </w:r>
    </w:p>
    <w:p>
      <w:pPr>
        <w:pStyle w:val="TextBody"/>
        <w:bidi w:val="0"/>
        <w:spacing w:before="0" w:after="160"/>
        <w:jc w:val="both"/>
        <w:rPr>
          <w:rFonts w:ascii="Arial" w:hAnsi="Arial"/>
          <w:b w:val="false"/>
          <w:color w:val="000000"/>
          <w:sz w:val="20"/>
        </w:rPr>
      </w:pPr>
      <w:r>
        <w:rPr>
          <w:rFonts w:ascii="Arial" w:hAnsi="Arial"/>
          <w:b w:val="false"/>
          <w:color w:val="000000"/>
          <w:sz w:val="20"/>
        </w:rPr>
        <w:t>In the event that you breach any of the terms of this Letter, this offer may be rescinded (if the Start Date has not yet occurred) or your employment may be terminated (if the Start Date has occurred), and you shall not be entitled to any further compensation (including any Severance Payments).</w:t>
      </w:r>
    </w:p>
    <w:p>
      <w:pPr>
        <w:pStyle w:val="TextBody"/>
        <w:bidi w:val="0"/>
        <w:spacing w:before="0" w:after="160"/>
        <w:jc w:val="both"/>
        <w:rPr>
          <w:rFonts w:ascii="Arial" w:hAnsi="Arial"/>
          <w:b/>
          <w:color w:val="000000"/>
          <w:sz w:val="20"/>
          <w:u w:val="single"/>
        </w:rPr>
      </w:pPr>
      <w:r>
        <w:rPr>
          <w:rFonts w:ascii="Arial" w:hAnsi="Arial"/>
          <w:b/>
          <w:color w:val="000000"/>
          <w:sz w:val="20"/>
          <w:u w:val="single"/>
        </w:rPr>
        <w:t>At Will Employment</w:t>
      </w:r>
    </w:p>
    <w:p>
      <w:pPr>
        <w:pStyle w:val="TextBody"/>
        <w:bidi w:val="0"/>
        <w:spacing w:before="0" w:after="160"/>
        <w:jc w:val="both"/>
        <w:rPr>
          <w:rFonts w:ascii="Times New Roman" w:hAnsi="Times New Roman"/>
          <w:sz w:val="20"/>
        </w:rPr>
      </w:pPr>
      <w:r>
        <w:rPr>
          <w:rFonts w:ascii="Arial" w:hAnsi="Arial"/>
          <w:b w:val="false"/>
          <w:color w:val="000000"/>
          <w:sz w:val="20"/>
        </w:rPr>
        <w:t>The Company is an “at will” employer and, as such, employment may be terminated by you or the Company for any reason or for no reason and with or without prior notice. Nothing in this Letter will be interpreted to be in conflict with or to eliminate or modify in any way the employment-at-will status of the Company's employees.</w:t>
      </w:r>
      <w:r>
        <w:rPr>
          <w:rFonts w:ascii="Times New Roman" w:hAnsi="Times New Roman"/>
          <w:color w:val="000000"/>
          <w:sz w:val="20"/>
        </w:rPr>
        <w:t xml:space="preserve"> </w:t>
      </w:r>
    </w:p>
    <w:p>
      <w:pPr>
        <w:pStyle w:val="TextBody"/>
        <w:bidi w:val="0"/>
        <w:spacing w:before="0" w:after="160"/>
        <w:jc w:val="both"/>
        <w:rPr>
          <w:rFonts w:ascii="Arial" w:hAnsi="Arial"/>
          <w:b w:val="false"/>
          <w:color w:val="000000"/>
          <w:sz w:val="20"/>
        </w:rPr>
      </w:pPr>
      <w:r>
        <w:rPr>
          <w:rFonts w:ascii="Arial" w:hAnsi="Arial"/>
          <w:b w:val="false"/>
          <w:color w:val="000000"/>
          <w:sz w:val="20"/>
        </w:rPr>
        <w:t>You represent and warrant to the Company that you are free to accept employment with the Company, and that you have no prior or other commitments or obligations of any kind to anyone else or any entity that would hinder or interfere with your acceptance of your obligations hereunder or the exercise of your best efforts in the performance of your duties hereunder.</w:t>
      </w:r>
    </w:p>
    <w:p>
      <w:pPr>
        <w:pStyle w:val="TextBody"/>
        <w:bidi w:val="0"/>
        <w:spacing w:before="0" w:after="160"/>
        <w:jc w:val="both"/>
        <w:rPr>
          <w:rFonts w:ascii="Arial" w:hAnsi="Arial"/>
          <w:b/>
          <w:color w:val="000000"/>
          <w:sz w:val="20"/>
          <w:u w:val="single"/>
        </w:rPr>
      </w:pPr>
      <w:r>
        <w:rPr>
          <w:rFonts w:ascii="Arial" w:hAnsi="Arial"/>
          <w:b/>
          <w:color w:val="000000"/>
          <w:sz w:val="20"/>
          <w:u w:val="single"/>
        </w:rPr>
        <w:t>Other Terms and Conditions</w:t>
      </w:r>
    </w:p>
    <w:p>
      <w:pPr>
        <w:pStyle w:val="TextBody"/>
        <w:bidi w:val="0"/>
        <w:spacing w:before="0" w:after="160"/>
        <w:jc w:val="both"/>
        <w:rPr>
          <w:rFonts w:ascii="Arial" w:hAnsi="Arial"/>
          <w:b w:val="false"/>
          <w:color w:val="000000"/>
          <w:sz w:val="20"/>
        </w:rPr>
      </w:pPr>
      <w:r>
        <w:rPr>
          <w:rFonts w:ascii="Arial" w:hAnsi="Arial"/>
          <w:b w:val="false"/>
          <w:color w:val="000000"/>
          <w:sz w:val="20"/>
        </w:rPr>
        <w:t>The Company may withhold from any amounts payable under this Letter such federal, state, local and other taxes as may be required to be withheld pursuant to any applicable law or regulation.</w:t>
      </w:r>
    </w:p>
    <w:p>
      <w:pPr>
        <w:pStyle w:val="TextBody"/>
        <w:bidi w:val="0"/>
        <w:spacing w:before="0" w:after="160"/>
        <w:jc w:val="both"/>
        <w:rPr>
          <w:rFonts w:ascii="Times New Roman" w:hAnsi="Times New Roman"/>
          <w:sz w:val="20"/>
        </w:rPr>
      </w:pPr>
      <w:r>
        <w:rPr>
          <w:rFonts w:ascii="Arial" w:hAnsi="Arial"/>
          <w:b w:val="false"/>
          <w:color w:val="000000"/>
          <w:sz w:val="20"/>
        </w:rPr>
        <w:t>This Letter is intended to meet the requirements of Section 409A of the Internal Revenue Code of 1986, as amended (“Section 409A”) with respect to amounts subject thereto and will be interpreted and construed consistent with that intent. Notwithstanding anything in this Letter to the contrary, (i) if at the time of termination of your employment, you are deemed to be a “specified employee” of the Company within the meaning of Section 409A, then (x) only to the extent necessary to comply with the requirements of Section 409A, any payments to which you are entitled under this Letter in connection with such termination that constitute “nonqualified deferred compensation” for purposes of Section 409A will be withheld until the first business day of the seventh month following the date of such termination (the “Delayed Payment Date”), you will receive a lump sum payment in an amount equal to the aggregate amount of such payments that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143000" cy="6477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43000" cy="647700"/>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spacing w:before="0" w:after="160"/>
        <w:jc w:val="both"/>
        <w:rPr>
          <w:rFonts w:ascii="Times New Roman" w:hAnsi="Times New Roman"/>
          <w:sz w:val="20"/>
        </w:rPr>
      </w:pPr>
      <w:r>
        <w:rPr>
          <w:rFonts w:ascii="Arial" w:hAnsi="Arial"/>
          <w:b w:val="false"/>
          <w:color w:val="000000"/>
          <w:sz w:val="20"/>
        </w:rPr>
        <w:t>otherwise would have been made to you prior to the Delayed Payment Date and following the Delayed Payment Date, you will receive the payments otherwise due to you accordance with the payment terms and schedule set forth herein; (ii) with respect to a payment of “nonqualified deferred compensation” triggered by a termination of employment, a termination of employment will be deemed not to have occurred until such time as you incur a “separation from service” with the Company in accordance with Section 409A; (iii) for purposes of Section 409A, each payment in a series of installment payments provided under this Agreement will be treated as a separate payment; and (iv) no expenses eligible for reimbursement, or in-kind benefits provided, to you under this Letter during any calendar year will affect the amounts eligible for reimbursement in any other calendar year, to the extent subject to the requirements of Section 409A of the Code, and no such right to reimbursement or in-kind benefits will be subject to liquidation or exchange for any other benefit.</w:t>
      </w:r>
      <w:r>
        <w:rPr>
          <w:rFonts w:ascii="Times New Roman" w:hAnsi="Times New Roman"/>
          <w:color w:val="000000"/>
          <w:sz w:val="20"/>
        </w:rPr>
        <w:t xml:space="preserve"> </w:t>
      </w:r>
      <w:r>
        <w:rPr>
          <w:rFonts w:ascii="Arial" w:hAnsi="Arial"/>
          <w:b w:val="false"/>
          <w:color w:val="000000"/>
          <w:sz w:val="20"/>
        </w:rPr>
        <w:t>If the period during which you may execute or revoke the Release begins in one calendar year and ends in the next calendar year, then the Severance Payments will be made (or commence being made, as applicable) in the second calendar year.</w:t>
      </w:r>
    </w:p>
    <w:p>
      <w:pPr>
        <w:pStyle w:val="TextBody"/>
        <w:bidi w:val="0"/>
        <w:spacing w:before="0" w:after="160"/>
        <w:jc w:val="both"/>
        <w:rPr>
          <w:rFonts w:ascii="Arial" w:hAnsi="Arial"/>
          <w:b w:val="false"/>
          <w:color w:val="000000"/>
          <w:sz w:val="20"/>
        </w:rPr>
      </w:pPr>
      <w:r>
        <w:rPr>
          <w:rFonts w:ascii="Arial" w:hAnsi="Arial"/>
          <w:b w:val="false"/>
          <w:color w:val="000000"/>
          <w:sz w:val="20"/>
        </w:rPr>
        <w:t>If any of the provisions of this Letter are or become invalid, illegal or unenforceable in any respect, the validity, legality and enforceability of the remaining provisions of this Letter will not be affected thereby.</w:t>
      </w:r>
    </w:p>
    <w:p>
      <w:pPr>
        <w:pStyle w:val="TextBody"/>
        <w:bidi w:val="0"/>
        <w:spacing w:before="0" w:after="160"/>
        <w:jc w:val="both"/>
        <w:rPr>
          <w:rFonts w:ascii="Arial" w:hAnsi="Arial"/>
          <w:b w:val="false"/>
          <w:color w:val="000000"/>
          <w:sz w:val="20"/>
        </w:rPr>
      </w:pPr>
      <w:r>
        <w:rPr>
          <w:rFonts w:ascii="Arial" w:hAnsi="Arial"/>
          <w:b w:val="false"/>
          <w:color w:val="000000"/>
          <w:sz w:val="20"/>
        </w:rPr>
        <w:t>This Letter will be governed by and construed in accordance with the laws of the State of New York, without regard to conflicts of law principles. Any action or proceeding by either of the parties to enforce this Letter will be brought only in a state or federal court located in the state of Delaware. The parties hereby irrevocably submit to the exclusive jurisdiction of such courts and waive the defense of inconvenient forum to the maintenance of any such action or proceeding in such venue.</w:t>
      </w:r>
    </w:p>
    <w:p>
      <w:pPr>
        <w:pStyle w:val="TextBody"/>
        <w:bidi w:val="0"/>
        <w:spacing w:before="0" w:after="160"/>
        <w:jc w:val="both"/>
        <w:rPr>
          <w:rFonts w:ascii="Times New Roman" w:hAnsi="Times New Roman"/>
          <w:sz w:val="20"/>
        </w:rPr>
      </w:pPr>
      <w:r>
        <w:rPr>
          <w:rFonts w:ascii="Arial" w:hAnsi="Arial"/>
          <w:b w:val="false"/>
          <w:color w:val="000000"/>
          <w:sz w:val="20"/>
        </w:rPr>
        <w:t>This Letter contains the entire agreement between the parties with respect to your services to the Company in all capacities and supersedes any and all prior understandings, agreements or correspondence between you and the Company or any of its affiliates. This Letter may not be altered, modified or amended except by written instrument signed by the parties.</w:t>
      </w:r>
      <w:r>
        <w:rPr>
          <w:rFonts w:ascii="Times New Roman" w:hAnsi="Times New Roman"/>
          <w:color w:val="000000"/>
          <w:sz w:val="20"/>
        </w:rPr>
        <w:t xml:space="preserve"> </w:t>
      </w:r>
      <w:r>
        <w:rPr>
          <w:rFonts w:ascii="Arial" w:hAnsi="Arial"/>
          <w:b w:val="false"/>
          <w:color w:val="000000"/>
          <w:sz w:val="20"/>
        </w:rPr>
        <w:t>This Letter will be binding on and inure to the benefit of the parties and their respective heirs, executives, personal and legal representatives, successors and assigns. You will not have the right to assign your interest in this Letter, any rights under this Letter or any duties imposed under this Letter without the prior written consent of the Company. This Letter may be assigned by the Company to any successor in interest to substantially all of the stock, assets or business operations of the Company.</w:t>
      </w:r>
    </w:p>
    <w:p>
      <w:pPr>
        <w:pStyle w:val="TextBody"/>
        <w:bidi w:val="0"/>
        <w:spacing w:before="0" w:after="160"/>
        <w:jc w:val="both"/>
        <w:rPr>
          <w:rFonts w:ascii="Times New Roman" w:hAnsi="Times New Roman"/>
          <w:sz w:val="20"/>
        </w:rPr>
      </w:pPr>
      <w:r>
        <w:rPr>
          <w:rFonts w:ascii="Arial" w:hAnsi="Arial"/>
          <w:b w:val="false"/>
          <w:color w:val="000000"/>
          <w:sz w:val="20"/>
        </w:rPr>
        <w:t>You have seven (7) calendar days from the date of receipt of this Letter to indicate your acceptance of this offer by clicking accept below. If we do not receive notification that you have accepted, within the periods described above, this offer may be rescinded.</w:t>
      </w:r>
      <w:r>
        <w:rPr>
          <w:rFonts w:ascii="Times New Roman" w:hAnsi="Times New Roman"/>
          <w:color w:val="000000"/>
          <w:sz w:val="20"/>
        </w:rPr>
        <w:t xml:space="preserve"> </w:t>
      </w:r>
    </w:p>
    <w:p>
      <w:pPr>
        <w:pStyle w:val="TextBody"/>
        <w:bidi w:val="0"/>
        <w:spacing w:before="0" w:after="160"/>
        <w:jc w:val="both"/>
        <w:rPr>
          <w:rFonts w:ascii="Times New Roman" w:hAnsi="Times New Roman"/>
          <w:sz w:val="20"/>
        </w:rPr>
      </w:pPr>
      <w:r>
        <w:rPr>
          <w:rFonts w:ascii="Arial" w:hAnsi="Arial"/>
          <w:b w:val="false"/>
          <w:color w:val="000000"/>
          <w:sz w:val="20"/>
        </w:rPr>
        <w:t>Brian</w:t>
      </w:r>
      <w:r>
        <w:rPr>
          <w:rFonts w:ascii="Arial" w:hAnsi="Arial"/>
          <w:b/>
          <w:color w:val="000000"/>
          <w:sz w:val="20"/>
        </w:rPr>
        <w:t>,</w:t>
      </w:r>
      <w:r>
        <w:rPr>
          <w:rFonts w:ascii="Times New Roman" w:hAnsi="Times New Roman"/>
          <w:color w:val="000000"/>
          <w:sz w:val="20"/>
        </w:rPr>
        <w:t xml:space="preserve"> </w:t>
      </w:r>
      <w:r>
        <w:rPr>
          <w:rFonts w:ascii="Arial" w:hAnsi="Arial"/>
          <w:b w:val="false"/>
          <w:color w:val="000000"/>
          <w:sz w:val="20"/>
        </w:rPr>
        <w:t xml:space="preserve">we are thrilled that you are joining the team. If you have any questions please feel free to contact me at </w:t>
      </w:r>
      <w:r>
        <w:rPr>
          <w:rFonts w:ascii="Arial" w:hAnsi="Arial"/>
          <w:b w:val="false"/>
          <w:color w:val="0563C1"/>
          <w:sz w:val="20"/>
        </w:rPr>
        <w:t>dbhargava@sscinc.com</w:t>
      </w:r>
    </w:p>
    <w:p>
      <w:pPr>
        <w:pStyle w:val="TextBody"/>
        <w:bidi w:val="0"/>
        <w:spacing w:before="0" w:after="160"/>
        <w:jc w:val="left"/>
        <w:rPr>
          <w:rFonts w:ascii="Times New Roman" w:hAnsi="Times New Roman"/>
          <w:sz w:val="20"/>
        </w:rPr>
      </w:pPr>
      <w:r>
        <w:rPr>
          <w:rFonts w:ascii="Arial" w:hAnsi="Arial"/>
          <w:b w:val="false"/>
          <w:color w:val="000000"/>
          <w:sz w:val="20"/>
        </w:rPr>
        <w:t>Very truly yours,</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jc w:val="left"/>
        <w:rPr>
          <w:rFonts w:ascii="Arial" w:hAnsi="Arial"/>
          <w:b/>
          <w:color w:val="000000"/>
          <w:sz w:val="20"/>
        </w:rPr>
      </w:pPr>
      <w:r>
        <w:rPr>
          <w:rFonts w:ascii="Arial" w:hAnsi="Arial"/>
          <w:b/>
          <w:color w:val="000000"/>
          <w:sz w:val="20"/>
        </w:rPr>
        <w:t>Darpan Bhargava</w:t>
      </w:r>
    </w:p>
    <w:p>
      <w:pPr>
        <w:pStyle w:val="TextBody"/>
        <w:bidi w:val="0"/>
        <w:jc w:val="left"/>
        <w:rPr>
          <w:rFonts w:ascii="Arial" w:hAnsi="Arial"/>
          <w:b/>
          <w:color w:val="000000"/>
          <w:sz w:val="20"/>
        </w:rPr>
      </w:pPr>
      <w:r>
        <w:rPr>
          <w:rFonts w:ascii="Arial" w:hAnsi="Arial"/>
          <w:b/>
          <w:color w:val="000000"/>
          <w:sz w:val="20"/>
        </w:rPr>
        <w:t>Sr.VP &amp; Global Head of HR</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1143000" cy="6477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43000" cy="647700"/>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Arial" w:hAnsi="Arial"/>
          <w:b/>
          <w:color w:val="000000"/>
          <w:sz w:val="20"/>
        </w:rPr>
      </w:pPr>
      <w:r>
        <w:rPr>
          <w:rFonts w:ascii="Arial" w:hAnsi="Arial"/>
          <w:b/>
          <w:color w:val="000000"/>
          <w:sz w:val="20"/>
        </w:rPr>
        <w:t>BRIAN N. SCHELL</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Arial" w:hAnsi="Arial"/>
          <w:b w:val="false"/>
          <w:color w:val="000000"/>
          <w:sz w:val="20"/>
        </w:rPr>
        <w:t>_</w:t>
      </w:r>
      <w:r>
        <w:rPr>
          <w:rFonts w:ascii="Arial" w:hAnsi="Arial"/>
          <w:b w:val="false"/>
          <w:color w:val="000000"/>
          <w:sz w:val="20"/>
          <w:u w:val="single"/>
        </w:rPr>
        <w:t>/s/ Brian N. Schell</w:t>
      </w:r>
      <w:r>
        <w:rPr>
          <w:rFonts w:ascii="Arial" w:hAnsi="Arial"/>
          <w:b w:val="false"/>
          <w:color w:val="000000"/>
          <w:sz w:val="20"/>
        </w:rPr>
        <w:t>_________________ _</w:t>
      </w:r>
      <w:r>
        <w:rPr>
          <w:rFonts w:ascii="Arial" w:hAnsi="Arial"/>
          <w:b w:val="false"/>
          <w:color w:val="000000"/>
          <w:sz w:val="20"/>
          <w:u w:val="single"/>
        </w:rPr>
        <w:t>July 1, 2023</w:t>
      </w:r>
      <w:r>
        <w:rPr>
          <w:rFonts w:ascii="Arial" w:hAnsi="Arial"/>
          <w:b w:val="false"/>
          <w:color w:val="000000"/>
          <w:sz w:val="20"/>
        </w:rPr>
        <w:t>___________</w:t>
        <w:br/>
        <w:t>Signature Date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ssnc-ex31_1.htm"/>
      <w:bookmarkStart w:id="22" w:name="ksssnc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CERTIFICATION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William C. Stone,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 I have reviewed this quarterly report on Form 10-Q of SS&amp;C Technologies Holdings,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tbl>
      <w:tblPr>
        <w:tblW w:w="6598" w:type="dxa"/>
        <w:jc w:val="left"/>
        <w:tblInd w:w="0" w:type="dxa"/>
        <w:tblLayout w:type="fixed"/>
        <w:tblCellMar>
          <w:top w:w="28" w:type="dxa"/>
          <w:left w:w="28" w:type="dxa"/>
          <w:bottom w:w="28" w:type="dxa"/>
          <w:right w:w="28" w:type="dxa"/>
        </w:tblCellMar>
      </w:tblPr>
      <w:tblGrid>
        <w:gridCol w:w="2101"/>
        <w:gridCol w:w="146"/>
        <w:gridCol w:w="435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 2023</w:t>
            </w:r>
          </w:p>
        </w:tc>
        <w:tc>
          <w:tcPr>
            <w:tcW w:w="146" w:type="dxa"/>
            <w:tcBorders/>
            <w:vAlign w:val="center"/>
          </w:tcPr>
          <w:p>
            <w:pPr>
              <w:pStyle w:val="TableContents"/>
              <w:bidi w:val="0"/>
              <w:spacing w:before="0" w:after="283"/>
              <w:jc w:val="left"/>
              <w:rPr/>
            </w:pPr>
            <w:r>
              <w:rPr/>
              <w:t> </w:t>
            </w:r>
          </w:p>
        </w:tc>
        <w:tc>
          <w:tcPr>
            <w:tcW w:w="43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William C. Stone</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5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William C. Stone</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51" w:type="dxa"/>
            <w:tcBorders/>
            <w:vAlign w:val="center"/>
          </w:tcPr>
          <w:p>
            <w:pPr>
              <w:pStyle w:val="TableContents"/>
              <w:bidi w:val="0"/>
              <w:jc w:val="left"/>
              <w:rPr>
                <w:rFonts w:ascii="Times New Roman" w:hAnsi="Times New Roman"/>
                <w:sz w:val="20"/>
              </w:rPr>
            </w:pPr>
            <w:r>
              <w:rPr>
                <w:rFonts w:ascii="Times New Roman" w:hAnsi="Times New Roman"/>
                <w:b w:val="false"/>
                <w:color w:val="000000"/>
                <w:sz w:val="20"/>
              </w:rPr>
              <w:t>Chairman of the Board and Chief Executive Officer</w:t>
            </w:r>
            <w:r>
              <w:rPr>
                <w:rFonts w:ascii="Times New Roman" w:hAnsi="Times New Roman"/>
                <w:color w:val="000000"/>
                <w:sz w:val="20"/>
              </w:rPr>
              <w:t xml:space="preserve"> </w:t>
            </w:r>
          </w:p>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ssnc-ex31_2.htm"/>
      <w:bookmarkStart w:id="24" w:name="ksssnc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CERTIFICATION</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 Brian N. Schell, certify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 I have reviewed this quarterly report on Form 10-Q of SS&amp;C Technologies Holdings, Inc.;</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b) Any fraud, whether or not material, that involves management or other employees who have a significant role in the registrant’s internal control over financial reporting.</w:t>
      </w:r>
    </w:p>
    <w:tbl>
      <w:tblPr>
        <w:tblW w:w="6704" w:type="dxa"/>
        <w:jc w:val="left"/>
        <w:tblInd w:w="0" w:type="dxa"/>
        <w:tblLayout w:type="fixed"/>
        <w:tblCellMar>
          <w:top w:w="28" w:type="dxa"/>
          <w:left w:w="28" w:type="dxa"/>
          <w:bottom w:w="28" w:type="dxa"/>
          <w:right w:w="28" w:type="dxa"/>
        </w:tblCellMar>
      </w:tblPr>
      <w:tblGrid>
        <w:gridCol w:w="2101"/>
        <w:gridCol w:w="146"/>
        <w:gridCol w:w="4457"/>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7"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Date: November 1, 2023</w:t>
            </w:r>
          </w:p>
        </w:tc>
        <w:tc>
          <w:tcPr>
            <w:tcW w:w="146" w:type="dxa"/>
            <w:tcBorders/>
            <w:vAlign w:val="center"/>
          </w:tcPr>
          <w:p>
            <w:pPr>
              <w:pStyle w:val="TableContents"/>
              <w:bidi w:val="0"/>
              <w:spacing w:before="0" w:after="283"/>
              <w:jc w:val="both"/>
              <w:rPr/>
            </w:pPr>
            <w:r>
              <w:rPr/>
              <w:t> </w:t>
            </w:r>
          </w:p>
        </w:tc>
        <w:tc>
          <w:tcPr>
            <w:tcW w:w="4457"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/s/ Brian N. Schell</w:t>
            </w:r>
          </w:p>
        </w:tc>
      </w:tr>
      <w:tr>
        <w:trPr/>
        <w:tc>
          <w:tcPr>
            <w:tcW w:w="210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457"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Brian N. Schell</w:t>
            </w:r>
          </w:p>
        </w:tc>
      </w:tr>
      <w:tr>
        <w:trPr/>
        <w:tc>
          <w:tcPr>
            <w:tcW w:w="2101"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4457" w:type="dxa"/>
            <w:tcBorders/>
            <w:vAlign w:val="center"/>
          </w:tcPr>
          <w:p>
            <w:pPr>
              <w:pStyle w:val="TableContents"/>
              <w:bidi w:val="0"/>
              <w:ind w:left="0" w:right="16" w:hanging="0"/>
              <w:jc w:val="left"/>
              <w:rPr>
                <w:rFonts w:ascii="Times New Roman" w:hAnsi="Times New Roman"/>
                <w:b w:val="false"/>
                <w:color w:val="000000"/>
                <w:sz w:val="20"/>
              </w:rPr>
            </w:pPr>
            <w:r>
              <w:rPr>
                <w:rFonts w:ascii="Times New Roman" w:hAnsi="Times New Roman"/>
                <w:b w:val="false"/>
                <w:color w:val="000000"/>
                <w:sz w:val="20"/>
              </w:rPr>
              <w:t>Executive Vice President and Chief Financial Officer</w:t>
            </w:r>
          </w:p>
          <w:p>
            <w:pPr>
              <w:pStyle w:val="TableContents"/>
              <w:bidi w:val="0"/>
              <w:spacing w:before="0" w:after="283"/>
              <w:ind w:left="0" w:right="16" w:hanging="0"/>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ssnc-ex32.htm"/>
      <w:bookmarkStart w:id="26" w:name="ksssncex3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CERTIFICATION PURSUANT TO 18 U.S.C. SECTION 1350,</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AS ADOPTED PURSUANT TO</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SECTION 906 OF THE SARBANES-OXLEY ACT OF 2002</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In connection with the quarterly report on Form 10-Q of SS&amp;C Technologies Holdings, Inc. (the “Company”) for the period ended September 30, 2023 as filed with the Securities and Exchange Commission on the date hereof (the “Report”), the undersigned officers of the Company hereby certify to their knowledge, pursuant to 18 U.S.C. Section 1350, that: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(2) the information contained in the Report fairly presents, in all material respects, the financial condition and results of operations of the Company.</w:t>
      </w:r>
    </w:p>
    <w:tbl>
      <w:tblPr>
        <w:tblW w:w="7121" w:type="dxa"/>
        <w:jc w:val="left"/>
        <w:tblInd w:w="0" w:type="dxa"/>
        <w:tblLayout w:type="fixed"/>
        <w:tblCellMar>
          <w:top w:w="28" w:type="dxa"/>
          <w:left w:w="28" w:type="dxa"/>
          <w:bottom w:w="28" w:type="dxa"/>
          <w:right w:w="28" w:type="dxa"/>
        </w:tblCellMar>
      </w:tblPr>
      <w:tblGrid>
        <w:gridCol w:w="2101"/>
        <w:gridCol w:w="146"/>
        <w:gridCol w:w="406"/>
        <w:gridCol w:w="146"/>
        <w:gridCol w:w="4322"/>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2"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432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William C. Stone</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22" w:type="dxa"/>
            <w:tcBorders/>
            <w:vAlign w:val="center"/>
          </w:tcPr>
          <w:p>
            <w:pPr>
              <w:pStyle w:val="TableContents"/>
              <w:bidi w:val="0"/>
              <w:spacing w:before="0" w:after="283"/>
              <w:ind w:left="0" w:right="16" w:hanging="0"/>
              <w:jc w:val="left"/>
              <w:rPr>
                <w:rFonts w:ascii="Times New Roman" w:hAnsi="Times New Roman"/>
                <w:b w:val="false"/>
                <w:color w:val="000000"/>
                <w:sz w:val="20"/>
              </w:rPr>
            </w:pPr>
            <w:r>
              <w:rPr>
                <w:rFonts w:ascii="Times New Roman" w:hAnsi="Times New Roman"/>
                <w:b w:val="false"/>
                <w:color w:val="000000"/>
                <w:sz w:val="20"/>
              </w:rPr>
              <w:t>William C. Stone</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322" w:type="dxa"/>
            <w:tcBorders/>
            <w:vAlign w:val="center"/>
          </w:tcPr>
          <w:p>
            <w:pPr>
              <w:pStyle w:val="TableContents"/>
              <w:bidi w:val="0"/>
              <w:ind w:left="0" w:right="16" w:hanging="0"/>
              <w:jc w:val="left"/>
              <w:rPr>
                <w:rFonts w:ascii="Times New Roman" w:hAnsi="Times New Roman"/>
                <w:b w:val="false"/>
                <w:color w:val="000000"/>
                <w:sz w:val="20"/>
              </w:rPr>
            </w:pPr>
            <w:r>
              <w:rPr>
                <w:rFonts w:ascii="Times New Roman" w:hAnsi="Times New Roman"/>
                <w:b w:val="false"/>
                <w:color w:val="000000"/>
                <w:sz w:val="20"/>
              </w:rPr>
              <w:t>Chairman of the Board and Chief Executive Officer</w:t>
            </w:r>
          </w:p>
          <w:p>
            <w:pPr>
              <w:pStyle w:val="TableContents"/>
              <w:bidi w:val="0"/>
              <w:spacing w:before="0" w:after="283"/>
              <w:ind w:left="0" w:right="16" w:hanging="0"/>
              <w:jc w:val="left"/>
              <w:rPr>
                <w:rFonts w:ascii="Times New Roman" w:hAnsi="Times New Roman"/>
                <w:b w:val="false"/>
                <w:color w:val="000000"/>
                <w:sz w:val="20"/>
              </w:rPr>
            </w:pPr>
            <w:r>
              <w:rPr>
                <w:rFonts w:ascii="Times New Roman" w:hAnsi="Times New Roman"/>
                <w:b w:val="false"/>
                <w:color w:val="000000"/>
                <w:sz w:val="20"/>
              </w:rPr>
              <w:t>(Principal Executive Officer)</w:t>
            </w:r>
          </w:p>
        </w:tc>
      </w:tr>
    </w:tbl>
    <w:tbl>
      <w:tblPr>
        <w:tblW w:w="7256" w:type="dxa"/>
        <w:jc w:val="left"/>
        <w:tblInd w:w="0" w:type="dxa"/>
        <w:tblLayout w:type="fixed"/>
        <w:tblCellMar>
          <w:top w:w="28" w:type="dxa"/>
          <w:left w:w="28" w:type="dxa"/>
          <w:bottom w:w="28" w:type="dxa"/>
          <w:right w:w="28" w:type="dxa"/>
        </w:tblCellMar>
      </w:tblPr>
      <w:tblGrid>
        <w:gridCol w:w="2101"/>
        <w:gridCol w:w="146"/>
        <w:gridCol w:w="406"/>
        <w:gridCol w:w="146"/>
        <w:gridCol w:w="4457"/>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7"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1, 2023</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146" w:type="dxa"/>
            <w:tcBorders/>
            <w:vAlign w:val="center"/>
          </w:tcPr>
          <w:p>
            <w:pPr>
              <w:pStyle w:val="TableContents"/>
              <w:bidi w:val="0"/>
              <w:spacing w:before="0" w:after="283"/>
              <w:jc w:val="left"/>
              <w:rPr/>
            </w:pPr>
            <w:r>
              <w:rPr/>
              <w:t> </w:t>
            </w:r>
          </w:p>
        </w:tc>
        <w:tc>
          <w:tcPr>
            <w:tcW w:w="445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Brian N. Schell</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57" w:type="dxa"/>
            <w:tcBorders/>
            <w:vAlign w:val="center"/>
          </w:tcPr>
          <w:p>
            <w:pPr>
              <w:pStyle w:val="TableContents"/>
              <w:bidi w:val="0"/>
              <w:spacing w:before="0" w:after="283"/>
              <w:ind w:left="0" w:right="16" w:hanging="0"/>
              <w:jc w:val="left"/>
              <w:rPr>
                <w:rFonts w:ascii="Times New Roman" w:hAnsi="Times New Roman"/>
                <w:b w:val="false"/>
                <w:color w:val="000000"/>
                <w:sz w:val="20"/>
              </w:rPr>
            </w:pPr>
            <w:r>
              <w:rPr>
                <w:rFonts w:ascii="Times New Roman" w:hAnsi="Times New Roman"/>
                <w:b w:val="false"/>
                <w:color w:val="000000"/>
                <w:sz w:val="20"/>
              </w:rPr>
              <w:t>Brian N. Schell</w:t>
            </w:r>
          </w:p>
        </w:tc>
      </w:tr>
      <w:tr>
        <w:trPr/>
        <w:tc>
          <w:tcPr>
            <w:tcW w:w="21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457" w:type="dxa"/>
            <w:tcBorders/>
            <w:vAlign w:val="center"/>
          </w:tcPr>
          <w:p>
            <w:pPr>
              <w:pStyle w:val="TableContents"/>
              <w:bidi w:val="0"/>
              <w:ind w:left="0" w:right="16" w:hanging="0"/>
              <w:jc w:val="left"/>
              <w:rPr>
                <w:rFonts w:ascii="Times New Roman" w:hAnsi="Times New Roman"/>
                <w:b w:val="false"/>
                <w:color w:val="000000"/>
                <w:sz w:val="20"/>
              </w:rPr>
            </w:pPr>
            <w:r>
              <w:rPr>
                <w:rFonts w:ascii="Times New Roman" w:hAnsi="Times New Roman"/>
                <w:b w:val="false"/>
                <w:color w:val="000000"/>
                <w:sz w:val="20"/>
              </w:rPr>
              <w:t>Executive Vice President and Chief Financial Officer</w:t>
            </w:r>
          </w:p>
          <w:p>
            <w:pPr>
              <w:pStyle w:val="TableContents"/>
              <w:bidi w:val="0"/>
              <w:spacing w:before="0" w:after="283"/>
              <w:ind w:left="0" w:right="16" w:hanging="0"/>
              <w:jc w:val="left"/>
              <w:rPr>
                <w:rFonts w:ascii="Times New Roman" w:hAnsi="Times New Roman"/>
                <w:b w:val="false"/>
                <w:color w:val="000000"/>
                <w:sz w:val="20"/>
              </w:rPr>
            </w:pPr>
            <w:r>
              <w:rPr>
                <w:rFonts w:ascii="Times New Roman" w:hAnsi="Times New Roman"/>
                <w:b w:val="false"/>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22972</Words>
  <Characters>125258</Characters>
  <CharactersWithSpaces>150199</CharactersWithSpaces>
  <Paragraphs>7621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