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20" w:type="dxa"/>
        <w:tblCellMar>
          <w:top w:w="0" w:type="dxa"/>
          <w:left w:w="0" w:type="dxa"/>
          <w:bottom w:w="0" w:type="dxa"/>
          <w:right w:w="0" w:type="dxa"/>
        </w:tblCellMar>
      </w:tblPr>
      <w:tr>
        <w:trPr>
          <w:trHeight w:val="378"/>
        </w:trPr>
        <w:tc>
          <w:tcPr>
            <w:tcW w:w="1140" w:type="dxa"/>
            <w:vAlign w:val="bottom"/>
          </w:tcPr>
          <w:p>
            <w:pPr>
              <w:spacing w:after="0"/>
              <w:rPr>
                <w:sz w:val="24"/>
                <w:szCs w:val="24"/>
                <w:color w:val="auto"/>
              </w:rPr>
            </w:pPr>
          </w:p>
        </w:tc>
        <w:tc>
          <w:tcPr>
            <w:tcW w:w="9860" w:type="dxa"/>
            <w:vAlign w:val="bottom"/>
            <w:gridSpan w:val="3"/>
          </w:tcPr>
          <w:p>
            <w:pPr>
              <w:jc w:val="center"/>
              <w:ind w:right="920"/>
              <w:spacing w:after="0"/>
              <w:rPr>
                <w:sz w:val="20"/>
                <w:szCs w:val="20"/>
                <w:color w:val="auto"/>
              </w:rPr>
            </w:pPr>
            <w:r>
              <w:rPr>
                <w:rFonts w:ascii="Arial" w:cs="Arial" w:eastAsia="Arial" w:hAnsi="Arial"/>
                <w:sz w:val="32"/>
                <w:szCs w:val="32"/>
                <w:b w:val="1"/>
                <w:bCs w:val="1"/>
                <w:color w:val="auto"/>
                <w:w w:val="99"/>
              </w:rPr>
              <w:t>UNITED STATES</w:t>
            </w:r>
          </w:p>
        </w:tc>
        <w:tc>
          <w:tcPr>
            <w:tcW w:w="0" w:type="dxa"/>
            <w:vAlign w:val="bottom"/>
          </w:tcPr>
          <w:p>
            <w:pPr>
              <w:spacing w:after="0"/>
              <w:rPr>
                <w:sz w:val="1"/>
                <w:szCs w:val="1"/>
                <w:color w:val="auto"/>
              </w:rPr>
            </w:pPr>
          </w:p>
        </w:tc>
      </w:tr>
      <w:tr>
        <w:trPr>
          <w:trHeight w:val="378"/>
        </w:trPr>
        <w:tc>
          <w:tcPr>
            <w:tcW w:w="1140" w:type="dxa"/>
            <w:vAlign w:val="bottom"/>
          </w:tcPr>
          <w:p>
            <w:pPr>
              <w:spacing w:after="0"/>
              <w:rPr>
                <w:sz w:val="24"/>
                <w:szCs w:val="24"/>
                <w:color w:val="auto"/>
              </w:rPr>
            </w:pPr>
          </w:p>
        </w:tc>
        <w:tc>
          <w:tcPr>
            <w:tcW w:w="9860" w:type="dxa"/>
            <w:vAlign w:val="bottom"/>
            <w:gridSpan w:val="3"/>
          </w:tcPr>
          <w:p>
            <w:pPr>
              <w:jc w:val="center"/>
              <w:ind w:right="920"/>
              <w:spacing w:after="0"/>
              <w:rPr>
                <w:sz w:val="20"/>
                <w:szCs w:val="20"/>
                <w:color w:val="auto"/>
              </w:rPr>
            </w:pPr>
            <w:r>
              <w:rPr>
                <w:rFonts w:ascii="Arial" w:cs="Arial" w:eastAsia="Arial" w:hAnsi="Arial"/>
                <w:sz w:val="32"/>
                <w:szCs w:val="32"/>
                <w:b w:val="1"/>
                <w:bCs w:val="1"/>
                <w:color w:val="auto"/>
              </w:rPr>
              <w:t>SECURITIES AND EXCHANGE COMMISSION</w:t>
            </w:r>
          </w:p>
        </w:tc>
        <w:tc>
          <w:tcPr>
            <w:tcW w:w="0" w:type="dxa"/>
            <w:vAlign w:val="bottom"/>
          </w:tcPr>
          <w:p>
            <w:pPr>
              <w:spacing w:after="0"/>
              <w:rPr>
                <w:sz w:val="1"/>
                <w:szCs w:val="1"/>
                <w:color w:val="auto"/>
              </w:rPr>
            </w:pPr>
          </w:p>
        </w:tc>
      </w:tr>
      <w:tr>
        <w:trPr>
          <w:trHeight w:val="280"/>
        </w:trPr>
        <w:tc>
          <w:tcPr>
            <w:tcW w:w="1140" w:type="dxa"/>
            <w:vAlign w:val="bottom"/>
          </w:tcPr>
          <w:p>
            <w:pPr>
              <w:spacing w:after="0"/>
              <w:rPr>
                <w:sz w:val="24"/>
                <w:szCs w:val="24"/>
                <w:color w:val="auto"/>
              </w:rPr>
            </w:pPr>
          </w:p>
        </w:tc>
        <w:tc>
          <w:tcPr>
            <w:tcW w:w="9860" w:type="dxa"/>
            <w:vAlign w:val="bottom"/>
            <w:gridSpan w:val="3"/>
          </w:tcPr>
          <w:p>
            <w:pPr>
              <w:jc w:val="center"/>
              <w:ind w:right="980"/>
              <w:spacing w:after="0"/>
              <w:rPr>
                <w:sz w:val="20"/>
                <w:szCs w:val="20"/>
                <w:color w:val="auto"/>
              </w:rPr>
            </w:pPr>
            <w:r>
              <w:rPr>
                <w:rFonts w:ascii="Arial" w:cs="Arial" w:eastAsia="Arial" w:hAnsi="Arial"/>
                <w:sz w:val="22"/>
                <w:szCs w:val="22"/>
                <w:b w:val="1"/>
                <w:bCs w:val="1"/>
                <w:color w:val="auto"/>
                <w:w w:val="89"/>
              </w:rPr>
              <w:t>Washington, D.C. 20549</w:t>
            </w:r>
          </w:p>
        </w:tc>
        <w:tc>
          <w:tcPr>
            <w:tcW w:w="0" w:type="dxa"/>
            <w:vAlign w:val="bottom"/>
          </w:tcPr>
          <w:p>
            <w:pPr>
              <w:spacing w:after="0"/>
              <w:rPr>
                <w:sz w:val="1"/>
                <w:szCs w:val="1"/>
                <w:color w:val="auto"/>
              </w:rPr>
            </w:pPr>
          </w:p>
        </w:tc>
      </w:tr>
      <w:tr>
        <w:trPr>
          <w:trHeight w:val="233"/>
        </w:trPr>
        <w:tc>
          <w:tcPr>
            <w:tcW w:w="114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2240" w:type="dxa"/>
            <w:vAlign w:val="bottom"/>
            <w:tcBorders>
              <w:bottom w:val="single" w:sz="8" w:color="auto"/>
            </w:tcBorders>
          </w:tcPr>
          <w:p>
            <w:pPr>
              <w:spacing w:after="0"/>
              <w:rPr>
                <w:sz w:val="20"/>
                <w:szCs w:val="20"/>
                <w:color w:val="auto"/>
              </w:rPr>
            </w:pPr>
          </w:p>
        </w:tc>
        <w:tc>
          <w:tcPr>
            <w:tcW w:w="4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0"/>
        </w:trPr>
        <w:tc>
          <w:tcPr>
            <w:tcW w:w="114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6520" w:type="dxa"/>
            <w:vAlign w:val="bottom"/>
            <w:gridSpan w:val="2"/>
          </w:tcPr>
          <w:p>
            <w:pPr>
              <w:jc w:val="center"/>
              <w:ind w:right="4360"/>
              <w:spacing w:after="0"/>
              <w:rPr>
                <w:sz w:val="20"/>
                <w:szCs w:val="20"/>
                <w:color w:val="auto"/>
              </w:rPr>
            </w:pPr>
            <w:r>
              <w:rPr>
                <w:rFonts w:ascii="Arial" w:cs="Arial" w:eastAsia="Arial" w:hAnsi="Arial"/>
                <w:sz w:val="32"/>
                <w:szCs w:val="32"/>
                <w:b w:val="1"/>
                <w:bCs w:val="1"/>
                <w:color w:val="auto"/>
              </w:rPr>
              <w:t>FORM 10-Q</w:t>
            </w:r>
          </w:p>
        </w:tc>
        <w:tc>
          <w:tcPr>
            <w:tcW w:w="0" w:type="dxa"/>
            <w:vAlign w:val="bottom"/>
          </w:tcPr>
          <w:p>
            <w:pPr>
              <w:spacing w:after="0"/>
              <w:rPr>
                <w:sz w:val="1"/>
                <w:szCs w:val="1"/>
                <w:color w:val="auto"/>
              </w:rPr>
            </w:pPr>
          </w:p>
        </w:tc>
      </w:tr>
      <w:tr>
        <w:trPr>
          <w:trHeight w:val="215"/>
        </w:trPr>
        <w:tc>
          <w:tcPr>
            <w:tcW w:w="1140" w:type="dxa"/>
            <w:vAlign w:val="bottom"/>
            <w:vMerge w:val="restart"/>
          </w:tcPr>
          <w:p>
            <w:pPr>
              <w:spacing w:after="0" w:line="181" w:lineRule="exact"/>
              <w:rPr>
                <w:sz w:val="20"/>
                <w:szCs w:val="20"/>
                <w:color w:val="auto"/>
              </w:rPr>
            </w:pPr>
            <w:r>
              <w:rPr>
                <w:rFonts w:ascii="MS PGothic" w:cs="MS PGothic" w:eastAsia="MS PGothic" w:hAnsi="MS PGothic"/>
                <w:sz w:val="18"/>
                <w:szCs w:val="18"/>
                <w:color w:val="auto"/>
                <w:highlight w:val="black"/>
              </w:rPr>
              <w:t>☒</w:t>
            </w:r>
          </w:p>
        </w:tc>
        <w:tc>
          <w:tcPr>
            <w:tcW w:w="3340" w:type="dxa"/>
            <w:vAlign w:val="bottom"/>
          </w:tcPr>
          <w:p>
            <w:pPr>
              <w:spacing w:after="0"/>
              <w:rPr>
                <w:sz w:val="18"/>
                <w:szCs w:val="18"/>
                <w:color w:val="auto"/>
              </w:rPr>
            </w:pPr>
          </w:p>
        </w:tc>
        <w:tc>
          <w:tcPr>
            <w:tcW w:w="2240" w:type="dxa"/>
            <w:vAlign w:val="bottom"/>
            <w:tcBorders>
              <w:bottom w:val="single" w:sz="8" w:color="auto"/>
            </w:tcBorders>
          </w:tcPr>
          <w:p>
            <w:pPr>
              <w:spacing w:after="0"/>
              <w:rPr>
                <w:sz w:val="18"/>
                <w:szCs w:val="18"/>
                <w:color w:val="auto"/>
              </w:rPr>
            </w:pPr>
          </w:p>
        </w:tc>
        <w:tc>
          <w:tcPr>
            <w:tcW w:w="4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40" w:type="dxa"/>
            <w:vAlign w:val="bottom"/>
            <w:vMerge w:val="continue"/>
          </w:tcPr>
          <w:p>
            <w:pPr>
              <w:spacing w:after="0"/>
              <w:rPr>
                <w:sz w:val="17"/>
                <w:szCs w:val="17"/>
                <w:color w:val="auto"/>
              </w:rPr>
            </w:pPr>
          </w:p>
        </w:tc>
        <w:tc>
          <w:tcPr>
            <w:tcW w:w="3340" w:type="dxa"/>
            <w:vAlign w:val="bottom"/>
          </w:tcPr>
          <w:p>
            <w:pPr>
              <w:spacing w:after="0"/>
              <w:rPr>
                <w:sz w:val="17"/>
                <w:szCs w:val="17"/>
                <w:color w:val="auto"/>
              </w:rPr>
            </w:pPr>
          </w:p>
        </w:tc>
        <w:tc>
          <w:tcPr>
            <w:tcW w:w="6520" w:type="dxa"/>
            <w:vAlign w:val="bottom"/>
            <w:gridSpan w:val="2"/>
          </w:tcPr>
          <w:p>
            <w:pPr>
              <w:ind w:left="400"/>
              <w:spacing w:after="0" w:line="195" w:lineRule="exact"/>
              <w:rPr>
                <w:sz w:val="20"/>
                <w:szCs w:val="20"/>
                <w:color w:val="auto"/>
              </w:rPr>
            </w:pPr>
            <w:r>
              <w:rPr>
                <w:rFonts w:ascii="Arial" w:cs="Arial" w:eastAsia="Arial" w:hAnsi="Arial"/>
                <w:sz w:val="22"/>
                <w:szCs w:val="22"/>
                <w:b w:val="1"/>
                <w:bCs w:val="1"/>
                <w:color w:val="auto"/>
                <w:w w:val="96"/>
              </w:rPr>
              <w:t>QUARTERLY REPORT PURSUANT TO SECTION 13 OR 15(d)</w:t>
            </w:r>
          </w:p>
        </w:tc>
        <w:tc>
          <w:tcPr>
            <w:tcW w:w="0" w:type="dxa"/>
            <w:vAlign w:val="bottom"/>
          </w:tcPr>
          <w:p>
            <w:pPr>
              <w:spacing w:after="0"/>
              <w:rPr>
                <w:sz w:val="1"/>
                <w:szCs w:val="1"/>
                <w:color w:val="auto"/>
              </w:rPr>
            </w:pPr>
          </w:p>
        </w:tc>
      </w:tr>
      <w:tr>
        <w:trPr>
          <w:trHeight w:val="280"/>
        </w:trPr>
        <w:tc>
          <w:tcPr>
            <w:tcW w:w="114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6520" w:type="dxa"/>
            <w:vAlign w:val="bottom"/>
            <w:gridSpan w:val="2"/>
          </w:tcPr>
          <w:p>
            <w:pPr>
              <w:ind w:left="400"/>
              <w:spacing w:after="0"/>
              <w:rPr>
                <w:sz w:val="20"/>
                <w:szCs w:val="20"/>
                <w:color w:val="auto"/>
              </w:rPr>
            </w:pPr>
            <w:r>
              <w:rPr>
                <w:rFonts w:ascii="Arial" w:cs="Arial" w:eastAsia="Arial" w:hAnsi="Arial"/>
                <w:sz w:val="22"/>
                <w:szCs w:val="22"/>
                <w:b w:val="1"/>
                <w:bCs w:val="1"/>
                <w:color w:val="auto"/>
              </w:rPr>
              <w:t>OF THE SECURITIES EXCHANGE ACT OF 1934</w:t>
            </w:r>
          </w:p>
        </w:tc>
        <w:tc>
          <w:tcPr>
            <w:tcW w:w="0" w:type="dxa"/>
            <w:vAlign w:val="bottom"/>
          </w:tcPr>
          <w:p>
            <w:pPr>
              <w:spacing w:after="0"/>
              <w:rPr>
                <w:sz w:val="1"/>
                <w:szCs w:val="1"/>
                <w:color w:val="auto"/>
              </w:rPr>
            </w:pPr>
          </w:p>
        </w:tc>
      </w:tr>
      <w:tr>
        <w:trPr>
          <w:trHeight w:val="422"/>
        </w:trPr>
        <w:tc>
          <w:tcPr>
            <w:tcW w:w="1140" w:type="dxa"/>
            <w:vAlign w:val="bottom"/>
          </w:tcPr>
          <w:p>
            <w:pPr>
              <w:spacing w:after="0"/>
              <w:rPr>
                <w:sz w:val="24"/>
                <w:szCs w:val="24"/>
                <w:color w:val="auto"/>
              </w:rPr>
            </w:pPr>
          </w:p>
        </w:tc>
        <w:tc>
          <w:tcPr>
            <w:tcW w:w="9860" w:type="dxa"/>
            <w:vAlign w:val="bottom"/>
            <w:gridSpan w:val="3"/>
          </w:tcPr>
          <w:p>
            <w:pPr>
              <w:jc w:val="center"/>
              <w:ind w:right="920"/>
              <w:spacing w:after="0"/>
              <w:rPr>
                <w:sz w:val="20"/>
                <w:szCs w:val="20"/>
                <w:color w:val="auto"/>
              </w:rPr>
            </w:pPr>
            <w:r>
              <w:rPr>
                <w:rFonts w:ascii="Arial" w:cs="Arial" w:eastAsia="Arial" w:hAnsi="Arial"/>
                <w:sz w:val="18"/>
                <w:szCs w:val="18"/>
                <w:b w:val="1"/>
                <w:bCs w:val="1"/>
                <w:color w:val="auto"/>
                <w:w w:val="90"/>
              </w:rPr>
              <w:t>For the quarterly period ended September 30, 2022</w:t>
            </w:r>
          </w:p>
        </w:tc>
        <w:tc>
          <w:tcPr>
            <w:tcW w:w="0" w:type="dxa"/>
            <w:vAlign w:val="bottom"/>
          </w:tcPr>
          <w:p>
            <w:pPr>
              <w:spacing w:after="0"/>
              <w:rPr>
                <w:sz w:val="1"/>
                <w:szCs w:val="1"/>
                <w:color w:val="auto"/>
              </w:rPr>
            </w:pPr>
          </w:p>
        </w:tc>
      </w:tr>
      <w:tr>
        <w:trPr>
          <w:trHeight w:val="405"/>
        </w:trPr>
        <w:tc>
          <w:tcPr>
            <w:tcW w:w="1140" w:type="dxa"/>
            <w:vAlign w:val="bottom"/>
          </w:tcPr>
          <w:p>
            <w:pPr>
              <w:spacing w:after="0" w:line="181" w:lineRule="exact"/>
              <w:rPr>
                <w:sz w:val="20"/>
                <w:szCs w:val="20"/>
                <w:color w:val="auto"/>
              </w:rPr>
            </w:pPr>
            <w:r>
              <w:rPr>
                <w:rFonts w:ascii="MS PGothic" w:cs="MS PGothic" w:eastAsia="MS PGothic" w:hAnsi="MS PGothic"/>
                <w:sz w:val="18"/>
                <w:szCs w:val="18"/>
                <w:color w:val="auto"/>
                <w:highlight w:val="black"/>
              </w:rPr>
              <w:t>☐</w:t>
            </w:r>
          </w:p>
        </w:tc>
        <w:tc>
          <w:tcPr>
            <w:tcW w:w="3340" w:type="dxa"/>
            <w:vAlign w:val="bottom"/>
          </w:tcPr>
          <w:p>
            <w:pPr>
              <w:spacing w:after="0"/>
              <w:rPr>
                <w:sz w:val="24"/>
                <w:szCs w:val="24"/>
                <w:color w:val="auto"/>
              </w:rPr>
            </w:pPr>
          </w:p>
        </w:tc>
        <w:tc>
          <w:tcPr>
            <w:tcW w:w="6520" w:type="dxa"/>
            <w:vAlign w:val="bottom"/>
            <w:gridSpan w:val="2"/>
          </w:tcPr>
          <w:p>
            <w:pPr>
              <w:ind w:left="400"/>
              <w:spacing w:after="0"/>
              <w:rPr>
                <w:sz w:val="20"/>
                <w:szCs w:val="20"/>
                <w:color w:val="auto"/>
              </w:rPr>
            </w:pPr>
            <w:r>
              <w:rPr>
                <w:rFonts w:ascii="Arial" w:cs="Arial" w:eastAsia="Arial" w:hAnsi="Arial"/>
                <w:sz w:val="22"/>
                <w:szCs w:val="22"/>
                <w:b w:val="1"/>
                <w:bCs w:val="1"/>
                <w:color w:val="auto"/>
                <w:w w:val="96"/>
              </w:rPr>
              <w:t>TRANSITION REPORT PURSUANT TO SECTION 13 OR 15(d)</w:t>
            </w:r>
          </w:p>
        </w:tc>
        <w:tc>
          <w:tcPr>
            <w:tcW w:w="0" w:type="dxa"/>
            <w:vAlign w:val="bottom"/>
          </w:tcPr>
          <w:p>
            <w:pPr>
              <w:spacing w:after="0"/>
              <w:rPr>
                <w:sz w:val="1"/>
                <w:szCs w:val="1"/>
                <w:color w:val="auto"/>
              </w:rPr>
            </w:pPr>
          </w:p>
        </w:tc>
      </w:tr>
      <w:tr>
        <w:trPr>
          <w:trHeight w:val="280"/>
        </w:trPr>
        <w:tc>
          <w:tcPr>
            <w:tcW w:w="114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6520" w:type="dxa"/>
            <w:vAlign w:val="bottom"/>
            <w:gridSpan w:val="2"/>
          </w:tcPr>
          <w:p>
            <w:pPr>
              <w:ind w:left="400"/>
              <w:spacing w:after="0"/>
              <w:rPr>
                <w:sz w:val="20"/>
                <w:szCs w:val="20"/>
                <w:color w:val="auto"/>
              </w:rPr>
            </w:pPr>
            <w:r>
              <w:rPr>
                <w:rFonts w:ascii="Arial" w:cs="Arial" w:eastAsia="Arial" w:hAnsi="Arial"/>
                <w:sz w:val="22"/>
                <w:szCs w:val="22"/>
                <w:b w:val="1"/>
                <w:bCs w:val="1"/>
                <w:color w:val="auto"/>
              </w:rPr>
              <w:t>OF THE SECURITIES EXCHANGE ACT OF 1934</w:t>
            </w:r>
          </w:p>
        </w:tc>
        <w:tc>
          <w:tcPr>
            <w:tcW w:w="0" w:type="dxa"/>
            <w:vAlign w:val="bottom"/>
          </w:tcPr>
          <w:p>
            <w:pPr>
              <w:spacing w:after="0"/>
              <w:rPr>
                <w:sz w:val="1"/>
                <w:szCs w:val="1"/>
                <w:color w:val="auto"/>
              </w:rPr>
            </w:pPr>
          </w:p>
        </w:tc>
      </w:tr>
      <w:tr>
        <w:trPr>
          <w:trHeight w:val="404"/>
        </w:trPr>
        <w:tc>
          <w:tcPr>
            <w:tcW w:w="1140" w:type="dxa"/>
            <w:vAlign w:val="bottom"/>
          </w:tcPr>
          <w:p>
            <w:pPr>
              <w:spacing w:after="0"/>
              <w:rPr>
                <w:sz w:val="24"/>
                <w:szCs w:val="24"/>
                <w:color w:val="auto"/>
              </w:rPr>
            </w:pPr>
          </w:p>
        </w:tc>
        <w:tc>
          <w:tcPr>
            <w:tcW w:w="9860" w:type="dxa"/>
            <w:vAlign w:val="bottom"/>
            <w:gridSpan w:val="3"/>
          </w:tcPr>
          <w:p>
            <w:pPr>
              <w:ind w:left="2860"/>
              <w:spacing w:after="0"/>
              <w:rPr>
                <w:sz w:val="20"/>
                <w:szCs w:val="20"/>
                <w:color w:val="auto"/>
              </w:rPr>
            </w:pPr>
            <w:r>
              <w:rPr>
                <w:rFonts w:ascii="Arial" w:cs="Arial" w:eastAsia="Arial" w:hAnsi="Arial"/>
                <w:sz w:val="18"/>
                <w:szCs w:val="18"/>
                <w:b w:val="1"/>
                <w:bCs w:val="1"/>
                <w:color w:val="auto"/>
                <w:w w:val="82"/>
              </w:rPr>
              <w:t>For the transition period fromto</w:t>
            </w:r>
          </w:p>
        </w:tc>
        <w:tc>
          <w:tcPr>
            <w:tcW w:w="0" w:type="dxa"/>
            <w:vAlign w:val="bottom"/>
          </w:tcPr>
          <w:p>
            <w:pPr>
              <w:spacing w:after="0"/>
              <w:rPr>
                <w:sz w:val="1"/>
                <w:szCs w:val="1"/>
                <w:color w:val="auto"/>
              </w:rPr>
            </w:pPr>
          </w:p>
        </w:tc>
      </w:tr>
      <w:tr>
        <w:trPr>
          <w:trHeight w:val="234"/>
        </w:trPr>
        <w:tc>
          <w:tcPr>
            <w:tcW w:w="1140" w:type="dxa"/>
            <w:vAlign w:val="bottom"/>
          </w:tcPr>
          <w:p>
            <w:pPr>
              <w:spacing w:after="0"/>
              <w:rPr>
                <w:sz w:val="20"/>
                <w:szCs w:val="20"/>
                <w:color w:val="auto"/>
              </w:rPr>
            </w:pPr>
          </w:p>
        </w:tc>
        <w:tc>
          <w:tcPr>
            <w:tcW w:w="9860" w:type="dxa"/>
            <w:vAlign w:val="bottom"/>
            <w:gridSpan w:val="3"/>
          </w:tcPr>
          <w:p>
            <w:pPr>
              <w:jc w:val="center"/>
              <w:ind w:right="940"/>
              <w:spacing w:after="0"/>
              <w:rPr>
                <w:sz w:val="20"/>
                <w:szCs w:val="20"/>
                <w:color w:val="auto"/>
              </w:rPr>
            </w:pPr>
            <w:r>
              <w:rPr>
                <w:rFonts w:ascii="Arial" w:cs="Arial" w:eastAsia="Arial" w:hAnsi="Arial"/>
                <w:sz w:val="18"/>
                <w:szCs w:val="18"/>
                <w:b w:val="1"/>
                <w:bCs w:val="1"/>
                <w:color w:val="auto"/>
                <w:w w:val="90"/>
              </w:rPr>
              <w:t>Commission File Number 001-34675</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2240" w:type="dxa"/>
            <w:vAlign w:val="bottom"/>
            <w:tcBorders>
              <w:bottom w:val="single" w:sz="8" w:color="auto"/>
            </w:tcBorders>
          </w:tcPr>
          <w:p>
            <w:pPr>
              <w:spacing w:after="0"/>
              <w:rPr>
                <w:sz w:val="18"/>
                <w:szCs w:val="18"/>
                <w:color w:val="auto"/>
              </w:rPr>
            </w:pPr>
          </w:p>
        </w:tc>
        <w:tc>
          <w:tcPr>
            <w:tcW w:w="42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363220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2611120</wp:posOffset>
            </wp:positionH>
            <wp:positionV relativeFrom="paragraph">
              <wp:posOffset>68580</wp:posOffset>
            </wp:positionV>
            <wp:extent cx="1885950" cy="1020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85950" cy="10204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400"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SS&amp;C TECHNOLOGIES HOLDINGS,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141605</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ectPr>
          <w:pgSz w:w="11900" w:h="16838" w:orient="portrait"/>
          <w:cols w:equalWidth="0" w:num="1">
            <w:col w:w="11180"/>
          </w:cols>
          <w:pgMar w:left="320" w:top="611" w:right="399" w:bottom="1440" w:gutter="0" w:footer="0" w:header="0"/>
        </w:sectPr>
      </w:pPr>
    </w:p>
    <w:p>
      <w:pPr>
        <w:spacing w:after="0" w:line="200" w:lineRule="exact"/>
        <w:rPr>
          <w:sz w:val="24"/>
          <w:szCs w:val="24"/>
          <w:color w:val="auto"/>
        </w:rPr>
      </w:pPr>
    </w:p>
    <w:p>
      <w:pPr>
        <w:spacing w:after="0" w:line="221" w:lineRule="exact"/>
        <w:rPr>
          <w:sz w:val="24"/>
          <w:szCs w:val="24"/>
          <w:color w:val="auto"/>
        </w:rPr>
      </w:pPr>
    </w:p>
    <w:p>
      <w:pPr>
        <w:ind w:left="240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1"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71-0987913</w:t>
      </w:r>
    </w:p>
    <w:p>
      <w:pPr>
        <w:spacing w:after="0" w:line="42" w:lineRule="exact"/>
        <w:rPr>
          <w:sz w:val="24"/>
          <w:szCs w:val="24"/>
          <w:color w:val="auto"/>
        </w:rPr>
      </w:pPr>
    </w:p>
    <w:p>
      <w:pPr>
        <w:sectPr>
          <w:pgSz w:w="11900" w:h="16838" w:orient="portrait"/>
          <w:cols w:equalWidth="0" w:num="2">
            <w:col w:w="7340" w:space="720"/>
            <w:col w:w="3120"/>
          </w:cols>
          <w:pgMar w:left="320" w:top="611" w:right="399" w:bottom="1440" w:gutter="0" w:footer="0" w:header="0"/>
          <w:type w:val="continuous"/>
        </w:sectPr>
      </w:pPr>
    </w:p>
    <w:p>
      <w:pPr>
        <w:ind w:left="2080"/>
        <w:spacing w:after="0"/>
        <w:rPr>
          <w:sz w:val="20"/>
          <w:szCs w:val="20"/>
          <w:color w:val="auto"/>
        </w:rPr>
      </w:pPr>
      <w:r>
        <w:rPr>
          <w:rFonts w:ascii="Arial" w:cs="Arial" w:eastAsia="Arial" w:hAnsi="Arial"/>
          <w:sz w:val="10"/>
          <w:szCs w:val="10"/>
          <w:b w:val="1"/>
          <w:bCs w:val="1"/>
          <w:color w:val="auto"/>
        </w:rPr>
        <w:t>(State or other jurisdiction of</w:t>
      </w:r>
    </w:p>
    <w:p>
      <w:pPr>
        <w:ind w:left="2060"/>
        <w:spacing w:after="0"/>
        <w:rPr>
          <w:sz w:val="20"/>
          <w:szCs w:val="20"/>
          <w:color w:val="auto"/>
        </w:rPr>
      </w:pPr>
      <w:r>
        <w:rPr>
          <w:rFonts w:ascii="Arial" w:cs="Arial" w:eastAsia="Arial" w:hAnsi="Arial"/>
          <w:sz w:val="9"/>
          <w:szCs w:val="9"/>
          <w:b w:val="1"/>
          <w:bCs w:val="1"/>
          <w:color w:val="auto"/>
        </w:rPr>
        <w:t>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0"/>
          <w:szCs w:val="10"/>
          <w:b w:val="1"/>
          <w:bCs w:val="1"/>
          <w:color w:val="auto"/>
        </w:rPr>
        <w:t>(I.R.S. Employer</w:t>
      </w:r>
    </w:p>
    <w:p>
      <w:pPr>
        <w:spacing w:after="0"/>
        <w:rPr>
          <w:sz w:val="20"/>
          <w:szCs w:val="20"/>
          <w:color w:val="auto"/>
        </w:rPr>
      </w:pPr>
      <w:r>
        <w:rPr>
          <w:rFonts w:ascii="Arial" w:cs="Arial" w:eastAsia="Arial" w:hAnsi="Arial"/>
          <w:sz w:val="10"/>
          <w:szCs w:val="10"/>
          <w:b w:val="1"/>
          <w:bCs w:val="1"/>
          <w:color w:val="auto"/>
        </w:rPr>
        <w:t>Identification No.)</w:t>
      </w:r>
    </w:p>
    <w:p>
      <w:pPr>
        <w:spacing w:after="0" w:line="13" w:lineRule="exact"/>
        <w:rPr>
          <w:sz w:val="24"/>
          <w:szCs w:val="24"/>
          <w:color w:val="auto"/>
        </w:rPr>
      </w:pPr>
    </w:p>
    <w:p>
      <w:pPr>
        <w:sectPr>
          <w:pgSz w:w="11900" w:h="16838" w:orient="portrait"/>
          <w:cols w:equalWidth="0" w:num="2">
            <w:col w:w="7340" w:space="720"/>
            <w:col w:w="3120"/>
          </w:cols>
          <w:pgMar w:left="320" w:top="611" w:right="399" w:bottom="1440" w:gutter="0" w:footer="0" w:header="0"/>
          <w:type w:val="continuous"/>
        </w:sectPr>
      </w:pPr>
    </w:p>
    <w:p>
      <w:pPr>
        <w:ind w:left="5000"/>
        <w:spacing w:after="0"/>
        <w:rPr>
          <w:sz w:val="20"/>
          <w:szCs w:val="20"/>
          <w:color w:val="auto"/>
        </w:rPr>
      </w:pPr>
      <w:r>
        <w:rPr>
          <w:rFonts w:ascii="Arial" w:cs="Arial" w:eastAsia="Arial" w:hAnsi="Arial"/>
          <w:sz w:val="14"/>
          <w:szCs w:val="14"/>
          <w:b w:val="1"/>
          <w:bCs w:val="1"/>
          <w:color w:val="auto"/>
        </w:rPr>
        <w:t>80 Lamberton Road</w:t>
      </w:r>
    </w:p>
    <w:p>
      <w:pPr>
        <w:spacing w:after="0" w:line="16" w:lineRule="exact"/>
        <w:rPr>
          <w:sz w:val="24"/>
          <w:szCs w:val="24"/>
          <w:color w:val="auto"/>
        </w:rPr>
      </w:pPr>
    </w:p>
    <w:p>
      <w:pPr>
        <w:ind w:left="5020"/>
        <w:spacing w:after="0"/>
        <w:rPr>
          <w:sz w:val="20"/>
          <w:szCs w:val="20"/>
          <w:color w:val="auto"/>
        </w:rPr>
      </w:pPr>
      <w:r>
        <w:rPr>
          <w:rFonts w:ascii="Arial" w:cs="Arial" w:eastAsia="Arial" w:hAnsi="Arial"/>
          <w:sz w:val="14"/>
          <w:szCs w:val="14"/>
          <w:b w:val="1"/>
          <w:bCs w:val="1"/>
          <w:color w:val="auto"/>
        </w:rPr>
        <w:t>Windsor, CT 06095</w:t>
      </w:r>
    </w:p>
    <w:p>
      <w:pPr>
        <w:spacing w:after="0" w:line="6" w:lineRule="exact"/>
        <w:rPr>
          <w:sz w:val="24"/>
          <w:szCs w:val="24"/>
          <w:color w:val="auto"/>
        </w:rPr>
      </w:pPr>
    </w:p>
    <w:p>
      <w:pPr>
        <w:jc w:val="center"/>
        <w:ind w:right="-59"/>
        <w:spacing w:after="0"/>
        <w:rPr>
          <w:sz w:val="20"/>
          <w:szCs w:val="20"/>
          <w:color w:val="auto"/>
        </w:rPr>
      </w:pPr>
      <w:r>
        <w:rPr>
          <w:rFonts w:ascii="Arial" w:cs="Arial" w:eastAsia="Arial" w:hAnsi="Arial"/>
          <w:sz w:val="9"/>
          <w:szCs w:val="9"/>
          <w:b w:val="1"/>
          <w:bCs w:val="1"/>
          <w:color w:val="auto"/>
        </w:rPr>
        <w:t>(Address of principal executive offices, including zip code)</w:t>
      </w:r>
    </w:p>
    <w:p>
      <w:pPr>
        <w:spacing w:after="0" w:line="119"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860-298-4500</w:t>
      </w:r>
    </w:p>
    <w:p>
      <w:pPr>
        <w:spacing w:after="0" w:line="22" w:lineRule="exact"/>
        <w:rPr>
          <w:sz w:val="24"/>
          <w:szCs w:val="24"/>
          <w:color w:val="auto"/>
        </w:rPr>
      </w:pPr>
    </w:p>
    <w:p>
      <w:pPr>
        <w:jc w:val="center"/>
        <w:ind w:right="-59"/>
        <w:spacing w:after="0"/>
        <w:rPr>
          <w:sz w:val="20"/>
          <w:szCs w:val="20"/>
          <w:color w:val="auto"/>
        </w:rPr>
      </w:pPr>
      <w:r>
        <w:rPr>
          <w:rFonts w:ascii="Arial" w:cs="Arial" w:eastAsia="Arial" w:hAnsi="Arial"/>
          <w:sz w:val="10"/>
          <w:szCs w:val="10"/>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151130</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ectPr>
          <w:pgSz w:w="11900" w:h="16838" w:orient="portrait"/>
          <w:cols w:equalWidth="0" w:num="1">
            <w:col w:w="11180"/>
          </w:cols>
          <w:pgMar w:left="320" w:top="611" w:right="399" w:bottom="1440" w:gutter="0" w:footer="0" w:header="0"/>
          <w:type w:val="continuous"/>
        </w:sectPr>
      </w:pPr>
    </w:p>
    <w:p>
      <w:pPr>
        <w:spacing w:after="0" w:line="300" w:lineRule="exact"/>
        <w:rPr>
          <w:sz w:val="24"/>
          <w:szCs w:val="24"/>
          <w:color w:val="auto"/>
        </w:rPr>
      </w:pPr>
    </w:p>
    <w:p>
      <w:pPr>
        <w:ind w:right="20" w:firstLine="509"/>
        <w:spacing w:after="0" w:line="181"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85" w:lineRule="exact"/>
        <w:rPr>
          <w:sz w:val="24"/>
          <w:szCs w:val="24"/>
          <w:color w:val="auto"/>
        </w:rPr>
      </w:pPr>
    </w:p>
    <w:p>
      <w:pPr>
        <w:ind w:right="160" w:firstLine="509"/>
        <w:spacing w:after="0" w:line="181" w:lineRule="exact"/>
        <w:rPr>
          <w:sz w:val="20"/>
          <w:szCs w:val="20"/>
          <w:color w:val="auto"/>
        </w:rPr>
      </w:pPr>
      <w:r>
        <w:rPr>
          <w:rFonts w:ascii="Arial" w:cs="Arial" w:eastAsia="Arial" w:hAnsi="Arial"/>
          <w:sz w:val="13"/>
          <w:szCs w:val="13"/>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72" w:lineRule="exact"/>
        <w:rPr>
          <w:sz w:val="24"/>
          <w:szCs w:val="24"/>
          <w:color w:val="auto"/>
        </w:rPr>
      </w:pPr>
    </w:p>
    <w:p>
      <w:pPr>
        <w:ind w:right="100" w:firstLine="509"/>
        <w:spacing w:after="0" w:line="312"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286" w:lineRule="exact"/>
        <w:rPr>
          <w:sz w:val="24"/>
          <w:szCs w:val="24"/>
          <w:color w:val="auto"/>
        </w:rPr>
      </w:pPr>
    </w:p>
    <w:tbl>
      <w:tblPr>
        <w:tblLayout w:type="fixed"/>
        <w:tblInd w:w="20" w:type="dxa"/>
        <w:tblCellMar>
          <w:top w:w="0" w:type="dxa"/>
          <w:left w:w="0" w:type="dxa"/>
          <w:bottom w:w="0" w:type="dxa"/>
          <w:right w:w="0" w:type="dxa"/>
        </w:tblCellMar>
      </w:tblPr>
      <w:tr>
        <w:trPr>
          <w:trHeight w:val="226"/>
        </w:trPr>
        <w:tc>
          <w:tcPr>
            <w:tcW w:w="168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660" w:type="dxa"/>
            <w:vAlign w:val="bottom"/>
          </w:tcPr>
          <w:p>
            <w:pPr>
              <w:ind w:left="380"/>
              <w:spacing w:after="0" w:line="141" w:lineRule="exact"/>
              <w:rPr>
                <w:sz w:val="20"/>
                <w:szCs w:val="20"/>
                <w:color w:val="auto"/>
              </w:rPr>
            </w:pPr>
            <w:r>
              <w:rPr>
                <w:rFonts w:ascii="MS PGothic" w:cs="MS PGothic" w:eastAsia="MS PGothic" w:hAnsi="MS PGothic"/>
                <w:sz w:val="14"/>
                <w:szCs w:val="14"/>
                <w:color w:val="auto"/>
              </w:rPr>
              <w:t>☒</w:t>
            </w:r>
          </w:p>
        </w:tc>
        <w:tc>
          <w:tcPr>
            <w:tcW w:w="5220" w:type="dxa"/>
            <w:vAlign w:val="bottom"/>
          </w:tcPr>
          <w:p>
            <w:pPr>
              <w:ind w:left="3160"/>
              <w:spacing w:after="0"/>
              <w:rPr>
                <w:sz w:val="20"/>
                <w:szCs w:val="20"/>
                <w:color w:val="auto"/>
              </w:rPr>
            </w:pPr>
            <w:r>
              <w:rPr>
                <w:rFonts w:ascii="Arial" w:cs="Arial" w:eastAsia="Arial" w:hAnsi="Arial"/>
                <w:sz w:val="14"/>
                <w:szCs w:val="14"/>
                <w:color w:val="auto"/>
              </w:rPr>
              <w:t>Accelerated filer</w:t>
            </w:r>
          </w:p>
        </w:tc>
        <w:tc>
          <w:tcPr>
            <w:tcW w:w="600" w:type="dxa"/>
            <w:vAlign w:val="bottom"/>
          </w:tcPr>
          <w:p>
            <w:pPr>
              <w:ind w:left="4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74"/>
        </w:trPr>
        <w:tc>
          <w:tcPr>
            <w:tcW w:w="1680" w:type="dxa"/>
            <w:vAlign w:val="bottom"/>
          </w:tcPr>
          <w:p>
            <w:pPr>
              <w:spacing w:after="0"/>
              <w:rPr>
                <w:sz w:val="20"/>
                <w:szCs w:val="20"/>
                <w:color w:val="auto"/>
              </w:rPr>
            </w:pPr>
            <w:r>
              <w:rPr>
                <w:rFonts w:ascii="Arial" w:cs="Arial" w:eastAsia="Arial" w:hAnsi="Arial"/>
                <w:sz w:val="14"/>
                <w:szCs w:val="14"/>
                <w:color w:val="auto"/>
              </w:rPr>
              <w:t>Non-accelerated filer</w:t>
            </w:r>
          </w:p>
        </w:tc>
        <w:tc>
          <w:tcPr>
            <w:tcW w:w="3660" w:type="dxa"/>
            <w:vAlign w:val="bottom"/>
          </w:tcPr>
          <w:p>
            <w:pPr>
              <w:ind w:left="380"/>
              <w:spacing w:after="0" w:line="141" w:lineRule="exact"/>
              <w:rPr>
                <w:sz w:val="20"/>
                <w:szCs w:val="20"/>
                <w:color w:val="auto"/>
              </w:rPr>
            </w:pPr>
            <w:r>
              <w:rPr>
                <w:rFonts w:ascii="MS PGothic" w:cs="MS PGothic" w:eastAsia="MS PGothic" w:hAnsi="MS PGothic"/>
                <w:sz w:val="14"/>
                <w:szCs w:val="14"/>
                <w:color w:val="auto"/>
              </w:rPr>
              <w:t>☐</w:t>
            </w:r>
          </w:p>
        </w:tc>
        <w:tc>
          <w:tcPr>
            <w:tcW w:w="5220" w:type="dxa"/>
            <w:vAlign w:val="bottom"/>
          </w:tcPr>
          <w:p>
            <w:pPr>
              <w:ind w:left="3160"/>
              <w:spacing w:after="0"/>
              <w:rPr>
                <w:sz w:val="20"/>
                <w:szCs w:val="20"/>
                <w:color w:val="auto"/>
              </w:rPr>
            </w:pPr>
            <w:r>
              <w:rPr>
                <w:rFonts w:ascii="Arial" w:cs="Arial" w:eastAsia="Arial" w:hAnsi="Arial"/>
                <w:sz w:val="14"/>
                <w:szCs w:val="14"/>
                <w:color w:val="auto"/>
              </w:rPr>
              <w:t>Smaller reporting company</w:t>
            </w:r>
          </w:p>
        </w:tc>
        <w:tc>
          <w:tcPr>
            <w:tcW w:w="600" w:type="dxa"/>
            <w:vAlign w:val="bottom"/>
          </w:tcPr>
          <w:p>
            <w:pPr>
              <w:ind w:left="4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26"/>
        </w:trPr>
        <w:tc>
          <w:tcPr>
            <w:tcW w:w="168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5220" w:type="dxa"/>
            <w:vAlign w:val="bottom"/>
          </w:tcPr>
          <w:p>
            <w:pPr>
              <w:ind w:left="3160"/>
              <w:spacing w:after="0"/>
              <w:rPr>
                <w:sz w:val="20"/>
                <w:szCs w:val="20"/>
                <w:color w:val="auto"/>
              </w:rPr>
            </w:pPr>
            <w:r>
              <w:rPr>
                <w:rFonts w:ascii="Arial" w:cs="Arial" w:eastAsia="Arial" w:hAnsi="Arial"/>
                <w:sz w:val="14"/>
                <w:szCs w:val="14"/>
                <w:color w:val="auto"/>
              </w:rPr>
              <w:t>Emerging growth company</w:t>
            </w:r>
          </w:p>
        </w:tc>
        <w:tc>
          <w:tcPr>
            <w:tcW w:w="600" w:type="dxa"/>
            <w:vAlign w:val="bottom"/>
          </w:tcPr>
          <w:p>
            <w:pPr>
              <w:ind w:left="48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72" w:lineRule="exact"/>
        <w:rPr>
          <w:sz w:val="24"/>
          <w:szCs w:val="24"/>
          <w:color w:val="auto"/>
        </w:rPr>
      </w:pPr>
    </w:p>
    <w:p>
      <w:pPr>
        <w:jc w:val="both"/>
        <w:ind w:firstLine="509"/>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45" w:lineRule="exact"/>
        <w:rPr>
          <w:sz w:val="24"/>
          <w:szCs w:val="24"/>
          <w:color w:val="auto"/>
        </w:rPr>
      </w:pPr>
    </w:p>
    <w:p>
      <w:pPr>
        <w:ind w:left="520"/>
        <w:spacing w:after="0" w:line="161" w:lineRule="exact"/>
        <w:tabs>
          <w:tab w:leader="none" w:pos="7180" w:val="left"/>
          <w:tab w:leader="none" w:pos="7740" w:val="left"/>
        </w:tabs>
        <w:rPr>
          <w:sz w:val="20"/>
          <w:szCs w:val="20"/>
          <w:color w:val="auto"/>
        </w:rPr>
      </w:pPr>
      <w:r>
        <w:rPr>
          <w:rFonts w:ascii="Arial" w:cs="Arial" w:eastAsia="Arial" w:hAnsi="Arial"/>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150" w:lineRule="exact"/>
        <w:rPr>
          <w:sz w:val="24"/>
          <w:szCs w:val="24"/>
          <w:color w:val="auto"/>
        </w:rPr>
      </w:pPr>
    </w:p>
    <w:p>
      <w:pPr>
        <w:ind w:left="4220"/>
        <w:spacing w:after="0"/>
        <w:rPr>
          <w:sz w:val="20"/>
          <w:szCs w:val="20"/>
          <w:color w:val="auto"/>
        </w:rPr>
      </w:pPr>
      <w:r>
        <w:rPr>
          <w:rFonts w:ascii="Arial" w:cs="Arial" w:eastAsia="Arial" w:hAnsi="Arial"/>
          <w:sz w:val="14"/>
          <w:szCs w:val="14"/>
          <w:color w:val="auto"/>
        </w:rPr>
        <w:t>Securities registered pursuant to Section 12(b) of the Act:</w:t>
      </w:r>
    </w:p>
    <w:p>
      <w:pPr>
        <w:spacing w:after="0" w:line="115" w:lineRule="exact"/>
        <w:rPr>
          <w:sz w:val="24"/>
          <w:szCs w:val="24"/>
          <w:color w:val="auto"/>
        </w:rPr>
      </w:pPr>
    </w:p>
    <w:tbl>
      <w:tblPr>
        <w:tblLayout w:type="fixed"/>
        <w:tblInd w:w="2100" w:type="dxa"/>
        <w:tblCellMar>
          <w:top w:w="0" w:type="dxa"/>
          <w:left w:w="0" w:type="dxa"/>
          <w:bottom w:w="0" w:type="dxa"/>
          <w:right w:w="0" w:type="dxa"/>
        </w:tblCellMar>
      </w:tblPr>
      <w:tr>
        <w:trPr>
          <w:trHeight w:val="161"/>
        </w:trPr>
        <w:tc>
          <w:tcPr>
            <w:tcW w:w="68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w w:val="92"/>
              </w:rPr>
              <w:t>Title of each class</w:t>
            </w:r>
          </w:p>
        </w:tc>
        <w:tc>
          <w:tcPr>
            <w:tcW w:w="1260" w:type="dxa"/>
            <w:vAlign w:val="bottom"/>
          </w:tcPr>
          <w:p>
            <w:pPr>
              <w:spacing w:after="0"/>
              <w:rPr>
                <w:sz w:val="14"/>
                <w:szCs w:val="14"/>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4"/>
                <w:szCs w:val="14"/>
                <w:color w:val="auto"/>
                <w:w w:val="95"/>
              </w:rPr>
              <w:t>Trading Symbol</w:t>
            </w:r>
          </w:p>
        </w:tc>
        <w:tc>
          <w:tcPr>
            <w:tcW w:w="2840" w:type="dxa"/>
            <w:vAlign w:val="bottom"/>
            <w:gridSpan w:val="2"/>
          </w:tcPr>
          <w:p>
            <w:pPr>
              <w:jc w:val="center"/>
              <w:ind w:left="228"/>
              <w:spacing w:after="0"/>
              <w:rPr>
                <w:sz w:val="20"/>
                <w:szCs w:val="20"/>
                <w:color w:val="auto"/>
              </w:rPr>
            </w:pPr>
            <w:r>
              <w:rPr>
                <w:rFonts w:ascii="Arial" w:cs="Arial" w:eastAsia="Arial" w:hAnsi="Arial"/>
                <w:sz w:val="14"/>
                <w:szCs w:val="14"/>
                <w:color w:val="auto"/>
                <w:w w:val="91"/>
              </w:rPr>
              <w:t>Name of each exchange on which registered</w:t>
            </w:r>
          </w:p>
        </w:tc>
      </w:tr>
      <w:tr>
        <w:trPr>
          <w:trHeight w:val="20"/>
        </w:trPr>
        <w:tc>
          <w:tcPr>
            <w:tcW w:w="68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540" w:type="dxa"/>
            <w:vAlign w:val="bottom"/>
            <w:shd w:val="clear" w:color="auto" w:fill="000000"/>
          </w:tcPr>
          <w:p>
            <w:pPr>
              <w:spacing w:after="0" w:line="20" w:lineRule="exact"/>
              <w:rPr>
                <w:sz w:val="1"/>
                <w:szCs w:val="1"/>
                <w:color w:val="auto"/>
              </w:rPr>
            </w:pPr>
          </w:p>
        </w:tc>
      </w:tr>
      <w:tr>
        <w:trPr>
          <w:trHeight w:val="292"/>
        </w:trPr>
        <w:tc>
          <w:tcPr>
            <w:tcW w:w="2980" w:type="dxa"/>
            <w:vAlign w:val="bottom"/>
            <w:gridSpan w:val="3"/>
          </w:tcPr>
          <w:p>
            <w:pPr>
              <w:jc w:val="center"/>
              <w:ind w:right="580"/>
              <w:spacing w:after="0"/>
              <w:rPr>
                <w:sz w:val="20"/>
                <w:szCs w:val="20"/>
                <w:color w:val="auto"/>
              </w:rPr>
            </w:pPr>
            <w:r>
              <w:rPr>
                <w:rFonts w:ascii="Arial" w:cs="Arial" w:eastAsia="Arial" w:hAnsi="Arial"/>
                <w:sz w:val="14"/>
                <w:szCs w:val="14"/>
                <w:color w:val="auto"/>
                <w:w w:val="92"/>
              </w:rPr>
              <w:t>Common stock, par value $0.01 per share</w:t>
            </w:r>
          </w:p>
        </w:tc>
        <w:tc>
          <w:tcPr>
            <w:tcW w:w="1220" w:type="dxa"/>
            <w:vAlign w:val="bottom"/>
            <w:gridSpan w:val="2"/>
          </w:tcPr>
          <w:p>
            <w:pPr>
              <w:jc w:val="center"/>
              <w:ind w:right="300"/>
              <w:spacing w:after="0"/>
              <w:rPr>
                <w:sz w:val="20"/>
                <w:szCs w:val="20"/>
                <w:color w:val="auto"/>
              </w:rPr>
            </w:pPr>
            <w:r>
              <w:rPr>
                <w:rFonts w:ascii="Arial" w:cs="Arial" w:eastAsia="Arial" w:hAnsi="Arial"/>
                <w:sz w:val="14"/>
                <w:szCs w:val="14"/>
                <w:color w:val="auto"/>
                <w:w w:val="92"/>
              </w:rPr>
              <w:t>SSNC</w:t>
            </w:r>
          </w:p>
        </w:tc>
        <w:tc>
          <w:tcPr>
            <w:tcW w:w="300" w:type="dxa"/>
            <w:vAlign w:val="bottom"/>
          </w:tcPr>
          <w:p>
            <w:pPr>
              <w:spacing w:after="0"/>
              <w:rPr>
                <w:sz w:val="24"/>
                <w:szCs w:val="24"/>
                <w:color w:val="auto"/>
              </w:rPr>
            </w:pPr>
          </w:p>
        </w:tc>
        <w:tc>
          <w:tcPr>
            <w:tcW w:w="2540" w:type="dxa"/>
            <w:vAlign w:val="bottom"/>
          </w:tcPr>
          <w:p>
            <w:pPr>
              <w:jc w:val="center"/>
              <w:spacing w:after="0"/>
              <w:rPr>
                <w:sz w:val="20"/>
                <w:szCs w:val="20"/>
                <w:color w:val="auto"/>
              </w:rPr>
            </w:pPr>
            <w:r>
              <w:rPr>
                <w:rFonts w:ascii="Arial" w:cs="Arial" w:eastAsia="Arial" w:hAnsi="Arial"/>
                <w:sz w:val="14"/>
                <w:szCs w:val="14"/>
                <w:color w:val="auto"/>
                <w:w w:val="93"/>
              </w:rPr>
              <w:t>The Nasdaq Global Select Market</w:t>
            </w:r>
          </w:p>
        </w:tc>
      </w:tr>
    </w:tbl>
    <w:p>
      <w:pPr>
        <w:spacing w:after="0" w:line="88" w:lineRule="exact"/>
        <w:rPr>
          <w:sz w:val="24"/>
          <w:szCs w:val="24"/>
          <w:color w:val="auto"/>
        </w:rPr>
      </w:pPr>
    </w:p>
    <w:p>
      <w:pPr>
        <w:ind w:left="520"/>
        <w:spacing w:after="0"/>
        <w:rPr>
          <w:sz w:val="20"/>
          <w:szCs w:val="20"/>
          <w:color w:val="auto"/>
        </w:rPr>
      </w:pPr>
      <w:r>
        <w:rPr>
          <w:rFonts w:ascii="Arial" w:cs="Arial" w:eastAsia="Arial" w:hAnsi="Arial"/>
          <w:sz w:val="14"/>
          <w:szCs w:val="14"/>
          <w:color w:val="auto"/>
        </w:rPr>
        <w:t>There were 251,910,816 shares of the registrant’s common stock outstanding as of October 27,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158115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175260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497205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611" w:right="39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SS&amp;C TECHNOLOGIES HOLDINGS,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195"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60" w:type="dxa"/>
            <w:vAlign w:val="bottom"/>
          </w:tcPr>
          <w:p>
            <w:pPr>
              <w:jc w:val="right"/>
              <w:ind w:right="92"/>
              <w:spacing w:after="0"/>
              <w:rPr>
                <w:sz w:val="20"/>
                <w:szCs w:val="20"/>
                <w:color w:val="auto"/>
              </w:rPr>
            </w:pPr>
            <w:r>
              <w:rPr>
                <w:rFonts w:ascii="Arial" w:cs="Arial" w:eastAsia="Arial" w:hAnsi="Arial"/>
                <w:sz w:val="14"/>
                <w:szCs w:val="14"/>
                <w:b w:val="1"/>
                <w:bCs w:val="1"/>
                <w:color w:val="auto"/>
              </w:rPr>
              <w:t>Page</w:t>
            </w:r>
          </w:p>
        </w:tc>
      </w:tr>
      <w:tr>
        <w:trPr>
          <w:trHeight w:val="185"/>
        </w:trPr>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Number</w:t>
            </w:r>
          </w:p>
        </w:tc>
      </w:tr>
      <w:tr>
        <w:trPr>
          <w:trHeight w:val="304"/>
        </w:trPr>
        <w:tc>
          <w:tcPr>
            <w:tcW w:w="10560" w:type="dxa"/>
            <w:vAlign w:val="bottom"/>
            <w:gridSpan w:val="20"/>
          </w:tcPr>
          <w:p>
            <w:pPr>
              <w:spacing w:after="0"/>
              <w:rPr>
                <w:sz w:val="20"/>
                <w:szCs w:val="20"/>
                <w:color w:val="auto"/>
              </w:rPr>
            </w:pPr>
            <w:r>
              <w:rPr>
                <w:rFonts w:ascii="Arial" w:cs="Arial" w:eastAsia="Arial" w:hAnsi="Arial"/>
                <w:sz w:val="18"/>
                <w:szCs w:val="18"/>
                <w:b w:val="1"/>
                <w:bCs w:val="1"/>
                <w:color w:val="0000FF"/>
              </w:rPr>
              <w:t>PART 1. FINANCIAL INFORMATION</w:t>
            </w:r>
          </w:p>
        </w:tc>
        <w:tc>
          <w:tcPr>
            <w:tcW w:w="660" w:type="dxa"/>
            <w:vAlign w:val="bottom"/>
          </w:tcPr>
          <w:p>
            <w:pPr>
              <w:spacing w:after="0"/>
              <w:rPr>
                <w:sz w:val="24"/>
                <w:szCs w:val="24"/>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92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372"/>
        </w:trPr>
        <w:tc>
          <w:tcPr>
            <w:tcW w:w="10560" w:type="dxa"/>
            <w:vAlign w:val="bottom"/>
            <w:gridSpan w:val="20"/>
          </w:tcPr>
          <w:p>
            <w:pPr>
              <w:spacing w:after="0"/>
              <w:rPr>
                <w:sz w:val="20"/>
                <w:szCs w:val="20"/>
                <w:color w:val="auto"/>
              </w:rPr>
            </w:pPr>
            <w:r>
              <w:rPr>
                <w:rFonts w:ascii="Arial" w:cs="Arial" w:eastAsia="Arial" w:hAnsi="Arial"/>
                <w:sz w:val="18"/>
                <w:szCs w:val="18"/>
                <w:color w:val="0000FF"/>
              </w:rPr>
              <w:t>Item 1. Financial Statements (unaudited)</w:t>
            </w:r>
          </w:p>
        </w:tc>
        <w:tc>
          <w:tcPr>
            <w:tcW w:w="6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20" w:type="dxa"/>
            <w:vAlign w:val="bottom"/>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92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0" w:type="dxa"/>
            <w:vAlign w:val="bottom"/>
            <w:tcBorders>
              <w:right w:val="single" w:sz="8" w:color="0000EE"/>
            </w:tcBorders>
            <w:shd w:val="clear" w:color="auto" w:fill="0000FF"/>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331"/>
        </w:trPr>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300" w:type="dxa"/>
            <w:vAlign w:val="bottom"/>
            <w:gridSpan w:val="18"/>
          </w:tcPr>
          <w:p>
            <w:pPr>
              <w:spacing w:after="0"/>
              <w:rPr>
                <w:sz w:val="20"/>
                <w:szCs w:val="20"/>
                <w:color w:val="auto"/>
              </w:rPr>
            </w:pPr>
            <w:r>
              <w:rPr>
                <w:rFonts w:ascii="Arial" w:cs="Arial" w:eastAsia="Arial" w:hAnsi="Arial"/>
                <w:sz w:val="18"/>
                <w:szCs w:val="18"/>
                <w:color w:val="0000FF"/>
              </w:rPr>
              <w:t>Condensed Consolidated Balance Sheets at September 30, 2022 and December 31, 2021</w:t>
            </w:r>
          </w:p>
        </w:tc>
        <w:tc>
          <w:tcPr>
            <w:tcW w:w="6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2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92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500" w:type="dxa"/>
            <w:vAlign w:val="bottom"/>
            <w:tcBorders>
              <w:right w:val="single" w:sz="8" w:color="0000FF"/>
            </w:tcBorders>
            <w:gridSpan w:val="3"/>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70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331"/>
        </w:trPr>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300" w:type="dxa"/>
            <w:vAlign w:val="bottom"/>
            <w:gridSpan w:val="18"/>
          </w:tcPr>
          <w:p>
            <w:pPr>
              <w:spacing w:after="0"/>
              <w:rPr>
                <w:sz w:val="20"/>
                <w:szCs w:val="20"/>
                <w:color w:val="auto"/>
              </w:rPr>
            </w:pPr>
            <w:r>
              <w:rPr>
                <w:rFonts w:ascii="Arial" w:cs="Arial" w:eastAsia="Arial" w:hAnsi="Arial"/>
                <w:sz w:val="18"/>
                <w:szCs w:val="18"/>
                <w:color w:val="0000FF"/>
                <w:w w:val="92"/>
              </w:rPr>
              <w:t>Condensed Consolidated Statements of Comprehensive (Loss) Income for the three and nine months ended September 30, 2022 and 2021</w:t>
            </w:r>
          </w:p>
        </w:tc>
        <w:tc>
          <w:tcPr>
            <w:tcW w:w="6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0"/>
        </w:trPr>
        <w:tc>
          <w:tcPr>
            <w:tcW w:w="2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92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500" w:type="dxa"/>
            <w:vAlign w:val="bottom"/>
            <w:tcBorders>
              <w:right w:val="single" w:sz="8" w:color="0000FF"/>
            </w:tcBorders>
            <w:gridSpan w:val="3"/>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120" w:type="dxa"/>
            <w:vAlign w:val="bottom"/>
            <w:tcBorders>
              <w:left w:val="single" w:sz="8" w:color="0000FF"/>
            </w:tcBorders>
            <w:gridSpan w:val="2"/>
            <w:shd w:val="clear" w:color="auto" w:fill="0000FF"/>
          </w:tcPr>
          <w:p>
            <w:pPr>
              <w:spacing w:after="0" w:line="20" w:lineRule="exact"/>
              <w:rPr>
                <w:sz w:val="1"/>
                <w:szCs w:val="1"/>
                <w:color w:val="auto"/>
              </w:rPr>
            </w:pPr>
          </w:p>
        </w:tc>
        <w:tc>
          <w:tcPr>
            <w:tcW w:w="1080" w:type="dxa"/>
            <w:vAlign w:val="bottom"/>
            <w:tcBorders>
              <w:right w:val="single" w:sz="8" w:color="0000FF"/>
            </w:tcBorders>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331"/>
        </w:trPr>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300" w:type="dxa"/>
            <w:vAlign w:val="bottom"/>
            <w:gridSpan w:val="18"/>
          </w:tcPr>
          <w:p>
            <w:pPr>
              <w:spacing w:after="0"/>
              <w:rPr>
                <w:sz w:val="20"/>
                <w:szCs w:val="20"/>
                <w:color w:val="auto"/>
              </w:rPr>
            </w:pPr>
            <w:r>
              <w:rPr>
                <w:rFonts w:ascii="Arial" w:cs="Arial" w:eastAsia="Arial" w:hAnsi="Arial"/>
                <w:sz w:val="18"/>
                <w:szCs w:val="18"/>
                <w:color w:val="0000FF"/>
              </w:rPr>
              <w:t>Condensed Consolidated Statements of Cash Flows for the nine months ended September 30, 2022 and 2021</w:t>
            </w:r>
          </w:p>
        </w:tc>
        <w:tc>
          <w:tcPr>
            <w:tcW w:w="6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0"/>
        </w:trPr>
        <w:tc>
          <w:tcPr>
            <w:tcW w:w="2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92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500" w:type="dxa"/>
            <w:vAlign w:val="bottom"/>
            <w:tcBorders>
              <w:right w:val="single" w:sz="8" w:color="0000FF"/>
            </w:tcBorders>
            <w:gridSpan w:val="3"/>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120" w:type="dxa"/>
            <w:vAlign w:val="bottom"/>
            <w:tcBorders>
              <w:left w:val="single" w:sz="8" w:color="0000FF"/>
            </w:tcBorders>
            <w:gridSpan w:val="2"/>
            <w:shd w:val="clear" w:color="auto" w:fill="0000FF"/>
          </w:tcPr>
          <w:p>
            <w:pPr>
              <w:spacing w:after="0" w:line="20" w:lineRule="exact"/>
              <w:rPr>
                <w:sz w:val="1"/>
                <w:szCs w:val="1"/>
                <w:color w:val="auto"/>
              </w:rPr>
            </w:pPr>
          </w:p>
        </w:tc>
        <w:tc>
          <w:tcPr>
            <w:tcW w:w="1080" w:type="dxa"/>
            <w:vAlign w:val="bottom"/>
            <w:tcBorders>
              <w:right w:val="single" w:sz="8" w:color="0000EE"/>
            </w:tcBorders>
            <w:shd w:val="clear" w:color="auto" w:fill="0000FF"/>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331"/>
        </w:trPr>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300" w:type="dxa"/>
            <w:vAlign w:val="bottom"/>
            <w:gridSpan w:val="18"/>
          </w:tcPr>
          <w:p>
            <w:pPr>
              <w:spacing w:after="0"/>
              <w:rPr>
                <w:sz w:val="20"/>
                <w:szCs w:val="20"/>
                <w:color w:val="auto"/>
              </w:rPr>
            </w:pPr>
            <w:r>
              <w:rPr>
                <w:rFonts w:ascii="Arial" w:cs="Arial" w:eastAsia="Arial" w:hAnsi="Arial"/>
                <w:sz w:val="18"/>
                <w:szCs w:val="18"/>
                <w:color w:val="0000FF"/>
                <w:w w:val="99"/>
              </w:rPr>
              <w:t>Condensed Consolidated Statements of Stockholders’ Equity for the three and nine months ended September 30, 2022 and 2021</w:t>
            </w:r>
          </w:p>
        </w:tc>
        <w:tc>
          <w:tcPr>
            <w:tcW w:w="6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0"/>
        </w:trPr>
        <w:tc>
          <w:tcPr>
            <w:tcW w:w="2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92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500" w:type="dxa"/>
            <w:vAlign w:val="bottom"/>
            <w:tcBorders>
              <w:right w:val="single" w:sz="8" w:color="0000FF"/>
            </w:tcBorders>
            <w:gridSpan w:val="3"/>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120" w:type="dxa"/>
            <w:vAlign w:val="bottom"/>
            <w:tcBorders>
              <w:left w:val="single" w:sz="8" w:color="0000FF"/>
            </w:tcBorders>
            <w:gridSpan w:val="2"/>
            <w:shd w:val="clear" w:color="auto" w:fill="0000FF"/>
          </w:tcPr>
          <w:p>
            <w:pPr>
              <w:spacing w:after="0" w:line="20" w:lineRule="exact"/>
              <w:rPr>
                <w:sz w:val="1"/>
                <w:szCs w:val="1"/>
                <w:color w:val="auto"/>
              </w:rPr>
            </w:pPr>
          </w:p>
        </w:tc>
        <w:tc>
          <w:tcPr>
            <w:tcW w:w="2460" w:type="dxa"/>
            <w:vAlign w:val="bottom"/>
            <w:gridSpan w:val="2"/>
            <w:shd w:val="clear" w:color="auto" w:fill="0000FF"/>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331"/>
        </w:trPr>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300" w:type="dxa"/>
            <w:vAlign w:val="bottom"/>
            <w:gridSpan w:val="18"/>
          </w:tcPr>
          <w:p>
            <w:pPr>
              <w:spacing w:after="0"/>
              <w:rPr>
                <w:sz w:val="20"/>
                <w:szCs w:val="20"/>
                <w:color w:val="auto"/>
              </w:rPr>
            </w:pPr>
            <w:r>
              <w:rPr>
                <w:rFonts w:ascii="Arial" w:cs="Arial" w:eastAsia="Arial" w:hAnsi="Arial"/>
                <w:sz w:val="18"/>
                <w:szCs w:val="18"/>
                <w:color w:val="0000FF"/>
              </w:rPr>
              <w:t>Notes to Condensed Consolidated Financial Statements</w:t>
            </w:r>
          </w:p>
        </w:tc>
        <w:tc>
          <w:tcPr>
            <w:tcW w:w="6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0"/>
        </w:trPr>
        <w:tc>
          <w:tcPr>
            <w:tcW w:w="260" w:type="dxa"/>
            <w:vAlign w:val="bottom"/>
            <w:tcBorders>
              <w:right w:val="single" w:sz="8" w:color="0000EE"/>
            </w:tcBorders>
            <w:gridSpan w:val="2"/>
          </w:tcPr>
          <w:p>
            <w:pPr>
              <w:spacing w:after="0" w:line="20" w:lineRule="exact"/>
              <w:rPr>
                <w:sz w:val="1"/>
                <w:szCs w:val="1"/>
                <w:color w:val="auto"/>
              </w:rPr>
            </w:pPr>
          </w:p>
        </w:tc>
        <w:tc>
          <w:tcPr>
            <w:tcW w:w="92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500" w:type="dxa"/>
            <w:vAlign w:val="bottom"/>
            <w:tcBorders>
              <w:right w:val="single" w:sz="8" w:color="0000EE"/>
            </w:tcBorders>
            <w:gridSpan w:val="3"/>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3540" w:type="dxa"/>
            <w:vAlign w:val="bottom"/>
            <w:gridSpan w:val="4"/>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331"/>
        </w:trPr>
        <w:tc>
          <w:tcPr>
            <w:tcW w:w="10560" w:type="dxa"/>
            <w:vAlign w:val="bottom"/>
            <w:gridSpan w:val="20"/>
          </w:tcPr>
          <w:p>
            <w:pPr>
              <w:spacing w:after="0"/>
              <w:rPr>
                <w:sz w:val="20"/>
                <w:szCs w:val="20"/>
                <w:color w:val="auto"/>
              </w:rPr>
            </w:pPr>
            <w:r>
              <w:rPr>
                <w:rFonts w:ascii="Arial" w:cs="Arial" w:eastAsia="Arial" w:hAnsi="Arial"/>
                <w:sz w:val="18"/>
                <w:szCs w:val="18"/>
                <w:color w:val="0000FF"/>
              </w:rPr>
              <w:t>Item 2. Management’s Discussion and Analysis of Financial Condition and Results of Operations</w:t>
            </w:r>
          </w:p>
        </w:tc>
        <w:tc>
          <w:tcPr>
            <w:tcW w:w="66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0"/>
        </w:trPr>
        <w:tc>
          <w:tcPr>
            <w:tcW w:w="20" w:type="dxa"/>
            <w:vAlign w:val="bottom"/>
            <w:shd w:val="clear" w:color="auto" w:fill="0000EE"/>
          </w:tcPr>
          <w:p>
            <w:pPr>
              <w:spacing w:after="0" w:line="20" w:lineRule="exact"/>
              <w:rPr>
                <w:sz w:val="1"/>
                <w:szCs w:val="1"/>
                <w:color w:val="auto"/>
              </w:rPr>
            </w:pPr>
          </w:p>
        </w:tc>
        <w:tc>
          <w:tcPr>
            <w:tcW w:w="1160" w:type="dxa"/>
            <w:vAlign w:val="bottom"/>
            <w:tcBorders>
              <w:right w:val="single" w:sz="8" w:color="0000FF"/>
            </w:tcBorders>
            <w:gridSpan w:val="3"/>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140" w:type="dxa"/>
            <w:vAlign w:val="bottom"/>
            <w:gridSpan w:val="4"/>
            <w:shd w:val="clear" w:color="auto" w:fill="0000FF"/>
          </w:tcPr>
          <w:p>
            <w:pPr>
              <w:spacing w:after="0" w:line="20" w:lineRule="exact"/>
              <w:rPr>
                <w:sz w:val="1"/>
                <w:szCs w:val="1"/>
                <w:color w:val="auto"/>
              </w:rPr>
            </w:pPr>
          </w:p>
        </w:tc>
        <w:tc>
          <w:tcPr>
            <w:tcW w:w="2120" w:type="dxa"/>
            <w:vAlign w:val="bottom"/>
            <w:tcBorders>
              <w:left w:val="single" w:sz="8" w:color="0000FF"/>
            </w:tcBorders>
            <w:gridSpan w:val="2"/>
            <w:shd w:val="clear" w:color="auto" w:fill="0000FF"/>
          </w:tcPr>
          <w:p>
            <w:pPr>
              <w:spacing w:after="0" w:line="20" w:lineRule="exact"/>
              <w:rPr>
                <w:sz w:val="1"/>
                <w:szCs w:val="1"/>
                <w:color w:val="auto"/>
              </w:rPr>
            </w:pPr>
          </w:p>
        </w:tc>
        <w:tc>
          <w:tcPr>
            <w:tcW w:w="3540" w:type="dxa"/>
            <w:vAlign w:val="bottom"/>
            <w:gridSpan w:val="4"/>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331"/>
        </w:trPr>
        <w:tc>
          <w:tcPr>
            <w:tcW w:w="10560" w:type="dxa"/>
            <w:vAlign w:val="bottom"/>
            <w:gridSpan w:val="20"/>
          </w:tcPr>
          <w:p>
            <w:pPr>
              <w:spacing w:after="0"/>
              <w:rPr>
                <w:sz w:val="20"/>
                <w:szCs w:val="20"/>
                <w:color w:val="auto"/>
              </w:rPr>
            </w:pPr>
            <w:r>
              <w:rPr>
                <w:rFonts w:ascii="Arial" w:cs="Arial" w:eastAsia="Arial" w:hAnsi="Arial"/>
                <w:sz w:val="18"/>
                <w:szCs w:val="18"/>
                <w:color w:val="0000FF"/>
              </w:rPr>
              <w:t>Item 3. Quantitative and Qualitative Disclosures About Market Risk</w:t>
            </w:r>
          </w:p>
        </w:tc>
        <w:tc>
          <w:tcPr>
            <w:tcW w:w="6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0"/>
        </w:trPr>
        <w:tc>
          <w:tcPr>
            <w:tcW w:w="2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140" w:type="dxa"/>
            <w:vAlign w:val="bottom"/>
            <w:gridSpan w:val="4"/>
            <w:shd w:val="clear" w:color="auto" w:fill="0000FF"/>
          </w:tcPr>
          <w:p>
            <w:pPr>
              <w:spacing w:after="0" w:line="20" w:lineRule="exact"/>
              <w:rPr>
                <w:sz w:val="1"/>
                <w:szCs w:val="1"/>
                <w:color w:val="auto"/>
              </w:rPr>
            </w:pPr>
          </w:p>
        </w:tc>
        <w:tc>
          <w:tcPr>
            <w:tcW w:w="5660" w:type="dxa"/>
            <w:vAlign w:val="bottom"/>
            <w:tcBorders>
              <w:left w:val="single" w:sz="8" w:color="0000FF"/>
            </w:tcBorders>
            <w:gridSpan w:val="6"/>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331"/>
        </w:trPr>
        <w:tc>
          <w:tcPr>
            <w:tcW w:w="540" w:type="dxa"/>
            <w:vAlign w:val="bottom"/>
            <w:gridSpan w:val="3"/>
          </w:tcPr>
          <w:p>
            <w:pPr>
              <w:spacing w:after="0"/>
              <w:rPr>
                <w:sz w:val="20"/>
                <w:szCs w:val="20"/>
                <w:color w:val="auto"/>
              </w:rPr>
            </w:pPr>
            <w:r>
              <w:rPr>
                <w:rFonts w:ascii="Arial" w:cs="Arial" w:eastAsia="Arial" w:hAnsi="Arial"/>
                <w:sz w:val="18"/>
                <w:szCs w:val="18"/>
                <w:color w:val="0000FF"/>
                <w:w w:val="94"/>
              </w:rPr>
              <w:t>Item 4.</w:t>
            </w:r>
          </w:p>
        </w:tc>
        <w:tc>
          <w:tcPr>
            <w:tcW w:w="10020" w:type="dxa"/>
            <w:vAlign w:val="bottom"/>
            <w:gridSpan w:val="17"/>
          </w:tcPr>
          <w:p>
            <w:pPr>
              <w:ind w:left="20"/>
              <w:spacing w:after="0"/>
              <w:rPr>
                <w:sz w:val="20"/>
                <w:szCs w:val="20"/>
                <w:color w:val="auto"/>
              </w:rPr>
            </w:pPr>
            <w:r>
              <w:rPr>
                <w:rFonts w:ascii="Arial" w:cs="Arial" w:eastAsia="Arial" w:hAnsi="Arial"/>
                <w:sz w:val="18"/>
                <w:szCs w:val="18"/>
                <w:color w:val="0000FF"/>
              </w:rPr>
              <w:t>Controls and Procedures</w:t>
            </w:r>
          </w:p>
        </w:tc>
        <w:tc>
          <w:tcPr>
            <w:tcW w:w="6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0"/>
        </w:trPr>
        <w:tc>
          <w:tcPr>
            <w:tcW w:w="20" w:type="dxa"/>
            <w:vAlign w:val="bottom"/>
            <w:shd w:val="clear" w:color="auto" w:fill="0000EE"/>
          </w:tcPr>
          <w:p>
            <w:pPr>
              <w:spacing w:after="0" w:line="20" w:lineRule="exact"/>
              <w:rPr>
                <w:sz w:val="1"/>
                <w:szCs w:val="1"/>
                <w:color w:val="auto"/>
              </w:rPr>
            </w:pPr>
          </w:p>
        </w:tc>
        <w:tc>
          <w:tcPr>
            <w:tcW w:w="1160" w:type="dxa"/>
            <w:vAlign w:val="bottom"/>
            <w:tcBorders>
              <w:right w:val="single" w:sz="8" w:color="0000FF"/>
            </w:tcBorders>
            <w:gridSpan w:val="3"/>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40" w:type="dxa"/>
            <w:vAlign w:val="bottom"/>
            <w:tcBorders>
              <w:right w:val="single" w:sz="8" w:color="0000EE"/>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140" w:type="dxa"/>
            <w:vAlign w:val="bottom"/>
            <w:gridSpan w:val="4"/>
          </w:tcPr>
          <w:p>
            <w:pPr>
              <w:spacing w:after="0" w:line="20" w:lineRule="exact"/>
              <w:rPr>
                <w:sz w:val="1"/>
                <w:szCs w:val="1"/>
                <w:color w:val="auto"/>
              </w:rPr>
            </w:pPr>
          </w:p>
        </w:tc>
        <w:tc>
          <w:tcPr>
            <w:tcW w:w="5660" w:type="dxa"/>
            <w:vAlign w:val="bottom"/>
            <w:gridSpan w:val="6"/>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331"/>
        </w:trPr>
        <w:tc>
          <w:tcPr>
            <w:tcW w:w="10560" w:type="dxa"/>
            <w:vAlign w:val="bottom"/>
            <w:gridSpan w:val="20"/>
          </w:tcPr>
          <w:p>
            <w:pPr>
              <w:spacing w:after="0"/>
              <w:rPr>
                <w:sz w:val="20"/>
                <w:szCs w:val="20"/>
                <w:color w:val="auto"/>
              </w:rPr>
            </w:pPr>
            <w:r>
              <w:rPr>
                <w:rFonts w:ascii="Arial" w:cs="Arial" w:eastAsia="Arial" w:hAnsi="Arial"/>
                <w:sz w:val="18"/>
                <w:szCs w:val="18"/>
                <w:b w:val="1"/>
                <w:bCs w:val="1"/>
                <w:color w:val="0000FF"/>
              </w:rPr>
              <w:t>PART II. OTHER INFORMATION</w:t>
            </w:r>
          </w:p>
        </w:tc>
        <w:tc>
          <w:tcPr>
            <w:tcW w:w="660" w:type="dxa"/>
            <w:vAlign w:val="bottom"/>
          </w:tcPr>
          <w:p>
            <w:pPr>
              <w:spacing w:after="0"/>
              <w:rPr>
                <w:sz w:val="24"/>
                <w:szCs w:val="24"/>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2140" w:type="dxa"/>
            <w:vAlign w:val="bottom"/>
            <w:gridSpan w:val="4"/>
          </w:tcPr>
          <w:p>
            <w:pPr>
              <w:spacing w:after="0" w:line="20" w:lineRule="exact"/>
              <w:rPr>
                <w:sz w:val="1"/>
                <w:szCs w:val="1"/>
                <w:color w:val="auto"/>
              </w:rPr>
            </w:pPr>
          </w:p>
        </w:tc>
        <w:tc>
          <w:tcPr>
            <w:tcW w:w="5660" w:type="dxa"/>
            <w:vAlign w:val="bottom"/>
            <w:gridSpan w:val="6"/>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331"/>
        </w:trPr>
        <w:tc>
          <w:tcPr>
            <w:tcW w:w="540" w:type="dxa"/>
            <w:vAlign w:val="bottom"/>
            <w:gridSpan w:val="3"/>
          </w:tcPr>
          <w:p>
            <w:pPr>
              <w:spacing w:after="0"/>
              <w:rPr>
                <w:sz w:val="20"/>
                <w:szCs w:val="20"/>
                <w:color w:val="auto"/>
              </w:rPr>
            </w:pPr>
            <w:r>
              <w:rPr>
                <w:rFonts w:ascii="Arial" w:cs="Arial" w:eastAsia="Arial" w:hAnsi="Arial"/>
                <w:sz w:val="18"/>
                <w:szCs w:val="18"/>
                <w:color w:val="0000FF"/>
                <w:w w:val="94"/>
              </w:rPr>
              <w:t>Item 1.</w:t>
            </w:r>
          </w:p>
        </w:tc>
        <w:tc>
          <w:tcPr>
            <w:tcW w:w="10020" w:type="dxa"/>
            <w:vAlign w:val="bottom"/>
            <w:gridSpan w:val="17"/>
          </w:tcPr>
          <w:p>
            <w:pPr>
              <w:ind w:left="20"/>
              <w:spacing w:after="0"/>
              <w:rPr>
                <w:sz w:val="20"/>
                <w:szCs w:val="20"/>
                <w:color w:val="auto"/>
              </w:rPr>
            </w:pPr>
            <w:r>
              <w:rPr>
                <w:rFonts w:ascii="Arial" w:cs="Arial" w:eastAsia="Arial" w:hAnsi="Arial"/>
                <w:sz w:val="18"/>
                <w:szCs w:val="18"/>
                <w:color w:val="0000FF"/>
              </w:rPr>
              <w:t>Legal Proceedings</w:t>
            </w:r>
          </w:p>
        </w:tc>
        <w:tc>
          <w:tcPr>
            <w:tcW w:w="66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0"/>
        </w:trPr>
        <w:tc>
          <w:tcPr>
            <w:tcW w:w="20" w:type="dxa"/>
            <w:vAlign w:val="bottom"/>
            <w:shd w:val="clear" w:color="auto" w:fill="0000EE"/>
          </w:tcPr>
          <w:p>
            <w:pPr>
              <w:spacing w:after="0" w:line="20" w:lineRule="exact"/>
              <w:rPr>
                <w:sz w:val="1"/>
                <w:szCs w:val="1"/>
                <w:color w:val="auto"/>
              </w:rPr>
            </w:pPr>
          </w:p>
        </w:tc>
        <w:tc>
          <w:tcPr>
            <w:tcW w:w="1160" w:type="dxa"/>
            <w:vAlign w:val="bottom"/>
            <w:tcBorders>
              <w:right w:val="single" w:sz="8" w:color="0000FF"/>
            </w:tcBorders>
            <w:gridSpan w:val="3"/>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0" w:type="dxa"/>
            <w:vAlign w:val="bottom"/>
            <w:gridSpan w:val="6"/>
          </w:tcPr>
          <w:p>
            <w:pPr>
              <w:spacing w:after="0" w:line="20" w:lineRule="exact"/>
              <w:rPr>
                <w:sz w:val="1"/>
                <w:szCs w:val="1"/>
                <w:color w:val="auto"/>
              </w:rPr>
            </w:pPr>
          </w:p>
        </w:tc>
        <w:tc>
          <w:tcPr>
            <w:tcW w:w="5660" w:type="dxa"/>
            <w:vAlign w:val="bottom"/>
            <w:gridSpan w:val="6"/>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331"/>
        </w:trPr>
        <w:tc>
          <w:tcPr>
            <w:tcW w:w="10560" w:type="dxa"/>
            <w:vAlign w:val="bottom"/>
            <w:gridSpan w:val="20"/>
          </w:tcPr>
          <w:p>
            <w:pPr>
              <w:spacing w:after="0"/>
              <w:rPr>
                <w:sz w:val="20"/>
                <w:szCs w:val="20"/>
                <w:color w:val="auto"/>
              </w:rPr>
            </w:pPr>
            <w:r>
              <w:rPr>
                <w:rFonts w:ascii="Arial" w:cs="Arial" w:eastAsia="Arial" w:hAnsi="Arial"/>
                <w:sz w:val="18"/>
                <w:szCs w:val="18"/>
                <w:color w:val="0000FF"/>
              </w:rPr>
              <w:t>Item 1A. Risk Factors</w:t>
            </w:r>
          </w:p>
        </w:tc>
        <w:tc>
          <w:tcPr>
            <w:tcW w:w="66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0"/>
        </w:trPr>
        <w:tc>
          <w:tcPr>
            <w:tcW w:w="2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EE"/>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60" w:type="dxa"/>
            <w:vAlign w:val="bottom"/>
            <w:gridSpan w:val="7"/>
          </w:tcPr>
          <w:p>
            <w:pPr>
              <w:spacing w:after="0" w:line="20" w:lineRule="exact"/>
              <w:rPr>
                <w:sz w:val="1"/>
                <w:szCs w:val="1"/>
                <w:color w:val="auto"/>
              </w:rPr>
            </w:pPr>
          </w:p>
        </w:tc>
        <w:tc>
          <w:tcPr>
            <w:tcW w:w="5660" w:type="dxa"/>
            <w:vAlign w:val="bottom"/>
            <w:gridSpan w:val="6"/>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331"/>
        </w:trPr>
        <w:tc>
          <w:tcPr>
            <w:tcW w:w="540" w:type="dxa"/>
            <w:vAlign w:val="bottom"/>
            <w:gridSpan w:val="3"/>
          </w:tcPr>
          <w:p>
            <w:pPr>
              <w:spacing w:after="0"/>
              <w:rPr>
                <w:sz w:val="20"/>
                <w:szCs w:val="20"/>
                <w:color w:val="auto"/>
              </w:rPr>
            </w:pPr>
            <w:r>
              <w:rPr>
                <w:rFonts w:ascii="Arial" w:cs="Arial" w:eastAsia="Arial" w:hAnsi="Arial"/>
                <w:sz w:val="18"/>
                <w:szCs w:val="18"/>
                <w:color w:val="0000FF"/>
                <w:w w:val="94"/>
              </w:rPr>
              <w:t>Item 2.</w:t>
            </w:r>
          </w:p>
        </w:tc>
        <w:tc>
          <w:tcPr>
            <w:tcW w:w="10020" w:type="dxa"/>
            <w:vAlign w:val="bottom"/>
            <w:gridSpan w:val="17"/>
          </w:tcPr>
          <w:p>
            <w:pPr>
              <w:ind w:left="20"/>
              <w:spacing w:after="0"/>
              <w:rPr>
                <w:sz w:val="20"/>
                <w:szCs w:val="20"/>
                <w:color w:val="auto"/>
              </w:rPr>
            </w:pPr>
            <w:r>
              <w:rPr>
                <w:rFonts w:ascii="Arial" w:cs="Arial" w:eastAsia="Arial" w:hAnsi="Arial"/>
                <w:sz w:val="18"/>
                <w:szCs w:val="18"/>
                <w:color w:val="0000FF"/>
              </w:rPr>
              <w:t>Unregistered Sales of Equity Securities and Use of Proceeds</w:t>
            </w:r>
          </w:p>
        </w:tc>
        <w:tc>
          <w:tcPr>
            <w:tcW w:w="66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0"/>
        </w:trPr>
        <w:tc>
          <w:tcPr>
            <w:tcW w:w="2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3260" w:type="dxa"/>
            <w:vAlign w:val="bottom"/>
            <w:gridSpan w:val="7"/>
            <w:shd w:val="clear" w:color="auto" w:fill="0000FF"/>
          </w:tcPr>
          <w:p>
            <w:pPr>
              <w:spacing w:after="0" w:line="20" w:lineRule="exact"/>
              <w:rPr>
                <w:sz w:val="1"/>
                <w:szCs w:val="1"/>
                <w:color w:val="auto"/>
              </w:rPr>
            </w:pPr>
          </w:p>
        </w:tc>
        <w:tc>
          <w:tcPr>
            <w:tcW w:w="5660" w:type="dxa"/>
            <w:vAlign w:val="bottom"/>
            <w:gridSpan w:val="6"/>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331"/>
        </w:trPr>
        <w:tc>
          <w:tcPr>
            <w:tcW w:w="540" w:type="dxa"/>
            <w:vAlign w:val="bottom"/>
            <w:gridSpan w:val="3"/>
          </w:tcPr>
          <w:p>
            <w:pPr>
              <w:spacing w:after="0"/>
              <w:rPr>
                <w:sz w:val="20"/>
                <w:szCs w:val="20"/>
                <w:color w:val="auto"/>
              </w:rPr>
            </w:pPr>
            <w:r>
              <w:rPr>
                <w:rFonts w:ascii="Arial" w:cs="Arial" w:eastAsia="Arial" w:hAnsi="Arial"/>
                <w:sz w:val="18"/>
                <w:szCs w:val="18"/>
                <w:color w:val="0000FF"/>
                <w:w w:val="94"/>
              </w:rPr>
              <w:t>Item 6.</w:t>
            </w:r>
          </w:p>
        </w:tc>
        <w:tc>
          <w:tcPr>
            <w:tcW w:w="10020" w:type="dxa"/>
            <w:vAlign w:val="bottom"/>
            <w:gridSpan w:val="17"/>
          </w:tcPr>
          <w:p>
            <w:pPr>
              <w:ind w:left="20"/>
              <w:spacing w:after="0"/>
              <w:rPr>
                <w:sz w:val="20"/>
                <w:szCs w:val="20"/>
                <w:color w:val="auto"/>
              </w:rPr>
            </w:pPr>
            <w:r>
              <w:rPr>
                <w:rFonts w:ascii="Arial" w:cs="Arial" w:eastAsia="Arial" w:hAnsi="Arial"/>
                <w:sz w:val="18"/>
                <w:szCs w:val="18"/>
                <w:color w:val="0000FF"/>
              </w:rPr>
              <w:t>Exhibits</w:t>
            </w:r>
          </w:p>
        </w:tc>
        <w:tc>
          <w:tcPr>
            <w:tcW w:w="66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0"/>
        </w:trPr>
        <w:tc>
          <w:tcPr>
            <w:tcW w:w="20" w:type="dxa"/>
            <w:vAlign w:val="bottom"/>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920" w:type="dxa"/>
            <w:vAlign w:val="bottom"/>
            <w:tcBorders>
              <w:right w:val="single" w:sz="8" w:color="0000EE"/>
            </w:tcBorders>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920" w:type="dxa"/>
            <w:vAlign w:val="bottom"/>
            <w:gridSpan w:val="1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331"/>
        </w:trPr>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300" w:type="dxa"/>
            <w:vAlign w:val="bottom"/>
            <w:gridSpan w:val="18"/>
          </w:tcPr>
          <w:p>
            <w:pPr>
              <w:spacing w:after="0"/>
              <w:rPr>
                <w:sz w:val="20"/>
                <w:szCs w:val="20"/>
                <w:color w:val="auto"/>
              </w:rPr>
            </w:pPr>
            <w:r>
              <w:rPr>
                <w:rFonts w:ascii="Arial" w:cs="Arial" w:eastAsia="Arial" w:hAnsi="Arial"/>
                <w:sz w:val="18"/>
                <w:szCs w:val="18"/>
                <w:b w:val="1"/>
                <w:bCs w:val="1"/>
                <w:color w:val="0000FF"/>
              </w:rPr>
              <w:t>EXHIBIT INDEX</w:t>
            </w:r>
          </w:p>
        </w:tc>
        <w:tc>
          <w:tcPr>
            <w:tcW w:w="66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0"/>
        </w:trPr>
        <w:tc>
          <w:tcPr>
            <w:tcW w:w="2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1060" w:type="dxa"/>
            <w:vAlign w:val="bottom"/>
            <w:tcBorders>
              <w:right w:val="single" w:sz="8" w:color="0000FF"/>
            </w:tcBorders>
            <w:gridSpan w:val="3"/>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8920" w:type="dxa"/>
            <w:vAlign w:val="bottom"/>
            <w:gridSpan w:val="1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331"/>
        </w:trPr>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300" w:type="dxa"/>
            <w:vAlign w:val="bottom"/>
            <w:gridSpan w:val="18"/>
          </w:tcPr>
          <w:p>
            <w:pPr>
              <w:spacing w:after="0"/>
              <w:rPr>
                <w:sz w:val="20"/>
                <w:szCs w:val="20"/>
                <w:color w:val="auto"/>
              </w:rPr>
            </w:pPr>
            <w:r>
              <w:rPr>
                <w:rFonts w:ascii="Arial" w:cs="Arial" w:eastAsia="Arial" w:hAnsi="Arial"/>
                <w:sz w:val="18"/>
                <w:szCs w:val="18"/>
                <w:b w:val="1"/>
                <w:bCs w:val="1"/>
                <w:color w:val="0000FF"/>
              </w:rPr>
              <w:t>SIGNATURE</w:t>
            </w:r>
          </w:p>
        </w:tc>
        <w:tc>
          <w:tcPr>
            <w:tcW w:w="66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0"/>
        </w:trPr>
        <w:tc>
          <w:tcPr>
            <w:tcW w:w="2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EE"/>
            </w:tcBorders>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bl>
    <w:p>
      <w:pPr>
        <w:spacing w:after="0" w:line="36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SS&amp;C Technologies Holdings, Inc., or “SS&amp;C Holdings,” is our top-level holding company. SS&amp;C Technologies, Inc., or “SS&amp;C,” is our primary operating company and a wholly-owned subsidiary of SS&amp;C Technologies Holdings, Inc. “We,” “us,” “our” and the “Company” mean SS&amp;C Technologies Holdings, Inc. and its consolidated subsidiaries, including SS&amp;C.</w:t>
      </w:r>
    </w:p>
    <w:p>
      <w:pPr>
        <w:spacing w:after="0" w:line="175"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This Quarterly Report on Form 10-Q may contain forward-looking statements within the meaning of Section 27A of the Securities Act of 1933, as amended, and Section 21E of the Securities Exchange Act of 1934, as amended. For this purpose, any statements contained herein that are not statements of historical fact may be deemed to be forward-looking statements. Without limiting the foregoing, the words “believes”, “anticipates”, “plans”, “expects”, “estimates”, “projects”, “forecasts”, “may”, “assume”, “intend”, “will”, “continue”, “opportunity”, “predict”, “potential”, “future”, “guarantee”, “likely”, “target”, “indicate”, “would”, “could” and “should” and similar expressions are intended to identify forward-looking statements. The important factors discussed under the caption “Risk Factors” in this Quarterly Report on Form 10-Q and in our Annual Report on Form 10-K for the year ended December 31, 2021, filed with the Securities and Exchange Commission on February 25, 2022, among others, could cause actual results to differ materially from those indicated by forward-looking statements made herein and presented elsewhere by management from time to time. We do not undertake an obligation to update its forward-looking statements to reflect future events or circumstances.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w:t>
      </w:r>
    </w:p>
    <w:p>
      <w:pPr>
        <w:spacing w:after="0" w:line="16"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Financial Statements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SS&amp;C TECHNOLOGIES HOLDINGS, INC. AND SUBSIDIARIES</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BALANCE SHEETS</w:t>
      </w:r>
    </w:p>
    <w:p>
      <w:pPr>
        <w:spacing w:after="0"/>
        <w:rPr>
          <w:sz w:val="20"/>
          <w:szCs w:val="20"/>
          <w:color w:val="auto"/>
        </w:rPr>
      </w:pPr>
      <w:r>
        <w:rPr>
          <w:rFonts w:ascii="Arial" w:cs="Arial" w:eastAsia="Arial" w:hAnsi="Arial"/>
          <w:sz w:val="14"/>
          <w:szCs w:val="14"/>
          <w:b w:val="1"/>
          <w:bCs w:val="1"/>
          <w:color w:val="auto"/>
        </w:rPr>
        <w:t>(In millions, except per share data) (Unaudited)</w:t>
      </w:r>
    </w:p>
    <w:p>
      <w:pPr>
        <w:spacing w:after="0" w:line="200" w:lineRule="exact"/>
        <w:rPr>
          <w:sz w:val="20"/>
          <w:szCs w:val="20"/>
          <w:color w:val="auto"/>
        </w:rPr>
      </w:pP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7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60" w:type="dxa"/>
            <w:vAlign w:val="bottom"/>
            <w:gridSpan w:val="2"/>
          </w:tcPr>
          <w:p>
            <w:pPr>
              <w:jc w:val="right"/>
              <w:ind w:right="680"/>
              <w:spacing w:after="0"/>
              <w:rPr>
                <w:sz w:val="20"/>
                <w:szCs w:val="20"/>
                <w:color w:val="auto"/>
              </w:rPr>
            </w:pPr>
            <w:r>
              <w:rPr>
                <w:rFonts w:ascii="Arial" w:cs="Arial" w:eastAsia="Arial" w:hAnsi="Arial"/>
                <w:sz w:val="13"/>
                <w:szCs w:val="13"/>
                <w:b w:val="1"/>
                <w:bCs w:val="1"/>
                <w:color w:val="auto"/>
              </w:rPr>
              <w:t>September 30,</w:t>
            </w:r>
          </w:p>
        </w:tc>
        <w:tc>
          <w:tcPr>
            <w:tcW w:w="220" w:type="dxa"/>
            <w:vAlign w:val="bottom"/>
          </w:tcPr>
          <w:p>
            <w:pPr>
              <w:spacing w:after="0"/>
              <w:rPr>
                <w:sz w:val="15"/>
                <w:szCs w:val="15"/>
                <w:color w:val="auto"/>
              </w:rPr>
            </w:pPr>
          </w:p>
        </w:tc>
        <w:tc>
          <w:tcPr>
            <w:tcW w:w="1420" w:type="dxa"/>
            <w:vAlign w:val="bottom"/>
            <w:gridSpan w:val="2"/>
          </w:tcPr>
          <w:p>
            <w:pPr>
              <w:jc w:val="right"/>
              <w:ind w:right="480"/>
              <w:spacing w:after="0"/>
              <w:rPr>
                <w:sz w:val="20"/>
                <w:szCs w:val="20"/>
                <w:color w:val="auto"/>
              </w:rPr>
            </w:pPr>
            <w:r>
              <w:rPr>
                <w:rFonts w:ascii="Arial" w:cs="Arial" w:eastAsia="Arial" w:hAnsi="Arial"/>
                <w:sz w:val="13"/>
                <w:szCs w:val="13"/>
                <w:b w:val="1"/>
                <w:bCs w:val="1"/>
                <w:color w:val="auto"/>
              </w:rPr>
              <w:t>December 31,</w:t>
            </w:r>
          </w:p>
        </w:tc>
      </w:tr>
      <w:tr>
        <w:trPr>
          <w:trHeight w:val="183"/>
        </w:trPr>
        <w:tc>
          <w:tcPr>
            <w:tcW w:w="77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588"/>
              <w:spacing w:after="0"/>
              <w:rPr>
                <w:sz w:val="20"/>
                <w:szCs w:val="20"/>
                <w:color w:val="auto"/>
              </w:rPr>
            </w:pPr>
            <w:r>
              <w:rPr>
                <w:rFonts w:ascii="Arial" w:cs="Arial" w:eastAsia="Arial" w:hAnsi="Arial"/>
                <w:sz w:val="13"/>
                <w:szCs w:val="13"/>
                <w:b w:val="1"/>
                <w:bCs w:val="1"/>
                <w:color w:val="auto"/>
              </w:rPr>
              <w:t>2022</w:t>
            </w:r>
          </w:p>
        </w:tc>
        <w:tc>
          <w:tcPr>
            <w:tcW w:w="3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568"/>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5"/>
                <w:szCs w:val="15"/>
                <w:color w:val="auto"/>
              </w:rPr>
            </w:pPr>
          </w:p>
        </w:tc>
      </w:tr>
      <w:tr>
        <w:trPr>
          <w:trHeight w:val="170"/>
        </w:trPr>
        <w:tc>
          <w:tcPr>
            <w:tcW w:w="7720" w:type="dxa"/>
            <w:vAlign w:val="bottom"/>
          </w:tcPr>
          <w:p>
            <w:pPr>
              <w:ind w:left="20"/>
              <w:spacing w:after="0"/>
              <w:rPr>
                <w:sz w:val="20"/>
                <w:szCs w:val="20"/>
                <w:color w:val="auto"/>
              </w:rPr>
            </w:pPr>
            <w:r>
              <w:rPr>
                <w:rFonts w:ascii="Arial" w:cs="Arial" w:eastAsia="Arial" w:hAnsi="Arial"/>
                <w:sz w:val="14"/>
                <w:szCs w:val="14"/>
                <w:b w:val="1"/>
                <w:bCs w:val="1"/>
                <w:color w:val="auto"/>
              </w:rPr>
              <w:t>Assets</w:t>
            </w:r>
          </w:p>
        </w:tc>
        <w:tc>
          <w:tcPr>
            <w:tcW w:w="2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1"/>
        </w:trPr>
        <w:tc>
          <w:tcPr>
            <w:tcW w:w="7720" w:type="dxa"/>
            <w:vAlign w:val="bottom"/>
          </w:tcPr>
          <w:p>
            <w:pPr>
              <w:ind w:left="20"/>
              <w:spacing w:after="0"/>
              <w:rPr>
                <w:sz w:val="20"/>
                <w:szCs w:val="20"/>
                <w:color w:val="auto"/>
              </w:rPr>
            </w:pPr>
            <w:r>
              <w:rPr>
                <w:rFonts w:ascii="Arial" w:cs="Arial" w:eastAsia="Arial" w:hAnsi="Arial"/>
                <w:sz w:val="14"/>
                <w:szCs w:val="14"/>
                <w:color w:val="auto"/>
              </w:rPr>
              <w:t>Current assets:</w:t>
            </w:r>
          </w:p>
        </w:tc>
        <w:tc>
          <w:tcPr>
            <w:tcW w:w="2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6"/>
        </w:trPr>
        <w:tc>
          <w:tcPr>
            <w:tcW w:w="7720" w:type="dxa"/>
            <w:vAlign w:val="bottom"/>
            <w:shd w:val="clear" w:color="auto" w:fill="CFF0FC"/>
          </w:tcPr>
          <w:p>
            <w:pPr>
              <w:ind w:left="200"/>
              <w:spacing w:after="0"/>
              <w:rPr>
                <w:sz w:val="20"/>
                <w:szCs w:val="20"/>
                <w:color w:val="auto"/>
              </w:rPr>
            </w:pPr>
            <w:r>
              <w:rPr>
                <w:rFonts w:ascii="Arial" w:cs="Arial" w:eastAsia="Arial" w:hAnsi="Arial"/>
                <w:sz w:val="14"/>
                <w:szCs w:val="14"/>
                <w:color w:val="auto"/>
              </w:rPr>
              <w:t>Cash and cash equivalents</w:t>
            </w:r>
          </w:p>
        </w:tc>
        <w:tc>
          <w:tcPr>
            <w:tcW w:w="2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w w:val="76"/>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401.9</w:t>
            </w:r>
          </w:p>
        </w:tc>
        <w:tc>
          <w:tcPr>
            <w:tcW w:w="300" w:type="dxa"/>
            <w:vAlign w:val="bottom"/>
            <w:shd w:val="clear" w:color="auto" w:fill="CFF0FC"/>
          </w:tcPr>
          <w:p>
            <w:pPr>
              <w:spacing w:after="0"/>
              <w:rPr>
                <w:sz w:val="15"/>
                <w:szCs w:val="15"/>
                <w:color w:val="auto"/>
              </w:rPr>
            </w:pPr>
          </w:p>
        </w:tc>
        <w:tc>
          <w:tcPr>
            <w:tcW w:w="2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w w:val="76"/>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564.0</w:t>
            </w:r>
          </w:p>
        </w:tc>
        <w:tc>
          <w:tcPr>
            <w:tcW w:w="100" w:type="dxa"/>
            <w:vAlign w:val="bottom"/>
            <w:shd w:val="clear" w:color="auto" w:fill="CFF0FC"/>
          </w:tcPr>
          <w:p>
            <w:pPr>
              <w:spacing w:after="0"/>
              <w:rPr>
                <w:sz w:val="15"/>
                <w:szCs w:val="15"/>
                <w:color w:val="auto"/>
              </w:rPr>
            </w:pPr>
          </w:p>
        </w:tc>
      </w:tr>
      <w:tr>
        <w:trPr>
          <w:trHeight w:val="175"/>
        </w:trPr>
        <w:tc>
          <w:tcPr>
            <w:tcW w:w="7720" w:type="dxa"/>
            <w:vAlign w:val="bottom"/>
          </w:tcPr>
          <w:p>
            <w:pPr>
              <w:ind w:left="200"/>
              <w:spacing w:after="0"/>
              <w:rPr>
                <w:sz w:val="20"/>
                <w:szCs w:val="20"/>
                <w:color w:val="auto"/>
              </w:rPr>
            </w:pPr>
            <w:r>
              <w:rPr>
                <w:rFonts w:ascii="Arial" w:cs="Arial" w:eastAsia="Arial" w:hAnsi="Arial"/>
                <w:sz w:val="14"/>
                <w:szCs w:val="14"/>
                <w:color w:val="auto"/>
              </w:rPr>
              <w:t>Funds receivable and funds held on behalf of clients</w:t>
            </w:r>
          </w:p>
        </w:tc>
        <w:tc>
          <w:tcPr>
            <w:tcW w:w="2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1,115.1</w:t>
            </w: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2,755.7</w:t>
            </w:r>
          </w:p>
        </w:tc>
        <w:tc>
          <w:tcPr>
            <w:tcW w:w="100" w:type="dxa"/>
            <w:vAlign w:val="bottom"/>
          </w:tcPr>
          <w:p>
            <w:pPr>
              <w:spacing w:after="0"/>
              <w:rPr>
                <w:sz w:val="15"/>
                <w:szCs w:val="15"/>
                <w:color w:val="auto"/>
              </w:rPr>
            </w:pPr>
          </w:p>
        </w:tc>
      </w:tr>
      <w:tr>
        <w:trPr>
          <w:trHeight w:val="176"/>
        </w:trPr>
        <w:tc>
          <w:tcPr>
            <w:tcW w:w="7720" w:type="dxa"/>
            <w:vAlign w:val="bottom"/>
            <w:shd w:val="clear" w:color="auto" w:fill="CFF0FC"/>
          </w:tcPr>
          <w:p>
            <w:pPr>
              <w:ind w:left="200"/>
              <w:spacing w:after="0"/>
              <w:rPr>
                <w:sz w:val="20"/>
                <w:szCs w:val="20"/>
                <w:color w:val="auto"/>
              </w:rPr>
            </w:pPr>
            <w:r>
              <w:rPr>
                <w:rFonts w:ascii="Arial" w:cs="Arial" w:eastAsia="Arial" w:hAnsi="Arial"/>
                <w:sz w:val="14"/>
                <w:szCs w:val="14"/>
                <w:color w:val="auto"/>
              </w:rPr>
              <w:t>Accounts receivable, net of allowance for credit losses of $22.3 and $17.9, respectively</w:t>
            </w:r>
          </w:p>
        </w:tc>
        <w:tc>
          <w:tcPr>
            <w:tcW w:w="220" w:type="dxa"/>
            <w:vAlign w:val="bottom"/>
            <w:shd w:val="clear" w:color="auto" w:fill="CFF0FC"/>
          </w:tcPr>
          <w:p>
            <w:pPr>
              <w:spacing w:after="0"/>
              <w:rPr>
                <w:sz w:val="15"/>
                <w:szCs w:val="15"/>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760.5</w:t>
            </w:r>
          </w:p>
        </w:tc>
        <w:tc>
          <w:tcPr>
            <w:tcW w:w="3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713.4</w:t>
            </w:r>
          </w:p>
        </w:tc>
        <w:tc>
          <w:tcPr>
            <w:tcW w:w="100" w:type="dxa"/>
            <w:vAlign w:val="bottom"/>
            <w:shd w:val="clear" w:color="auto" w:fill="CFF0FC"/>
          </w:tcPr>
          <w:p>
            <w:pPr>
              <w:spacing w:after="0"/>
              <w:rPr>
                <w:sz w:val="15"/>
                <w:szCs w:val="15"/>
                <w:color w:val="auto"/>
              </w:rPr>
            </w:pPr>
          </w:p>
        </w:tc>
      </w:tr>
      <w:tr>
        <w:trPr>
          <w:trHeight w:val="175"/>
        </w:trPr>
        <w:tc>
          <w:tcPr>
            <w:tcW w:w="7720" w:type="dxa"/>
            <w:vAlign w:val="bottom"/>
          </w:tcPr>
          <w:p>
            <w:pPr>
              <w:ind w:left="200"/>
              <w:spacing w:after="0"/>
              <w:rPr>
                <w:sz w:val="20"/>
                <w:szCs w:val="20"/>
                <w:color w:val="auto"/>
              </w:rPr>
            </w:pPr>
            <w:r>
              <w:rPr>
                <w:rFonts w:ascii="Arial" w:cs="Arial" w:eastAsia="Arial" w:hAnsi="Arial"/>
                <w:sz w:val="14"/>
                <w:szCs w:val="14"/>
                <w:color w:val="auto"/>
              </w:rPr>
              <w:t>Contract asset</w:t>
            </w:r>
          </w:p>
        </w:tc>
        <w:tc>
          <w:tcPr>
            <w:tcW w:w="2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37.4</w:t>
            </w: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27.4</w:t>
            </w:r>
          </w:p>
        </w:tc>
        <w:tc>
          <w:tcPr>
            <w:tcW w:w="100" w:type="dxa"/>
            <w:vAlign w:val="bottom"/>
          </w:tcPr>
          <w:p>
            <w:pPr>
              <w:spacing w:after="0"/>
              <w:rPr>
                <w:sz w:val="15"/>
                <w:szCs w:val="15"/>
                <w:color w:val="auto"/>
              </w:rPr>
            </w:pPr>
          </w:p>
        </w:tc>
      </w:tr>
      <w:tr>
        <w:trPr>
          <w:trHeight w:val="176"/>
        </w:trPr>
        <w:tc>
          <w:tcPr>
            <w:tcW w:w="7720" w:type="dxa"/>
            <w:vAlign w:val="bottom"/>
            <w:shd w:val="clear" w:color="auto" w:fill="CFF0FC"/>
          </w:tcPr>
          <w:p>
            <w:pPr>
              <w:ind w:left="200"/>
              <w:spacing w:after="0"/>
              <w:rPr>
                <w:sz w:val="20"/>
                <w:szCs w:val="20"/>
                <w:color w:val="auto"/>
              </w:rPr>
            </w:pPr>
            <w:r>
              <w:rPr>
                <w:rFonts w:ascii="Arial" w:cs="Arial" w:eastAsia="Arial" w:hAnsi="Arial"/>
                <w:sz w:val="14"/>
                <w:szCs w:val="14"/>
                <w:color w:val="auto"/>
              </w:rPr>
              <w:t>Prepaid expenses and other current assets</w:t>
            </w:r>
          </w:p>
        </w:tc>
        <w:tc>
          <w:tcPr>
            <w:tcW w:w="220" w:type="dxa"/>
            <w:vAlign w:val="bottom"/>
            <w:shd w:val="clear" w:color="auto" w:fill="CFF0FC"/>
          </w:tcPr>
          <w:p>
            <w:pPr>
              <w:spacing w:after="0"/>
              <w:rPr>
                <w:sz w:val="15"/>
                <w:szCs w:val="15"/>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154.4</w:t>
            </w:r>
          </w:p>
        </w:tc>
        <w:tc>
          <w:tcPr>
            <w:tcW w:w="3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187.5</w:t>
            </w:r>
          </w:p>
        </w:tc>
        <w:tc>
          <w:tcPr>
            <w:tcW w:w="100" w:type="dxa"/>
            <w:vAlign w:val="bottom"/>
            <w:shd w:val="clear" w:color="auto" w:fill="CFF0FC"/>
          </w:tcPr>
          <w:p>
            <w:pPr>
              <w:spacing w:after="0"/>
              <w:rPr>
                <w:sz w:val="15"/>
                <w:szCs w:val="15"/>
                <w:color w:val="auto"/>
              </w:rPr>
            </w:pPr>
          </w:p>
        </w:tc>
      </w:tr>
      <w:tr>
        <w:trPr>
          <w:trHeight w:val="175"/>
        </w:trPr>
        <w:tc>
          <w:tcPr>
            <w:tcW w:w="7720" w:type="dxa"/>
            <w:vAlign w:val="bottom"/>
          </w:tcPr>
          <w:p>
            <w:pPr>
              <w:ind w:left="200"/>
              <w:spacing w:after="0"/>
              <w:rPr>
                <w:sz w:val="20"/>
                <w:szCs w:val="20"/>
                <w:color w:val="auto"/>
              </w:rPr>
            </w:pPr>
            <w:r>
              <w:rPr>
                <w:rFonts w:ascii="Arial" w:cs="Arial" w:eastAsia="Arial" w:hAnsi="Arial"/>
                <w:sz w:val="14"/>
                <w:szCs w:val="14"/>
                <w:color w:val="auto"/>
              </w:rPr>
              <w:t>Restricted cash and cash equivalents</w:t>
            </w:r>
          </w:p>
        </w:tc>
        <w:tc>
          <w:tcPr>
            <w:tcW w:w="2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w:t>
            </w:r>
          </w:p>
        </w:tc>
        <w:tc>
          <w:tcPr>
            <w:tcW w:w="3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w:t>
            </w:r>
          </w:p>
        </w:tc>
        <w:tc>
          <w:tcPr>
            <w:tcW w:w="100" w:type="dxa"/>
            <w:vAlign w:val="bottom"/>
          </w:tcPr>
          <w:p>
            <w:pPr>
              <w:spacing w:after="0"/>
              <w:rPr>
                <w:sz w:val="15"/>
                <w:szCs w:val="15"/>
                <w:color w:val="auto"/>
              </w:rPr>
            </w:pPr>
          </w:p>
        </w:tc>
      </w:tr>
      <w:tr>
        <w:trPr>
          <w:trHeight w:val="169"/>
        </w:trPr>
        <w:tc>
          <w:tcPr>
            <w:tcW w:w="7720" w:type="dxa"/>
            <w:vAlign w:val="bottom"/>
            <w:shd w:val="clear" w:color="auto" w:fill="CFF0FC"/>
          </w:tcPr>
          <w:p>
            <w:pPr>
              <w:ind w:left="20"/>
              <w:spacing w:after="0"/>
              <w:rPr>
                <w:sz w:val="20"/>
                <w:szCs w:val="20"/>
                <w:color w:val="auto"/>
              </w:rPr>
            </w:pPr>
            <w:r>
              <w:rPr>
                <w:rFonts w:ascii="Arial" w:cs="Arial" w:eastAsia="Arial" w:hAnsi="Arial"/>
                <w:sz w:val="14"/>
                <w:szCs w:val="14"/>
                <w:color w:val="auto"/>
              </w:rPr>
              <w:t>Total current assets</w:t>
            </w:r>
          </w:p>
        </w:tc>
        <w:tc>
          <w:tcPr>
            <w:tcW w:w="220" w:type="dxa"/>
            <w:vAlign w:val="bottom"/>
            <w:shd w:val="clear" w:color="auto" w:fill="CFF0FC"/>
          </w:tcPr>
          <w:p>
            <w:pPr>
              <w:spacing w:after="0"/>
              <w:rPr>
                <w:sz w:val="14"/>
                <w:szCs w:val="14"/>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2,472.3</w:t>
            </w:r>
          </w:p>
        </w:tc>
        <w:tc>
          <w:tcPr>
            <w:tcW w:w="3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4,252.2</w:t>
            </w:r>
          </w:p>
        </w:tc>
        <w:tc>
          <w:tcPr>
            <w:tcW w:w="100" w:type="dxa"/>
            <w:vAlign w:val="bottom"/>
            <w:shd w:val="clear" w:color="auto" w:fill="CFF0FC"/>
          </w:tcPr>
          <w:p>
            <w:pPr>
              <w:spacing w:after="0"/>
              <w:rPr>
                <w:sz w:val="14"/>
                <w:szCs w:val="14"/>
                <w:color w:val="auto"/>
              </w:rPr>
            </w:pPr>
          </w:p>
        </w:tc>
      </w:tr>
      <w:tr>
        <w:trPr>
          <w:trHeight w:val="176"/>
        </w:trPr>
        <w:tc>
          <w:tcPr>
            <w:tcW w:w="7720" w:type="dxa"/>
            <w:vAlign w:val="bottom"/>
          </w:tcPr>
          <w:p>
            <w:pPr>
              <w:ind w:left="20"/>
              <w:spacing w:after="0"/>
              <w:rPr>
                <w:sz w:val="20"/>
                <w:szCs w:val="20"/>
                <w:color w:val="auto"/>
              </w:rPr>
            </w:pPr>
            <w:r>
              <w:rPr>
                <w:rFonts w:ascii="Arial" w:cs="Arial" w:eastAsia="Arial" w:hAnsi="Arial"/>
                <w:sz w:val="14"/>
                <w:szCs w:val="14"/>
                <w:color w:val="auto"/>
              </w:rPr>
              <w:t>Property, plant and equipment, net (Note 2)</w:t>
            </w:r>
          </w:p>
        </w:tc>
        <w:tc>
          <w:tcPr>
            <w:tcW w:w="2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346.1</w:t>
            </w: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382.0</w:t>
            </w:r>
          </w:p>
        </w:tc>
        <w:tc>
          <w:tcPr>
            <w:tcW w:w="100" w:type="dxa"/>
            <w:vAlign w:val="bottom"/>
          </w:tcPr>
          <w:p>
            <w:pPr>
              <w:spacing w:after="0"/>
              <w:rPr>
                <w:sz w:val="15"/>
                <w:szCs w:val="15"/>
                <w:color w:val="auto"/>
              </w:rPr>
            </w:pPr>
          </w:p>
        </w:tc>
      </w:tr>
      <w:tr>
        <w:trPr>
          <w:trHeight w:val="175"/>
        </w:trPr>
        <w:tc>
          <w:tcPr>
            <w:tcW w:w="7720" w:type="dxa"/>
            <w:vAlign w:val="bottom"/>
            <w:shd w:val="clear" w:color="auto" w:fill="CFF0FC"/>
          </w:tcPr>
          <w:p>
            <w:pPr>
              <w:ind w:left="20"/>
              <w:spacing w:after="0"/>
              <w:rPr>
                <w:sz w:val="20"/>
                <w:szCs w:val="20"/>
                <w:color w:val="auto"/>
              </w:rPr>
            </w:pPr>
            <w:r>
              <w:rPr>
                <w:rFonts w:ascii="Arial" w:cs="Arial" w:eastAsia="Arial" w:hAnsi="Arial"/>
                <w:sz w:val="14"/>
                <w:szCs w:val="14"/>
                <w:color w:val="auto"/>
              </w:rPr>
              <w:t>Operating lease right-of-use assets</w:t>
            </w:r>
          </w:p>
        </w:tc>
        <w:tc>
          <w:tcPr>
            <w:tcW w:w="220" w:type="dxa"/>
            <w:vAlign w:val="bottom"/>
            <w:shd w:val="clear" w:color="auto" w:fill="CFF0FC"/>
          </w:tcPr>
          <w:p>
            <w:pPr>
              <w:spacing w:after="0"/>
              <w:rPr>
                <w:sz w:val="15"/>
                <w:szCs w:val="15"/>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266.1</w:t>
            </w:r>
          </w:p>
        </w:tc>
        <w:tc>
          <w:tcPr>
            <w:tcW w:w="3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291.2</w:t>
            </w:r>
          </w:p>
        </w:tc>
        <w:tc>
          <w:tcPr>
            <w:tcW w:w="100" w:type="dxa"/>
            <w:vAlign w:val="bottom"/>
            <w:shd w:val="clear" w:color="auto" w:fill="CFF0FC"/>
          </w:tcPr>
          <w:p>
            <w:pPr>
              <w:spacing w:after="0"/>
              <w:rPr>
                <w:sz w:val="15"/>
                <w:szCs w:val="15"/>
                <w:color w:val="auto"/>
              </w:rPr>
            </w:pPr>
          </w:p>
        </w:tc>
      </w:tr>
      <w:tr>
        <w:trPr>
          <w:trHeight w:val="176"/>
        </w:trPr>
        <w:tc>
          <w:tcPr>
            <w:tcW w:w="7720" w:type="dxa"/>
            <w:vAlign w:val="bottom"/>
          </w:tcPr>
          <w:p>
            <w:pPr>
              <w:ind w:left="20"/>
              <w:spacing w:after="0"/>
              <w:rPr>
                <w:sz w:val="20"/>
                <w:szCs w:val="20"/>
                <w:color w:val="auto"/>
              </w:rPr>
            </w:pPr>
            <w:r>
              <w:rPr>
                <w:rFonts w:ascii="Arial" w:cs="Arial" w:eastAsia="Arial" w:hAnsi="Arial"/>
                <w:sz w:val="14"/>
                <w:szCs w:val="14"/>
                <w:color w:val="auto"/>
              </w:rPr>
              <w:t>Investments (Note 3)</w:t>
            </w:r>
          </w:p>
        </w:tc>
        <w:tc>
          <w:tcPr>
            <w:tcW w:w="2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154.6</w:t>
            </w: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172.8</w:t>
            </w:r>
          </w:p>
        </w:tc>
        <w:tc>
          <w:tcPr>
            <w:tcW w:w="100" w:type="dxa"/>
            <w:vAlign w:val="bottom"/>
          </w:tcPr>
          <w:p>
            <w:pPr>
              <w:spacing w:after="0"/>
              <w:rPr>
                <w:sz w:val="15"/>
                <w:szCs w:val="15"/>
                <w:color w:val="auto"/>
              </w:rPr>
            </w:pPr>
          </w:p>
        </w:tc>
      </w:tr>
      <w:tr>
        <w:trPr>
          <w:trHeight w:val="176"/>
        </w:trPr>
        <w:tc>
          <w:tcPr>
            <w:tcW w:w="7720" w:type="dxa"/>
            <w:vAlign w:val="bottom"/>
            <w:shd w:val="clear" w:color="auto" w:fill="CFF0FC"/>
          </w:tcPr>
          <w:p>
            <w:pPr>
              <w:ind w:left="20"/>
              <w:spacing w:after="0"/>
              <w:rPr>
                <w:sz w:val="20"/>
                <w:szCs w:val="20"/>
                <w:color w:val="auto"/>
              </w:rPr>
            </w:pPr>
            <w:r>
              <w:rPr>
                <w:rFonts w:ascii="Arial" w:cs="Arial" w:eastAsia="Arial" w:hAnsi="Arial"/>
                <w:sz w:val="14"/>
                <w:szCs w:val="14"/>
                <w:color w:val="auto"/>
              </w:rPr>
              <w:t>Unconsolidated affiliates (Note 4)</w:t>
            </w:r>
          </w:p>
        </w:tc>
        <w:tc>
          <w:tcPr>
            <w:tcW w:w="220" w:type="dxa"/>
            <w:vAlign w:val="bottom"/>
            <w:shd w:val="clear" w:color="auto" w:fill="CFF0FC"/>
          </w:tcPr>
          <w:p>
            <w:pPr>
              <w:spacing w:after="0"/>
              <w:rPr>
                <w:sz w:val="15"/>
                <w:szCs w:val="15"/>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236.2</w:t>
            </w:r>
          </w:p>
        </w:tc>
        <w:tc>
          <w:tcPr>
            <w:tcW w:w="3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306.1</w:t>
            </w:r>
          </w:p>
        </w:tc>
        <w:tc>
          <w:tcPr>
            <w:tcW w:w="100" w:type="dxa"/>
            <w:vAlign w:val="bottom"/>
            <w:shd w:val="clear" w:color="auto" w:fill="CFF0FC"/>
          </w:tcPr>
          <w:p>
            <w:pPr>
              <w:spacing w:after="0"/>
              <w:rPr>
                <w:sz w:val="15"/>
                <w:szCs w:val="15"/>
                <w:color w:val="auto"/>
              </w:rPr>
            </w:pPr>
          </w:p>
        </w:tc>
      </w:tr>
      <w:tr>
        <w:trPr>
          <w:trHeight w:val="175"/>
        </w:trPr>
        <w:tc>
          <w:tcPr>
            <w:tcW w:w="7720" w:type="dxa"/>
            <w:vAlign w:val="bottom"/>
          </w:tcPr>
          <w:p>
            <w:pPr>
              <w:ind w:left="20"/>
              <w:spacing w:after="0"/>
              <w:rPr>
                <w:sz w:val="20"/>
                <w:szCs w:val="20"/>
                <w:color w:val="auto"/>
              </w:rPr>
            </w:pPr>
            <w:r>
              <w:rPr>
                <w:rFonts w:ascii="Arial" w:cs="Arial" w:eastAsia="Arial" w:hAnsi="Arial"/>
                <w:sz w:val="14"/>
                <w:szCs w:val="14"/>
                <w:color w:val="auto"/>
              </w:rPr>
              <w:t>Contract asset</w:t>
            </w:r>
          </w:p>
        </w:tc>
        <w:tc>
          <w:tcPr>
            <w:tcW w:w="2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107.8</w:t>
            </w: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77.9</w:t>
            </w:r>
          </w:p>
        </w:tc>
        <w:tc>
          <w:tcPr>
            <w:tcW w:w="100" w:type="dxa"/>
            <w:vAlign w:val="bottom"/>
          </w:tcPr>
          <w:p>
            <w:pPr>
              <w:spacing w:after="0"/>
              <w:rPr>
                <w:sz w:val="15"/>
                <w:szCs w:val="15"/>
                <w:color w:val="auto"/>
              </w:rPr>
            </w:pPr>
          </w:p>
        </w:tc>
      </w:tr>
      <w:tr>
        <w:trPr>
          <w:trHeight w:val="176"/>
        </w:trPr>
        <w:tc>
          <w:tcPr>
            <w:tcW w:w="7720" w:type="dxa"/>
            <w:vAlign w:val="bottom"/>
            <w:shd w:val="clear" w:color="auto" w:fill="CFF0FC"/>
          </w:tcPr>
          <w:p>
            <w:pPr>
              <w:ind w:left="20"/>
              <w:spacing w:after="0"/>
              <w:rPr>
                <w:sz w:val="20"/>
                <w:szCs w:val="20"/>
                <w:color w:val="auto"/>
              </w:rPr>
            </w:pPr>
            <w:r>
              <w:rPr>
                <w:rFonts w:ascii="Arial" w:cs="Arial" w:eastAsia="Arial" w:hAnsi="Arial"/>
                <w:sz w:val="14"/>
                <w:szCs w:val="14"/>
                <w:color w:val="auto"/>
              </w:rPr>
              <w:t>Goodwill (Note 6)</w:t>
            </w:r>
          </w:p>
        </w:tc>
        <w:tc>
          <w:tcPr>
            <w:tcW w:w="220" w:type="dxa"/>
            <w:vAlign w:val="bottom"/>
            <w:shd w:val="clear" w:color="auto" w:fill="CFF0FC"/>
          </w:tcPr>
          <w:p>
            <w:pPr>
              <w:spacing w:after="0"/>
              <w:rPr>
                <w:sz w:val="15"/>
                <w:szCs w:val="15"/>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8,713.2</w:t>
            </w:r>
          </w:p>
        </w:tc>
        <w:tc>
          <w:tcPr>
            <w:tcW w:w="3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8,045.5</w:t>
            </w:r>
          </w:p>
        </w:tc>
        <w:tc>
          <w:tcPr>
            <w:tcW w:w="100" w:type="dxa"/>
            <w:vAlign w:val="bottom"/>
            <w:shd w:val="clear" w:color="auto" w:fill="CFF0FC"/>
          </w:tcPr>
          <w:p>
            <w:pPr>
              <w:spacing w:after="0"/>
              <w:rPr>
                <w:sz w:val="15"/>
                <w:szCs w:val="15"/>
                <w:color w:val="auto"/>
              </w:rPr>
            </w:pPr>
          </w:p>
        </w:tc>
      </w:tr>
      <w:tr>
        <w:trPr>
          <w:trHeight w:val="175"/>
        </w:trPr>
        <w:tc>
          <w:tcPr>
            <w:tcW w:w="7720" w:type="dxa"/>
            <w:vAlign w:val="bottom"/>
          </w:tcPr>
          <w:p>
            <w:pPr>
              <w:ind w:left="20"/>
              <w:spacing w:after="0"/>
              <w:rPr>
                <w:sz w:val="20"/>
                <w:szCs w:val="20"/>
                <w:color w:val="auto"/>
              </w:rPr>
            </w:pPr>
            <w:r>
              <w:rPr>
                <w:rFonts w:ascii="Arial" w:cs="Arial" w:eastAsia="Arial" w:hAnsi="Arial"/>
                <w:sz w:val="14"/>
                <w:szCs w:val="14"/>
                <w:color w:val="auto"/>
              </w:rPr>
              <w:t>Intangible and other assets, net of accumulated amortization of $3,257.2 and $2,890.5, respectively</w:t>
            </w:r>
          </w:p>
        </w:tc>
        <w:tc>
          <w:tcPr>
            <w:tcW w:w="2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4,204.3</w:t>
            </w:r>
          </w:p>
        </w:tc>
        <w:tc>
          <w:tcPr>
            <w:tcW w:w="3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3,805.3</w:t>
            </w:r>
          </w:p>
        </w:tc>
        <w:tc>
          <w:tcPr>
            <w:tcW w:w="100" w:type="dxa"/>
            <w:vAlign w:val="bottom"/>
          </w:tcPr>
          <w:p>
            <w:pPr>
              <w:spacing w:after="0"/>
              <w:rPr>
                <w:sz w:val="15"/>
                <w:szCs w:val="15"/>
                <w:color w:val="auto"/>
              </w:rPr>
            </w:pPr>
          </w:p>
        </w:tc>
      </w:tr>
      <w:tr>
        <w:trPr>
          <w:trHeight w:val="209"/>
        </w:trPr>
        <w:tc>
          <w:tcPr>
            <w:tcW w:w="7720" w:type="dxa"/>
            <w:vAlign w:val="bottom"/>
            <w:tcBorders>
              <w:bottom w:val="single" w:sz="8" w:color="CFF0FC"/>
            </w:tcBorders>
            <w:shd w:val="clear" w:color="auto" w:fill="CFF0FC"/>
          </w:tcPr>
          <w:p>
            <w:pPr>
              <w:ind w:left="20"/>
              <w:spacing w:after="0" w:line="155" w:lineRule="exact"/>
              <w:rPr>
                <w:sz w:val="20"/>
                <w:szCs w:val="20"/>
                <w:color w:val="auto"/>
              </w:rPr>
            </w:pPr>
            <w:r>
              <w:rPr>
                <w:rFonts w:ascii="Arial" w:cs="Arial" w:eastAsia="Arial" w:hAnsi="Arial"/>
                <w:sz w:val="14"/>
                <w:szCs w:val="14"/>
                <w:color w:val="auto"/>
              </w:rPr>
              <w:t>Total assets</w:t>
            </w:r>
          </w:p>
        </w:tc>
        <w:tc>
          <w:tcPr>
            <w:tcW w:w="220" w:type="dxa"/>
            <w:vAlign w:val="bottom"/>
            <w:tcBorders>
              <w:bottom w:val="single" w:sz="8" w:color="auto"/>
            </w:tcBorders>
            <w:shd w:val="clear" w:color="auto" w:fill="CFF0FC"/>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136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16,500.6</w:t>
            </w:r>
          </w:p>
        </w:tc>
        <w:tc>
          <w:tcPr>
            <w:tcW w:w="3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132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17,333.0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151"/>
        </w:trPr>
        <w:tc>
          <w:tcPr>
            <w:tcW w:w="7720" w:type="dxa"/>
            <w:vAlign w:val="bottom"/>
          </w:tcPr>
          <w:p>
            <w:pPr>
              <w:ind w:left="20"/>
              <w:spacing w:after="0" w:line="151" w:lineRule="exact"/>
              <w:rPr>
                <w:sz w:val="20"/>
                <w:szCs w:val="20"/>
                <w:color w:val="auto"/>
              </w:rPr>
            </w:pPr>
            <w:r>
              <w:rPr>
                <w:rFonts w:ascii="Arial" w:cs="Arial" w:eastAsia="Arial" w:hAnsi="Arial"/>
                <w:sz w:val="14"/>
                <w:szCs w:val="14"/>
                <w:b w:val="1"/>
                <w:bCs w:val="1"/>
                <w:color w:val="auto"/>
              </w:rPr>
              <w:t>Liabilities, Redeemable Noncontrolling Interest and Stockholders’ Equity</w:t>
            </w:r>
          </w:p>
        </w:tc>
        <w:tc>
          <w:tcPr>
            <w:tcW w:w="2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81"/>
        </w:trPr>
        <w:tc>
          <w:tcPr>
            <w:tcW w:w="7720" w:type="dxa"/>
            <w:vAlign w:val="bottom"/>
          </w:tcPr>
          <w:p>
            <w:pPr>
              <w:ind w:left="20"/>
              <w:spacing w:after="0"/>
              <w:rPr>
                <w:sz w:val="20"/>
                <w:szCs w:val="20"/>
                <w:color w:val="auto"/>
              </w:rPr>
            </w:pPr>
            <w:r>
              <w:rPr>
                <w:rFonts w:ascii="Arial" w:cs="Arial" w:eastAsia="Arial" w:hAnsi="Arial"/>
                <w:sz w:val="14"/>
                <w:szCs w:val="14"/>
                <w:color w:val="auto"/>
              </w:rPr>
              <w:t>Current liabilities:</w:t>
            </w:r>
          </w:p>
        </w:tc>
        <w:tc>
          <w:tcPr>
            <w:tcW w:w="2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5"/>
        </w:trPr>
        <w:tc>
          <w:tcPr>
            <w:tcW w:w="7720" w:type="dxa"/>
            <w:vAlign w:val="bottom"/>
            <w:shd w:val="clear" w:color="auto" w:fill="CFF0FC"/>
          </w:tcPr>
          <w:p>
            <w:pPr>
              <w:ind w:left="200"/>
              <w:spacing w:after="0"/>
              <w:rPr>
                <w:sz w:val="20"/>
                <w:szCs w:val="20"/>
                <w:color w:val="auto"/>
              </w:rPr>
            </w:pPr>
            <w:r>
              <w:rPr>
                <w:rFonts w:ascii="Arial" w:cs="Arial" w:eastAsia="Arial" w:hAnsi="Arial"/>
                <w:sz w:val="14"/>
                <w:szCs w:val="14"/>
                <w:color w:val="auto"/>
              </w:rPr>
              <w:t>Current portion of long-term debt (Note 7)</w:t>
            </w:r>
          </w:p>
        </w:tc>
        <w:tc>
          <w:tcPr>
            <w:tcW w:w="2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w w:val="76"/>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57.4</w:t>
            </w:r>
          </w:p>
        </w:tc>
        <w:tc>
          <w:tcPr>
            <w:tcW w:w="300" w:type="dxa"/>
            <w:vAlign w:val="bottom"/>
            <w:shd w:val="clear" w:color="auto" w:fill="CFF0FC"/>
          </w:tcPr>
          <w:p>
            <w:pPr>
              <w:spacing w:after="0"/>
              <w:rPr>
                <w:sz w:val="15"/>
                <w:szCs w:val="15"/>
                <w:color w:val="auto"/>
              </w:rPr>
            </w:pPr>
          </w:p>
        </w:tc>
        <w:tc>
          <w:tcPr>
            <w:tcW w:w="2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w w:val="76"/>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47.4</w:t>
            </w:r>
          </w:p>
        </w:tc>
        <w:tc>
          <w:tcPr>
            <w:tcW w:w="100" w:type="dxa"/>
            <w:vAlign w:val="bottom"/>
            <w:shd w:val="clear" w:color="auto" w:fill="CFF0FC"/>
          </w:tcPr>
          <w:p>
            <w:pPr>
              <w:spacing w:after="0"/>
              <w:rPr>
                <w:sz w:val="15"/>
                <w:szCs w:val="15"/>
                <w:color w:val="auto"/>
              </w:rPr>
            </w:pPr>
          </w:p>
        </w:tc>
      </w:tr>
      <w:tr>
        <w:trPr>
          <w:trHeight w:val="176"/>
        </w:trPr>
        <w:tc>
          <w:tcPr>
            <w:tcW w:w="7720" w:type="dxa"/>
            <w:vAlign w:val="bottom"/>
          </w:tcPr>
          <w:p>
            <w:pPr>
              <w:ind w:left="200"/>
              <w:spacing w:after="0"/>
              <w:rPr>
                <w:sz w:val="20"/>
                <w:szCs w:val="20"/>
                <w:color w:val="auto"/>
              </w:rPr>
            </w:pPr>
            <w:r>
              <w:rPr>
                <w:rFonts w:ascii="Arial" w:cs="Arial" w:eastAsia="Arial" w:hAnsi="Arial"/>
                <w:sz w:val="14"/>
                <w:szCs w:val="14"/>
                <w:color w:val="auto"/>
              </w:rPr>
              <w:t>Client funds obligations</w:t>
            </w:r>
          </w:p>
        </w:tc>
        <w:tc>
          <w:tcPr>
            <w:tcW w:w="2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1,115.1</w:t>
            </w: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2,755.7</w:t>
            </w:r>
          </w:p>
        </w:tc>
        <w:tc>
          <w:tcPr>
            <w:tcW w:w="100" w:type="dxa"/>
            <w:vAlign w:val="bottom"/>
          </w:tcPr>
          <w:p>
            <w:pPr>
              <w:spacing w:after="0"/>
              <w:rPr>
                <w:sz w:val="15"/>
                <w:szCs w:val="15"/>
                <w:color w:val="auto"/>
              </w:rPr>
            </w:pPr>
          </w:p>
        </w:tc>
      </w:tr>
      <w:tr>
        <w:trPr>
          <w:trHeight w:val="176"/>
        </w:trPr>
        <w:tc>
          <w:tcPr>
            <w:tcW w:w="7720" w:type="dxa"/>
            <w:vAlign w:val="bottom"/>
            <w:shd w:val="clear" w:color="auto" w:fill="CFF0FC"/>
          </w:tcPr>
          <w:p>
            <w:pPr>
              <w:ind w:left="200"/>
              <w:spacing w:after="0"/>
              <w:rPr>
                <w:sz w:val="20"/>
                <w:szCs w:val="20"/>
                <w:color w:val="auto"/>
              </w:rPr>
            </w:pPr>
            <w:r>
              <w:rPr>
                <w:rFonts w:ascii="Arial" w:cs="Arial" w:eastAsia="Arial" w:hAnsi="Arial"/>
                <w:sz w:val="14"/>
                <w:szCs w:val="14"/>
                <w:color w:val="auto"/>
              </w:rPr>
              <w:t>Accounts payable</w:t>
            </w:r>
          </w:p>
        </w:tc>
        <w:tc>
          <w:tcPr>
            <w:tcW w:w="220" w:type="dxa"/>
            <w:vAlign w:val="bottom"/>
            <w:shd w:val="clear" w:color="auto" w:fill="CFF0FC"/>
          </w:tcPr>
          <w:p>
            <w:pPr>
              <w:spacing w:after="0"/>
              <w:rPr>
                <w:sz w:val="15"/>
                <w:szCs w:val="15"/>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34.7</w:t>
            </w:r>
          </w:p>
        </w:tc>
        <w:tc>
          <w:tcPr>
            <w:tcW w:w="3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28.7</w:t>
            </w:r>
          </w:p>
        </w:tc>
        <w:tc>
          <w:tcPr>
            <w:tcW w:w="100" w:type="dxa"/>
            <w:vAlign w:val="bottom"/>
            <w:shd w:val="clear" w:color="auto" w:fill="CFF0FC"/>
          </w:tcPr>
          <w:p>
            <w:pPr>
              <w:spacing w:after="0"/>
              <w:rPr>
                <w:sz w:val="15"/>
                <w:szCs w:val="15"/>
                <w:color w:val="auto"/>
              </w:rPr>
            </w:pPr>
          </w:p>
        </w:tc>
      </w:tr>
      <w:tr>
        <w:trPr>
          <w:trHeight w:val="175"/>
        </w:trPr>
        <w:tc>
          <w:tcPr>
            <w:tcW w:w="7720" w:type="dxa"/>
            <w:vAlign w:val="bottom"/>
          </w:tcPr>
          <w:p>
            <w:pPr>
              <w:ind w:left="200"/>
              <w:spacing w:after="0"/>
              <w:rPr>
                <w:sz w:val="20"/>
                <w:szCs w:val="20"/>
                <w:color w:val="auto"/>
              </w:rPr>
            </w:pPr>
            <w:r>
              <w:rPr>
                <w:rFonts w:ascii="Arial" w:cs="Arial" w:eastAsia="Arial" w:hAnsi="Arial"/>
                <w:sz w:val="14"/>
                <w:szCs w:val="14"/>
                <w:color w:val="auto"/>
              </w:rPr>
              <w:t>Income taxes payable</w:t>
            </w:r>
          </w:p>
        </w:tc>
        <w:tc>
          <w:tcPr>
            <w:tcW w:w="220" w:type="dxa"/>
            <w:vAlign w:val="bottom"/>
          </w:tcPr>
          <w:p>
            <w:pPr>
              <w:spacing w:after="0"/>
              <w:rPr>
                <w:sz w:val="15"/>
                <w:szCs w:val="15"/>
                <w:color w:val="auto"/>
              </w:rPr>
            </w:pPr>
          </w:p>
        </w:tc>
        <w:tc>
          <w:tcPr>
            <w:tcW w:w="166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25.5</w:t>
            </w:r>
          </w:p>
        </w:tc>
        <w:tc>
          <w:tcPr>
            <w:tcW w:w="100" w:type="dxa"/>
            <w:vAlign w:val="bottom"/>
          </w:tcPr>
          <w:p>
            <w:pPr>
              <w:spacing w:after="0"/>
              <w:rPr>
                <w:sz w:val="15"/>
                <w:szCs w:val="15"/>
                <w:color w:val="auto"/>
              </w:rPr>
            </w:pPr>
          </w:p>
        </w:tc>
      </w:tr>
      <w:tr>
        <w:trPr>
          <w:trHeight w:val="176"/>
        </w:trPr>
        <w:tc>
          <w:tcPr>
            <w:tcW w:w="7720" w:type="dxa"/>
            <w:vAlign w:val="bottom"/>
            <w:shd w:val="clear" w:color="auto" w:fill="CFF0FC"/>
          </w:tcPr>
          <w:p>
            <w:pPr>
              <w:ind w:left="200"/>
              <w:spacing w:after="0"/>
              <w:rPr>
                <w:sz w:val="20"/>
                <w:szCs w:val="20"/>
                <w:color w:val="auto"/>
              </w:rPr>
            </w:pPr>
            <w:r>
              <w:rPr>
                <w:rFonts w:ascii="Arial" w:cs="Arial" w:eastAsia="Arial" w:hAnsi="Arial"/>
                <w:sz w:val="14"/>
                <w:szCs w:val="14"/>
                <w:color w:val="auto"/>
              </w:rPr>
              <w:t>Accrued employee compensation and benefits</w:t>
            </w:r>
          </w:p>
        </w:tc>
        <w:tc>
          <w:tcPr>
            <w:tcW w:w="220" w:type="dxa"/>
            <w:vAlign w:val="bottom"/>
            <w:shd w:val="clear" w:color="auto" w:fill="CFF0FC"/>
          </w:tcPr>
          <w:p>
            <w:pPr>
              <w:spacing w:after="0"/>
              <w:rPr>
                <w:sz w:val="15"/>
                <w:szCs w:val="15"/>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212.2</w:t>
            </w:r>
          </w:p>
        </w:tc>
        <w:tc>
          <w:tcPr>
            <w:tcW w:w="3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322.2</w:t>
            </w:r>
          </w:p>
        </w:tc>
        <w:tc>
          <w:tcPr>
            <w:tcW w:w="100" w:type="dxa"/>
            <w:vAlign w:val="bottom"/>
            <w:shd w:val="clear" w:color="auto" w:fill="CFF0FC"/>
          </w:tcPr>
          <w:p>
            <w:pPr>
              <w:spacing w:after="0"/>
              <w:rPr>
                <w:sz w:val="15"/>
                <w:szCs w:val="15"/>
                <w:color w:val="auto"/>
              </w:rPr>
            </w:pPr>
          </w:p>
        </w:tc>
      </w:tr>
      <w:tr>
        <w:trPr>
          <w:trHeight w:val="175"/>
        </w:trPr>
        <w:tc>
          <w:tcPr>
            <w:tcW w:w="7720" w:type="dxa"/>
            <w:vAlign w:val="bottom"/>
          </w:tcPr>
          <w:p>
            <w:pPr>
              <w:ind w:left="200"/>
              <w:spacing w:after="0"/>
              <w:rPr>
                <w:sz w:val="20"/>
                <w:szCs w:val="20"/>
                <w:color w:val="auto"/>
              </w:rPr>
            </w:pPr>
            <w:r>
              <w:rPr>
                <w:rFonts w:ascii="Arial" w:cs="Arial" w:eastAsia="Arial" w:hAnsi="Arial"/>
                <w:sz w:val="14"/>
                <w:szCs w:val="14"/>
                <w:color w:val="auto"/>
              </w:rPr>
              <w:t>Interest payable</w:t>
            </w:r>
          </w:p>
        </w:tc>
        <w:tc>
          <w:tcPr>
            <w:tcW w:w="220" w:type="dxa"/>
            <w:vAlign w:val="bottom"/>
          </w:tcPr>
          <w:p>
            <w:pPr>
              <w:spacing w:after="0"/>
              <w:rPr>
                <w:sz w:val="15"/>
                <w:szCs w:val="15"/>
                <w:color w:val="auto"/>
              </w:rPr>
            </w:pPr>
          </w:p>
        </w:tc>
        <w:tc>
          <w:tcPr>
            <w:tcW w:w="166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27.5</w:t>
            </w:r>
          </w:p>
        </w:tc>
        <w:tc>
          <w:tcPr>
            <w:tcW w:w="100" w:type="dxa"/>
            <w:vAlign w:val="bottom"/>
          </w:tcPr>
          <w:p>
            <w:pPr>
              <w:spacing w:after="0"/>
              <w:rPr>
                <w:sz w:val="15"/>
                <w:szCs w:val="15"/>
                <w:color w:val="auto"/>
              </w:rPr>
            </w:pPr>
          </w:p>
        </w:tc>
      </w:tr>
      <w:tr>
        <w:trPr>
          <w:trHeight w:val="175"/>
        </w:trPr>
        <w:tc>
          <w:tcPr>
            <w:tcW w:w="7720" w:type="dxa"/>
            <w:vAlign w:val="bottom"/>
            <w:shd w:val="clear" w:color="auto" w:fill="CFF0FC"/>
          </w:tcPr>
          <w:p>
            <w:pPr>
              <w:ind w:left="200"/>
              <w:spacing w:after="0"/>
              <w:rPr>
                <w:sz w:val="20"/>
                <w:szCs w:val="20"/>
                <w:color w:val="auto"/>
              </w:rPr>
            </w:pPr>
            <w:r>
              <w:rPr>
                <w:rFonts w:ascii="Arial" w:cs="Arial" w:eastAsia="Arial" w:hAnsi="Arial"/>
                <w:sz w:val="14"/>
                <w:szCs w:val="14"/>
                <w:color w:val="auto"/>
              </w:rPr>
              <w:t>Other accrued expenses</w:t>
            </w:r>
          </w:p>
        </w:tc>
        <w:tc>
          <w:tcPr>
            <w:tcW w:w="220" w:type="dxa"/>
            <w:vAlign w:val="bottom"/>
            <w:shd w:val="clear" w:color="auto" w:fill="CFF0FC"/>
          </w:tcPr>
          <w:p>
            <w:pPr>
              <w:spacing w:after="0"/>
              <w:rPr>
                <w:sz w:val="15"/>
                <w:szCs w:val="15"/>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342.3</w:t>
            </w:r>
          </w:p>
        </w:tc>
        <w:tc>
          <w:tcPr>
            <w:tcW w:w="3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310.1</w:t>
            </w:r>
          </w:p>
        </w:tc>
        <w:tc>
          <w:tcPr>
            <w:tcW w:w="100" w:type="dxa"/>
            <w:vAlign w:val="bottom"/>
            <w:shd w:val="clear" w:color="auto" w:fill="CFF0FC"/>
          </w:tcPr>
          <w:p>
            <w:pPr>
              <w:spacing w:after="0"/>
              <w:rPr>
                <w:sz w:val="15"/>
                <w:szCs w:val="15"/>
                <w:color w:val="auto"/>
              </w:rPr>
            </w:pPr>
          </w:p>
        </w:tc>
      </w:tr>
      <w:tr>
        <w:trPr>
          <w:trHeight w:val="175"/>
        </w:trPr>
        <w:tc>
          <w:tcPr>
            <w:tcW w:w="7720" w:type="dxa"/>
            <w:vAlign w:val="bottom"/>
          </w:tcPr>
          <w:p>
            <w:pPr>
              <w:ind w:left="200"/>
              <w:spacing w:after="0"/>
              <w:rPr>
                <w:sz w:val="20"/>
                <w:szCs w:val="20"/>
                <w:color w:val="auto"/>
              </w:rPr>
            </w:pPr>
            <w:r>
              <w:rPr>
                <w:rFonts w:ascii="Arial" w:cs="Arial" w:eastAsia="Arial" w:hAnsi="Arial"/>
                <w:sz w:val="14"/>
                <w:szCs w:val="14"/>
                <w:color w:val="auto"/>
              </w:rPr>
              <w:t>Deferred revenues</w:t>
            </w:r>
          </w:p>
        </w:tc>
        <w:tc>
          <w:tcPr>
            <w:tcW w:w="2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435.9</w:t>
            </w:r>
          </w:p>
        </w:tc>
        <w:tc>
          <w:tcPr>
            <w:tcW w:w="3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334.0</w:t>
            </w:r>
          </w:p>
        </w:tc>
        <w:tc>
          <w:tcPr>
            <w:tcW w:w="100" w:type="dxa"/>
            <w:vAlign w:val="bottom"/>
          </w:tcPr>
          <w:p>
            <w:pPr>
              <w:spacing w:after="0"/>
              <w:rPr>
                <w:sz w:val="15"/>
                <w:szCs w:val="15"/>
                <w:color w:val="auto"/>
              </w:rPr>
            </w:pPr>
          </w:p>
        </w:tc>
      </w:tr>
      <w:tr>
        <w:trPr>
          <w:trHeight w:val="169"/>
        </w:trPr>
        <w:tc>
          <w:tcPr>
            <w:tcW w:w="7720" w:type="dxa"/>
            <w:vAlign w:val="bottom"/>
            <w:shd w:val="clear" w:color="auto" w:fill="CFF0FC"/>
          </w:tcPr>
          <w:p>
            <w:pPr>
              <w:ind w:left="20"/>
              <w:spacing w:after="0"/>
              <w:rPr>
                <w:sz w:val="20"/>
                <w:szCs w:val="20"/>
                <w:color w:val="auto"/>
              </w:rPr>
            </w:pPr>
            <w:r>
              <w:rPr>
                <w:rFonts w:ascii="Arial" w:cs="Arial" w:eastAsia="Arial" w:hAnsi="Arial"/>
                <w:sz w:val="14"/>
                <w:szCs w:val="14"/>
                <w:color w:val="auto"/>
              </w:rPr>
              <w:t>Total current liabilities</w:t>
            </w:r>
          </w:p>
        </w:tc>
        <w:tc>
          <w:tcPr>
            <w:tcW w:w="220" w:type="dxa"/>
            <w:vAlign w:val="bottom"/>
            <w:shd w:val="clear" w:color="auto" w:fill="CFF0FC"/>
          </w:tcPr>
          <w:p>
            <w:pPr>
              <w:spacing w:after="0"/>
              <w:rPr>
                <w:sz w:val="14"/>
                <w:szCs w:val="14"/>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2,197.6</w:t>
            </w:r>
          </w:p>
        </w:tc>
        <w:tc>
          <w:tcPr>
            <w:tcW w:w="3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3,851.1</w:t>
            </w:r>
          </w:p>
        </w:tc>
        <w:tc>
          <w:tcPr>
            <w:tcW w:w="100" w:type="dxa"/>
            <w:vAlign w:val="bottom"/>
            <w:shd w:val="clear" w:color="auto" w:fill="CFF0FC"/>
          </w:tcPr>
          <w:p>
            <w:pPr>
              <w:spacing w:after="0"/>
              <w:rPr>
                <w:sz w:val="14"/>
                <w:szCs w:val="14"/>
                <w:color w:val="auto"/>
              </w:rPr>
            </w:pPr>
          </w:p>
        </w:tc>
      </w:tr>
      <w:tr>
        <w:trPr>
          <w:trHeight w:val="175"/>
        </w:trPr>
        <w:tc>
          <w:tcPr>
            <w:tcW w:w="7720" w:type="dxa"/>
            <w:vAlign w:val="bottom"/>
          </w:tcPr>
          <w:p>
            <w:pPr>
              <w:ind w:left="20"/>
              <w:spacing w:after="0"/>
              <w:rPr>
                <w:sz w:val="20"/>
                <w:szCs w:val="20"/>
                <w:color w:val="auto"/>
              </w:rPr>
            </w:pPr>
            <w:r>
              <w:rPr>
                <w:rFonts w:ascii="Arial" w:cs="Arial" w:eastAsia="Arial" w:hAnsi="Arial"/>
                <w:sz w:val="14"/>
                <w:szCs w:val="14"/>
                <w:color w:val="auto"/>
              </w:rPr>
              <w:t>Long-term debt, net of current portion (Note 7)</w:t>
            </w:r>
          </w:p>
        </w:tc>
        <w:tc>
          <w:tcPr>
            <w:tcW w:w="2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7,183.7</w:t>
            </w: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5,901.5</w:t>
            </w:r>
          </w:p>
        </w:tc>
        <w:tc>
          <w:tcPr>
            <w:tcW w:w="100" w:type="dxa"/>
            <w:vAlign w:val="bottom"/>
          </w:tcPr>
          <w:p>
            <w:pPr>
              <w:spacing w:after="0"/>
              <w:rPr>
                <w:sz w:val="15"/>
                <w:szCs w:val="15"/>
                <w:color w:val="auto"/>
              </w:rPr>
            </w:pPr>
          </w:p>
        </w:tc>
      </w:tr>
      <w:tr>
        <w:trPr>
          <w:trHeight w:val="175"/>
        </w:trPr>
        <w:tc>
          <w:tcPr>
            <w:tcW w:w="7720" w:type="dxa"/>
            <w:vAlign w:val="bottom"/>
            <w:shd w:val="clear" w:color="auto" w:fill="CFF0FC"/>
          </w:tcPr>
          <w:p>
            <w:pPr>
              <w:ind w:left="20"/>
              <w:spacing w:after="0"/>
              <w:rPr>
                <w:sz w:val="20"/>
                <w:szCs w:val="20"/>
                <w:color w:val="auto"/>
              </w:rPr>
            </w:pPr>
            <w:r>
              <w:rPr>
                <w:rFonts w:ascii="Arial" w:cs="Arial" w:eastAsia="Arial" w:hAnsi="Arial"/>
                <w:sz w:val="14"/>
                <w:szCs w:val="14"/>
                <w:color w:val="auto"/>
              </w:rPr>
              <w:t>Operating lease liabilities</w:t>
            </w:r>
          </w:p>
        </w:tc>
        <w:tc>
          <w:tcPr>
            <w:tcW w:w="220" w:type="dxa"/>
            <w:vAlign w:val="bottom"/>
            <w:shd w:val="clear" w:color="auto" w:fill="CFF0FC"/>
          </w:tcPr>
          <w:p>
            <w:pPr>
              <w:spacing w:after="0"/>
              <w:rPr>
                <w:sz w:val="15"/>
                <w:szCs w:val="15"/>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242.9</w:t>
            </w:r>
          </w:p>
        </w:tc>
        <w:tc>
          <w:tcPr>
            <w:tcW w:w="3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268.2</w:t>
            </w:r>
          </w:p>
        </w:tc>
        <w:tc>
          <w:tcPr>
            <w:tcW w:w="100" w:type="dxa"/>
            <w:vAlign w:val="bottom"/>
            <w:shd w:val="clear" w:color="auto" w:fill="CFF0FC"/>
          </w:tcPr>
          <w:p>
            <w:pPr>
              <w:spacing w:after="0"/>
              <w:rPr>
                <w:sz w:val="15"/>
                <w:szCs w:val="15"/>
                <w:color w:val="auto"/>
              </w:rPr>
            </w:pPr>
          </w:p>
        </w:tc>
      </w:tr>
      <w:tr>
        <w:trPr>
          <w:trHeight w:val="175"/>
        </w:trPr>
        <w:tc>
          <w:tcPr>
            <w:tcW w:w="7720" w:type="dxa"/>
            <w:vAlign w:val="bottom"/>
          </w:tcPr>
          <w:p>
            <w:pPr>
              <w:ind w:left="20"/>
              <w:spacing w:after="0"/>
              <w:rPr>
                <w:sz w:val="20"/>
                <w:szCs w:val="20"/>
                <w:color w:val="auto"/>
              </w:rPr>
            </w:pPr>
            <w:r>
              <w:rPr>
                <w:rFonts w:ascii="Arial" w:cs="Arial" w:eastAsia="Arial" w:hAnsi="Arial"/>
                <w:sz w:val="14"/>
                <w:szCs w:val="14"/>
                <w:color w:val="auto"/>
              </w:rPr>
              <w:t>Other long-term liabilities</w:t>
            </w:r>
          </w:p>
        </w:tc>
        <w:tc>
          <w:tcPr>
            <w:tcW w:w="2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246.9</w:t>
            </w: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254.0</w:t>
            </w:r>
          </w:p>
        </w:tc>
        <w:tc>
          <w:tcPr>
            <w:tcW w:w="100" w:type="dxa"/>
            <w:vAlign w:val="bottom"/>
          </w:tcPr>
          <w:p>
            <w:pPr>
              <w:spacing w:after="0"/>
              <w:rPr>
                <w:sz w:val="15"/>
                <w:szCs w:val="15"/>
                <w:color w:val="auto"/>
              </w:rPr>
            </w:pPr>
          </w:p>
        </w:tc>
      </w:tr>
      <w:tr>
        <w:trPr>
          <w:trHeight w:val="175"/>
        </w:trPr>
        <w:tc>
          <w:tcPr>
            <w:tcW w:w="77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Deferred income taxes</w:t>
            </w:r>
          </w:p>
        </w:tc>
        <w:tc>
          <w:tcPr>
            <w:tcW w:w="220" w:type="dxa"/>
            <w:vAlign w:val="bottom"/>
            <w:tcBorders>
              <w:bottom w:val="single" w:sz="8" w:color="auto"/>
            </w:tcBorders>
            <w:shd w:val="clear" w:color="auto" w:fill="CFF0FC"/>
          </w:tcPr>
          <w:p>
            <w:pPr>
              <w:spacing w:after="0"/>
              <w:rPr>
                <w:sz w:val="15"/>
                <w:szCs w:val="15"/>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843.2</w:t>
            </w:r>
          </w:p>
        </w:tc>
        <w:tc>
          <w:tcPr>
            <w:tcW w:w="30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spacing w:after="0"/>
              <w:rPr>
                <w:sz w:val="15"/>
                <w:szCs w:val="15"/>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835.0</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69"/>
        </w:trPr>
        <w:tc>
          <w:tcPr>
            <w:tcW w:w="7720" w:type="dxa"/>
            <w:vAlign w:val="bottom"/>
          </w:tcPr>
          <w:p>
            <w:pPr>
              <w:ind w:left="20"/>
              <w:spacing w:after="0"/>
              <w:rPr>
                <w:sz w:val="20"/>
                <w:szCs w:val="20"/>
                <w:color w:val="auto"/>
              </w:rPr>
            </w:pPr>
            <w:r>
              <w:rPr>
                <w:rFonts w:ascii="Arial" w:cs="Arial" w:eastAsia="Arial" w:hAnsi="Arial"/>
                <w:sz w:val="14"/>
                <w:szCs w:val="14"/>
                <w:color w:val="auto"/>
              </w:rPr>
              <w:t>Total liabilities</w:t>
            </w: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10,714.3</w:t>
            </w:r>
          </w:p>
        </w:tc>
        <w:tc>
          <w:tcPr>
            <w:tcW w:w="3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11,109.8</w:t>
            </w:r>
          </w:p>
        </w:tc>
        <w:tc>
          <w:tcPr>
            <w:tcW w:w="100" w:type="dxa"/>
            <w:vAlign w:val="bottom"/>
          </w:tcPr>
          <w:p>
            <w:pPr>
              <w:spacing w:after="0"/>
              <w:rPr>
                <w:sz w:val="14"/>
                <w:szCs w:val="14"/>
                <w:color w:val="auto"/>
              </w:rPr>
            </w:pPr>
          </w:p>
        </w:tc>
      </w:tr>
      <w:tr>
        <w:trPr>
          <w:trHeight w:val="169"/>
        </w:trPr>
        <w:tc>
          <w:tcPr>
            <w:tcW w:w="7720" w:type="dxa"/>
            <w:vAlign w:val="bottom"/>
            <w:shd w:val="clear" w:color="auto" w:fill="CFF0FC"/>
          </w:tcPr>
          <w:p>
            <w:pPr>
              <w:ind w:left="20"/>
              <w:spacing w:after="0"/>
              <w:rPr>
                <w:sz w:val="20"/>
                <w:szCs w:val="20"/>
                <w:color w:val="auto"/>
              </w:rPr>
            </w:pPr>
            <w:r>
              <w:rPr>
                <w:rFonts w:ascii="Arial" w:cs="Arial" w:eastAsia="Arial" w:hAnsi="Arial"/>
                <w:sz w:val="14"/>
                <w:szCs w:val="14"/>
                <w:color w:val="auto"/>
              </w:rPr>
              <w:t>Commitments and contingencies (Note 14)</w:t>
            </w:r>
          </w:p>
        </w:tc>
        <w:tc>
          <w:tcPr>
            <w:tcW w:w="220" w:type="dxa"/>
            <w:vAlign w:val="bottom"/>
            <w:shd w:val="clear" w:color="auto" w:fill="CFF0FC"/>
          </w:tcPr>
          <w:p>
            <w:pPr>
              <w:spacing w:after="0"/>
              <w:rPr>
                <w:sz w:val="14"/>
                <w:szCs w:val="14"/>
                <w:color w:val="auto"/>
              </w:rPr>
            </w:pPr>
          </w:p>
        </w:tc>
        <w:tc>
          <w:tcPr>
            <w:tcW w:w="13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3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75"/>
        </w:trPr>
        <w:tc>
          <w:tcPr>
            <w:tcW w:w="7720" w:type="dxa"/>
            <w:vAlign w:val="bottom"/>
          </w:tcPr>
          <w:p>
            <w:pPr>
              <w:ind w:left="20"/>
              <w:spacing w:after="0"/>
              <w:rPr>
                <w:sz w:val="20"/>
                <w:szCs w:val="20"/>
                <w:color w:val="auto"/>
              </w:rPr>
            </w:pPr>
            <w:r>
              <w:rPr>
                <w:rFonts w:ascii="Arial" w:cs="Arial" w:eastAsia="Arial" w:hAnsi="Arial"/>
                <w:sz w:val="14"/>
                <w:szCs w:val="14"/>
                <w:color w:val="auto"/>
              </w:rPr>
              <w:t>Redeemable noncontrolling interest (Note 3)</w:t>
            </w:r>
          </w:p>
        </w:tc>
        <w:tc>
          <w:tcPr>
            <w:tcW w:w="2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2.8</w:t>
            </w: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r>
      <w:tr>
        <w:trPr>
          <w:trHeight w:val="175"/>
        </w:trPr>
        <w:tc>
          <w:tcPr>
            <w:tcW w:w="7720" w:type="dxa"/>
            <w:vAlign w:val="bottom"/>
            <w:shd w:val="clear" w:color="auto" w:fill="CFF0FC"/>
          </w:tcPr>
          <w:p>
            <w:pPr>
              <w:ind w:left="20"/>
              <w:spacing w:after="0"/>
              <w:rPr>
                <w:sz w:val="20"/>
                <w:szCs w:val="20"/>
                <w:color w:val="auto"/>
              </w:rPr>
            </w:pPr>
            <w:r>
              <w:rPr>
                <w:rFonts w:ascii="Arial" w:cs="Arial" w:eastAsia="Arial" w:hAnsi="Arial"/>
                <w:sz w:val="14"/>
                <w:szCs w:val="14"/>
                <w:color w:val="auto"/>
              </w:rPr>
              <w:t>Stockholders’ equity (Note 8):</w:t>
            </w:r>
          </w:p>
        </w:tc>
        <w:tc>
          <w:tcPr>
            <w:tcW w:w="220" w:type="dxa"/>
            <w:vAlign w:val="bottom"/>
            <w:shd w:val="clear" w:color="auto" w:fill="CFF0FC"/>
          </w:tcPr>
          <w:p>
            <w:pPr>
              <w:spacing w:after="0"/>
              <w:rPr>
                <w:sz w:val="15"/>
                <w:szCs w:val="15"/>
                <w:color w:val="auto"/>
              </w:rPr>
            </w:pPr>
          </w:p>
        </w:tc>
        <w:tc>
          <w:tcPr>
            <w:tcW w:w="13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3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75"/>
        </w:trPr>
        <w:tc>
          <w:tcPr>
            <w:tcW w:w="7720" w:type="dxa"/>
            <w:vAlign w:val="bottom"/>
          </w:tcPr>
          <w:p>
            <w:pPr>
              <w:ind w:left="200"/>
              <w:spacing w:after="0"/>
              <w:rPr>
                <w:sz w:val="20"/>
                <w:szCs w:val="20"/>
                <w:color w:val="auto"/>
              </w:rPr>
            </w:pPr>
            <w:r>
              <w:rPr>
                <w:rFonts w:ascii="Arial" w:cs="Arial" w:eastAsia="Arial" w:hAnsi="Arial"/>
                <w:sz w:val="14"/>
                <w:szCs w:val="14"/>
                <w:color w:val="auto"/>
              </w:rPr>
              <w:t>Preferred stock, $0.01 par value per share, 5.0 million shares authorized; no shares issued</w:t>
            </w:r>
          </w:p>
        </w:tc>
        <w:tc>
          <w:tcPr>
            <w:tcW w:w="220" w:type="dxa"/>
            <w:vAlign w:val="bottom"/>
          </w:tcPr>
          <w:p>
            <w:pPr>
              <w:spacing w:after="0"/>
              <w:rPr>
                <w:sz w:val="15"/>
                <w:szCs w:val="15"/>
                <w:color w:val="auto"/>
              </w:rPr>
            </w:pPr>
          </w:p>
        </w:tc>
        <w:tc>
          <w:tcPr>
            <w:tcW w:w="166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r>
      <w:tr>
        <w:trPr>
          <w:trHeight w:val="143"/>
        </w:trPr>
        <w:tc>
          <w:tcPr>
            <w:tcW w:w="7720" w:type="dxa"/>
            <w:vAlign w:val="bottom"/>
            <w:shd w:val="clear" w:color="auto" w:fill="CFF0FC"/>
          </w:tcPr>
          <w:p>
            <w:pPr>
              <w:ind w:left="200"/>
              <w:spacing w:after="0" w:line="143" w:lineRule="exact"/>
              <w:rPr>
                <w:sz w:val="20"/>
                <w:szCs w:val="20"/>
                <w:color w:val="auto"/>
              </w:rPr>
            </w:pPr>
            <w:r>
              <w:rPr>
                <w:rFonts w:ascii="Arial" w:cs="Arial" w:eastAsia="Arial" w:hAnsi="Arial"/>
                <w:sz w:val="14"/>
                <w:szCs w:val="14"/>
                <w:color w:val="auto"/>
              </w:rPr>
              <w:t>Class A non-voting common stock, $0.01 par value per share, 5.0 million shares authorized;</w:t>
            </w:r>
          </w:p>
        </w:tc>
        <w:tc>
          <w:tcPr>
            <w:tcW w:w="220" w:type="dxa"/>
            <w:vAlign w:val="bottom"/>
            <w:shd w:val="clear" w:color="auto" w:fill="CFF0FC"/>
          </w:tcPr>
          <w:p>
            <w:pPr>
              <w:spacing w:after="0"/>
              <w:rPr>
                <w:sz w:val="12"/>
                <w:szCs w:val="12"/>
                <w:color w:val="auto"/>
              </w:rPr>
            </w:pPr>
          </w:p>
        </w:tc>
        <w:tc>
          <w:tcPr>
            <w:tcW w:w="136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3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81"/>
        </w:trPr>
        <w:tc>
          <w:tcPr>
            <w:tcW w:w="7720" w:type="dxa"/>
            <w:vAlign w:val="bottom"/>
            <w:shd w:val="clear" w:color="auto" w:fill="CFF0FC"/>
          </w:tcPr>
          <w:p>
            <w:pPr>
              <w:ind w:left="300"/>
              <w:spacing w:after="0"/>
              <w:rPr>
                <w:sz w:val="20"/>
                <w:szCs w:val="20"/>
                <w:color w:val="auto"/>
              </w:rPr>
            </w:pPr>
            <w:r>
              <w:rPr>
                <w:rFonts w:ascii="Arial" w:cs="Arial" w:eastAsia="Arial" w:hAnsi="Arial"/>
                <w:sz w:val="14"/>
                <w:szCs w:val="14"/>
                <w:color w:val="auto"/>
              </w:rPr>
              <w:t>no shares issued</w:t>
            </w:r>
          </w:p>
        </w:tc>
        <w:tc>
          <w:tcPr>
            <w:tcW w:w="220" w:type="dxa"/>
            <w:vAlign w:val="bottom"/>
            <w:shd w:val="clear" w:color="auto" w:fill="CFF0FC"/>
          </w:tcPr>
          <w:p>
            <w:pPr>
              <w:spacing w:after="0"/>
              <w:rPr>
                <w:sz w:val="15"/>
                <w:szCs w:val="15"/>
                <w:color w:val="auto"/>
              </w:rPr>
            </w:pPr>
          </w:p>
        </w:tc>
        <w:tc>
          <w:tcPr>
            <w:tcW w:w="1660" w:type="dxa"/>
            <w:vAlign w:val="bottom"/>
            <w:gridSpan w:val="2"/>
            <w:shd w:val="clear" w:color="auto" w:fill="CFF0FC"/>
          </w:tcPr>
          <w:p>
            <w:pPr>
              <w:jc w:val="right"/>
              <w:ind w:right="3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142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r>
      <w:tr>
        <w:trPr>
          <w:trHeight w:val="143"/>
        </w:trPr>
        <w:tc>
          <w:tcPr>
            <w:tcW w:w="7720" w:type="dxa"/>
            <w:vAlign w:val="bottom"/>
          </w:tcPr>
          <w:p>
            <w:pPr>
              <w:ind w:left="200"/>
              <w:spacing w:after="0" w:line="143" w:lineRule="exact"/>
              <w:rPr>
                <w:sz w:val="20"/>
                <w:szCs w:val="20"/>
                <w:color w:val="auto"/>
              </w:rPr>
            </w:pPr>
            <w:r>
              <w:rPr>
                <w:rFonts w:ascii="Arial" w:cs="Arial" w:eastAsia="Arial" w:hAnsi="Arial"/>
                <w:sz w:val="14"/>
                <w:szCs w:val="14"/>
                <w:color w:val="auto"/>
              </w:rPr>
              <w:t>Common stock, $0.01 par value per share, 400.0 million shares authorized; 271.0 million shares</w:t>
            </w:r>
          </w:p>
        </w:tc>
        <w:tc>
          <w:tcPr>
            <w:tcW w:w="2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7720" w:type="dxa"/>
            <w:vAlign w:val="bottom"/>
          </w:tcPr>
          <w:p>
            <w:pPr>
              <w:ind w:left="300"/>
              <w:spacing w:after="0" w:line="149" w:lineRule="exact"/>
              <w:rPr>
                <w:sz w:val="20"/>
                <w:szCs w:val="20"/>
                <w:color w:val="auto"/>
              </w:rPr>
            </w:pPr>
            <w:r>
              <w:rPr>
                <w:rFonts w:ascii="Arial" w:cs="Arial" w:eastAsia="Arial" w:hAnsi="Arial"/>
                <w:sz w:val="14"/>
                <w:szCs w:val="14"/>
                <w:color w:val="auto"/>
              </w:rPr>
              <w:t>and 269.1 million shares issued, respectively, and 251.9 million shares and 256.0 million shares</w:t>
            </w:r>
          </w:p>
        </w:tc>
        <w:tc>
          <w:tcPr>
            <w:tcW w:w="2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94"/>
        </w:trPr>
        <w:tc>
          <w:tcPr>
            <w:tcW w:w="7720" w:type="dxa"/>
            <w:vAlign w:val="bottom"/>
          </w:tcPr>
          <w:p>
            <w:pPr>
              <w:ind w:left="300"/>
              <w:spacing w:after="0"/>
              <w:rPr>
                <w:sz w:val="20"/>
                <w:szCs w:val="20"/>
                <w:color w:val="auto"/>
              </w:rPr>
            </w:pPr>
            <w:r>
              <w:rPr>
                <w:rFonts w:ascii="Arial" w:cs="Arial" w:eastAsia="Arial" w:hAnsi="Arial"/>
                <w:sz w:val="14"/>
                <w:szCs w:val="14"/>
                <w:color w:val="auto"/>
              </w:rPr>
              <w:t>outstanding, respectively</w:t>
            </w:r>
          </w:p>
        </w:tc>
        <w:tc>
          <w:tcPr>
            <w:tcW w:w="2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2.7</w:t>
            </w: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2.7</w:t>
            </w:r>
          </w:p>
        </w:tc>
        <w:tc>
          <w:tcPr>
            <w:tcW w:w="100" w:type="dxa"/>
            <w:vAlign w:val="bottom"/>
          </w:tcPr>
          <w:p>
            <w:pPr>
              <w:spacing w:after="0"/>
              <w:rPr>
                <w:sz w:val="16"/>
                <w:szCs w:val="16"/>
                <w:color w:val="auto"/>
              </w:rPr>
            </w:pPr>
          </w:p>
        </w:tc>
      </w:tr>
      <w:tr>
        <w:trPr>
          <w:trHeight w:val="175"/>
        </w:trPr>
        <w:tc>
          <w:tcPr>
            <w:tcW w:w="7720" w:type="dxa"/>
            <w:vAlign w:val="bottom"/>
            <w:shd w:val="clear" w:color="auto" w:fill="CFF0FC"/>
          </w:tcPr>
          <w:p>
            <w:pPr>
              <w:ind w:left="200"/>
              <w:spacing w:after="0"/>
              <w:rPr>
                <w:sz w:val="20"/>
                <w:szCs w:val="20"/>
                <w:color w:val="auto"/>
              </w:rPr>
            </w:pPr>
            <w:r>
              <w:rPr>
                <w:rFonts w:ascii="Arial" w:cs="Arial" w:eastAsia="Arial" w:hAnsi="Arial"/>
                <w:sz w:val="14"/>
                <w:szCs w:val="14"/>
                <w:color w:val="auto"/>
              </w:rPr>
              <w:t>Additional paid-in capital</w:t>
            </w:r>
          </w:p>
        </w:tc>
        <w:tc>
          <w:tcPr>
            <w:tcW w:w="220" w:type="dxa"/>
            <w:vAlign w:val="bottom"/>
            <w:shd w:val="clear" w:color="auto" w:fill="CFF0FC"/>
          </w:tcPr>
          <w:p>
            <w:pPr>
              <w:spacing w:after="0"/>
              <w:rPr>
                <w:sz w:val="15"/>
                <w:szCs w:val="15"/>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5,061.7</w:t>
            </w:r>
          </w:p>
        </w:tc>
        <w:tc>
          <w:tcPr>
            <w:tcW w:w="3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4,895.7</w:t>
            </w:r>
          </w:p>
        </w:tc>
        <w:tc>
          <w:tcPr>
            <w:tcW w:w="100" w:type="dxa"/>
            <w:vAlign w:val="bottom"/>
            <w:shd w:val="clear" w:color="auto" w:fill="CFF0FC"/>
          </w:tcPr>
          <w:p>
            <w:pPr>
              <w:spacing w:after="0"/>
              <w:rPr>
                <w:sz w:val="15"/>
                <w:szCs w:val="15"/>
                <w:color w:val="auto"/>
              </w:rPr>
            </w:pPr>
          </w:p>
        </w:tc>
      </w:tr>
      <w:tr>
        <w:trPr>
          <w:trHeight w:val="175"/>
        </w:trPr>
        <w:tc>
          <w:tcPr>
            <w:tcW w:w="7720" w:type="dxa"/>
            <w:vAlign w:val="bottom"/>
          </w:tcPr>
          <w:p>
            <w:pPr>
              <w:ind w:left="200"/>
              <w:spacing w:after="0"/>
              <w:rPr>
                <w:sz w:val="20"/>
                <w:szCs w:val="20"/>
                <w:color w:val="auto"/>
              </w:rPr>
            </w:pPr>
            <w:r>
              <w:rPr>
                <w:rFonts w:ascii="Arial" w:cs="Arial" w:eastAsia="Arial" w:hAnsi="Arial"/>
                <w:sz w:val="14"/>
                <w:szCs w:val="14"/>
                <w:color w:val="auto"/>
              </w:rPr>
              <w:t>Accumulated other comprehensive loss</w:t>
            </w:r>
          </w:p>
        </w:tc>
        <w:tc>
          <w:tcPr>
            <w:tcW w:w="220" w:type="dxa"/>
            <w:vAlign w:val="bottom"/>
          </w:tcPr>
          <w:p>
            <w:pPr>
              <w:spacing w:after="0"/>
              <w:rPr>
                <w:sz w:val="15"/>
                <w:szCs w:val="15"/>
                <w:color w:val="auto"/>
              </w:rPr>
            </w:pPr>
          </w:p>
        </w:tc>
        <w:tc>
          <w:tcPr>
            <w:tcW w:w="1660" w:type="dxa"/>
            <w:vAlign w:val="bottom"/>
            <w:gridSpan w:val="2"/>
          </w:tcPr>
          <w:p>
            <w:pPr>
              <w:jc w:val="right"/>
              <w:ind w:right="240"/>
              <w:spacing w:after="0"/>
              <w:rPr>
                <w:sz w:val="20"/>
                <w:szCs w:val="20"/>
                <w:color w:val="auto"/>
              </w:rPr>
            </w:pPr>
            <w:r>
              <w:rPr>
                <w:rFonts w:ascii="Arial" w:cs="Arial" w:eastAsia="Arial" w:hAnsi="Arial"/>
                <w:sz w:val="14"/>
                <w:szCs w:val="14"/>
                <w:color w:val="auto"/>
              </w:rPr>
              <w:t>(750.3 )</w:t>
            </w:r>
          </w:p>
        </w:tc>
        <w:tc>
          <w:tcPr>
            <w:tcW w:w="220" w:type="dxa"/>
            <w:vAlign w:val="bottom"/>
          </w:tcPr>
          <w:p>
            <w:pPr>
              <w:spacing w:after="0"/>
              <w:rPr>
                <w:sz w:val="15"/>
                <w:szCs w:val="15"/>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4"/>
                <w:szCs w:val="14"/>
                <w:color w:val="auto"/>
              </w:rPr>
              <w:t>(242.0 )</w:t>
            </w:r>
          </w:p>
        </w:tc>
      </w:tr>
      <w:tr>
        <w:trPr>
          <w:trHeight w:val="175"/>
        </w:trPr>
        <w:tc>
          <w:tcPr>
            <w:tcW w:w="77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4"/>
                <w:szCs w:val="14"/>
                <w:color w:val="auto"/>
              </w:rPr>
              <w:t>Retained earnings</w:t>
            </w:r>
          </w:p>
        </w:tc>
        <w:tc>
          <w:tcPr>
            <w:tcW w:w="220" w:type="dxa"/>
            <w:vAlign w:val="bottom"/>
            <w:tcBorders>
              <w:bottom w:val="single" w:sz="8" w:color="auto"/>
            </w:tcBorders>
            <w:shd w:val="clear" w:color="auto" w:fill="CFF0FC"/>
          </w:tcPr>
          <w:p>
            <w:pPr>
              <w:spacing w:after="0"/>
              <w:rPr>
                <w:sz w:val="15"/>
                <w:szCs w:val="15"/>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2,582.3</w:t>
            </w:r>
          </w:p>
        </w:tc>
        <w:tc>
          <w:tcPr>
            <w:tcW w:w="30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spacing w:after="0"/>
              <w:rPr>
                <w:sz w:val="15"/>
                <w:szCs w:val="15"/>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2,293.0</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69"/>
        </w:trPr>
        <w:tc>
          <w:tcPr>
            <w:tcW w:w="7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6,896.4</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6,949.4</w:t>
            </w:r>
          </w:p>
        </w:tc>
        <w:tc>
          <w:tcPr>
            <w:tcW w:w="100" w:type="dxa"/>
            <w:vAlign w:val="bottom"/>
          </w:tcPr>
          <w:p>
            <w:pPr>
              <w:spacing w:after="0"/>
              <w:rPr>
                <w:sz w:val="14"/>
                <w:szCs w:val="14"/>
                <w:color w:val="auto"/>
              </w:rPr>
            </w:pPr>
          </w:p>
        </w:tc>
      </w:tr>
      <w:tr>
        <w:trPr>
          <w:trHeight w:val="175"/>
        </w:trPr>
        <w:tc>
          <w:tcPr>
            <w:tcW w:w="7720" w:type="dxa"/>
            <w:vAlign w:val="bottom"/>
            <w:shd w:val="clear" w:color="auto" w:fill="CFF0FC"/>
          </w:tcPr>
          <w:p>
            <w:pPr>
              <w:ind w:left="380"/>
              <w:spacing w:after="0"/>
              <w:rPr>
                <w:sz w:val="20"/>
                <w:szCs w:val="20"/>
                <w:color w:val="auto"/>
              </w:rPr>
            </w:pPr>
            <w:r>
              <w:rPr>
                <w:rFonts w:ascii="Arial" w:cs="Arial" w:eastAsia="Arial" w:hAnsi="Arial"/>
                <w:sz w:val="14"/>
                <w:szCs w:val="14"/>
                <w:color w:val="auto"/>
              </w:rPr>
              <w:t>Less: cost of common stock in treasury, 19.1 and 13.1 million shares, respectively</w:t>
            </w:r>
          </w:p>
        </w:tc>
        <w:tc>
          <w:tcPr>
            <w:tcW w:w="220" w:type="dxa"/>
            <w:vAlign w:val="bottom"/>
            <w:shd w:val="clear" w:color="auto" w:fill="CFF0FC"/>
          </w:tcPr>
          <w:p>
            <w:pPr>
              <w:spacing w:after="0"/>
              <w:rPr>
                <w:sz w:val="15"/>
                <w:szCs w:val="15"/>
                <w:color w:val="auto"/>
              </w:rPr>
            </w:pPr>
          </w:p>
        </w:tc>
        <w:tc>
          <w:tcPr>
            <w:tcW w:w="166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(1,169.4 )</w:t>
            </w:r>
          </w:p>
        </w:tc>
        <w:tc>
          <w:tcPr>
            <w:tcW w:w="220" w:type="dxa"/>
            <w:vAlign w:val="bottom"/>
            <w:shd w:val="clear" w:color="auto" w:fill="CFF0FC"/>
          </w:tcPr>
          <w:p>
            <w:pPr>
              <w:spacing w:after="0"/>
              <w:rPr>
                <w:sz w:val="15"/>
                <w:szCs w:val="15"/>
                <w:color w:val="auto"/>
              </w:rPr>
            </w:pPr>
          </w:p>
        </w:tc>
        <w:tc>
          <w:tcPr>
            <w:tcW w:w="142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(784.0 )</w:t>
            </w:r>
          </w:p>
        </w:tc>
      </w:tr>
      <w:tr>
        <w:trPr>
          <w:trHeight w:val="169"/>
        </w:trPr>
        <w:tc>
          <w:tcPr>
            <w:tcW w:w="7720" w:type="dxa"/>
            <w:vAlign w:val="bottom"/>
            <w:tcBorders>
              <w:top w:val="single" w:sz="8" w:color="CFF0FC"/>
            </w:tcBorders>
          </w:tcPr>
          <w:p>
            <w:pPr>
              <w:ind w:left="200"/>
              <w:spacing w:after="0"/>
              <w:rPr>
                <w:sz w:val="20"/>
                <w:szCs w:val="20"/>
                <w:color w:val="auto"/>
              </w:rPr>
            </w:pPr>
            <w:r>
              <w:rPr>
                <w:rFonts w:ascii="Arial" w:cs="Arial" w:eastAsia="Arial" w:hAnsi="Arial"/>
                <w:sz w:val="14"/>
                <w:szCs w:val="14"/>
                <w:color w:val="auto"/>
              </w:rPr>
              <w:t>Total SS&amp;C stockholders’ equity</w:t>
            </w:r>
          </w:p>
        </w:tc>
        <w:tc>
          <w:tcPr>
            <w:tcW w:w="22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5,727.0</w:t>
            </w:r>
          </w:p>
        </w:tc>
        <w:tc>
          <w:tcPr>
            <w:tcW w:w="300" w:type="dxa"/>
            <w:vAlign w:val="bottom"/>
            <w:tcBorders>
              <w:top w:val="single" w:sz="8" w:color="CFF0FC"/>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6,165.4</w:t>
            </w:r>
          </w:p>
        </w:tc>
        <w:tc>
          <w:tcPr>
            <w:tcW w:w="100" w:type="dxa"/>
            <w:vAlign w:val="bottom"/>
            <w:tcBorders>
              <w:top w:val="single" w:sz="8" w:color="CFF0FC"/>
            </w:tcBorders>
          </w:tcPr>
          <w:p>
            <w:pPr>
              <w:spacing w:after="0"/>
              <w:rPr>
                <w:sz w:val="14"/>
                <w:szCs w:val="14"/>
                <w:color w:val="auto"/>
              </w:rPr>
            </w:pPr>
          </w:p>
        </w:tc>
      </w:tr>
      <w:tr>
        <w:trPr>
          <w:trHeight w:val="175"/>
        </w:trPr>
        <w:tc>
          <w:tcPr>
            <w:tcW w:w="77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4"/>
                <w:szCs w:val="14"/>
                <w:color w:val="auto"/>
              </w:rPr>
              <w:t>Noncontrolling interest (Note 9)</w:t>
            </w:r>
          </w:p>
        </w:tc>
        <w:tc>
          <w:tcPr>
            <w:tcW w:w="220" w:type="dxa"/>
            <w:vAlign w:val="bottom"/>
            <w:tcBorders>
              <w:bottom w:val="single" w:sz="8" w:color="auto"/>
            </w:tcBorders>
            <w:shd w:val="clear" w:color="auto" w:fill="CFF0FC"/>
          </w:tcPr>
          <w:p>
            <w:pPr>
              <w:spacing w:after="0"/>
              <w:rPr>
                <w:sz w:val="15"/>
                <w:szCs w:val="15"/>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56.5</w:t>
            </w:r>
          </w:p>
        </w:tc>
        <w:tc>
          <w:tcPr>
            <w:tcW w:w="30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spacing w:after="0"/>
              <w:rPr>
                <w:sz w:val="15"/>
                <w:szCs w:val="15"/>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57.8</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69"/>
        </w:trPr>
        <w:tc>
          <w:tcPr>
            <w:tcW w:w="7720" w:type="dxa"/>
            <w:vAlign w:val="bottom"/>
          </w:tcPr>
          <w:p>
            <w:pPr>
              <w:ind w:left="20"/>
              <w:spacing w:after="0"/>
              <w:rPr>
                <w:sz w:val="20"/>
                <w:szCs w:val="20"/>
                <w:color w:val="auto"/>
              </w:rPr>
            </w:pPr>
            <w:r>
              <w:rPr>
                <w:rFonts w:ascii="Arial" w:cs="Arial" w:eastAsia="Arial" w:hAnsi="Arial"/>
                <w:sz w:val="14"/>
                <w:szCs w:val="14"/>
                <w:color w:val="auto"/>
              </w:rPr>
              <w:t>Total stockholders’ equity</w:t>
            </w: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5,783.5</w:t>
            </w:r>
          </w:p>
        </w:tc>
        <w:tc>
          <w:tcPr>
            <w:tcW w:w="3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6,223.2</w:t>
            </w:r>
          </w:p>
        </w:tc>
        <w:tc>
          <w:tcPr>
            <w:tcW w:w="100" w:type="dxa"/>
            <w:vAlign w:val="bottom"/>
          </w:tcPr>
          <w:p>
            <w:pPr>
              <w:spacing w:after="0"/>
              <w:rPr>
                <w:sz w:val="14"/>
                <w:szCs w:val="14"/>
                <w:color w:val="auto"/>
              </w:rPr>
            </w:pPr>
          </w:p>
        </w:tc>
      </w:tr>
      <w:tr>
        <w:trPr>
          <w:trHeight w:val="209"/>
        </w:trPr>
        <w:tc>
          <w:tcPr>
            <w:tcW w:w="7720" w:type="dxa"/>
            <w:vAlign w:val="bottom"/>
            <w:tcBorders>
              <w:bottom w:val="single" w:sz="8" w:color="CFF0FC"/>
            </w:tcBorders>
            <w:shd w:val="clear" w:color="auto" w:fill="CFF0FC"/>
          </w:tcPr>
          <w:p>
            <w:pPr>
              <w:ind w:left="20"/>
              <w:spacing w:after="0" w:line="155" w:lineRule="exact"/>
              <w:rPr>
                <w:sz w:val="20"/>
                <w:szCs w:val="20"/>
                <w:color w:val="auto"/>
              </w:rPr>
            </w:pPr>
            <w:r>
              <w:rPr>
                <w:rFonts w:ascii="Arial" w:cs="Arial" w:eastAsia="Arial" w:hAnsi="Arial"/>
                <w:sz w:val="14"/>
                <w:szCs w:val="14"/>
                <w:color w:val="auto"/>
              </w:rPr>
              <w:t>Total liabilities, redeemable noncontrolling interest and stockholders’ equity</w:t>
            </w:r>
          </w:p>
        </w:tc>
        <w:tc>
          <w:tcPr>
            <w:tcW w:w="220" w:type="dxa"/>
            <w:vAlign w:val="bottom"/>
            <w:tcBorders>
              <w:bottom w:val="single" w:sz="8" w:color="auto"/>
            </w:tcBorders>
            <w:shd w:val="clear" w:color="auto" w:fill="CFF0FC"/>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136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16,500.6</w:t>
            </w:r>
          </w:p>
        </w:tc>
        <w:tc>
          <w:tcPr>
            <w:tcW w:w="3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132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17,333.0</w:t>
            </w:r>
          </w:p>
        </w:tc>
        <w:tc>
          <w:tcPr>
            <w:tcW w:w="100" w:type="dxa"/>
            <w:vAlign w:val="bottom"/>
            <w:tcBorders>
              <w:bottom w:val="single" w:sz="8" w:color="CFF0FC"/>
            </w:tcBorders>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-3856990</wp:posOffset>
            </wp:positionV>
            <wp:extent cx="1234440" cy="2489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34440" cy="24892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-2150745</wp:posOffset>
            </wp:positionV>
            <wp:extent cx="68580"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-2150745</wp:posOffset>
            </wp:positionV>
            <wp:extent cx="68580" cy="1289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-728345</wp:posOffset>
            </wp:positionV>
            <wp:extent cx="68580" cy="1200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-728345</wp:posOffset>
            </wp:positionV>
            <wp:extent cx="68580" cy="1200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-496570</wp:posOffset>
            </wp:positionV>
            <wp:extent cx="68580" cy="1200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-496570</wp:posOffset>
            </wp:positionV>
            <wp:extent cx="68580" cy="1200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-264795</wp:posOffset>
            </wp:positionV>
            <wp:extent cx="68580"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-264795</wp:posOffset>
            </wp:positionV>
            <wp:extent cx="68580"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SS&amp;C TECHNOLOGIES HOLDINGS, INC. AND SUBSIDIARIES</w:t>
      </w:r>
    </w:p>
    <w:p>
      <w:pPr>
        <w:spacing w:after="0" w:line="27" w:lineRule="exact"/>
        <w:rPr>
          <w:sz w:val="20"/>
          <w:szCs w:val="20"/>
          <w:color w:val="auto"/>
        </w:rPr>
      </w:pPr>
    </w:p>
    <w:p>
      <w:pPr>
        <w:ind w:right="3980"/>
        <w:spacing w:after="0" w:line="212" w:lineRule="auto"/>
        <w:rPr>
          <w:sz w:val="20"/>
          <w:szCs w:val="20"/>
          <w:color w:val="auto"/>
        </w:rPr>
      </w:pPr>
      <w:r>
        <w:rPr>
          <w:rFonts w:ascii="Arial" w:cs="Arial" w:eastAsia="Arial" w:hAnsi="Arial"/>
          <w:sz w:val="18"/>
          <w:szCs w:val="18"/>
          <w:b w:val="1"/>
          <w:bCs w:val="1"/>
          <w:color w:val="auto"/>
        </w:rPr>
        <w:t xml:space="preserve">CONDENSED CONSOLIDATED STATEMENTS OF COMPREHENSIVE (LOSS) INCOME </w:t>
      </w:r>
      <w:r>
        <w:rPr>
          <w:rFonts w:ascii="Arial" w:cs="Arial" w:eastAsia="Arial" w:hAnsi="Arial"/>
          <w:sz w:val="14"/>
          <w:szCs w:val="14"/>
          <w:b w:val="1"/>
          <w:bCs w:val="1"/>
          <w:color w:val="auto"/>
        </w:rPr>
        <w:t>(In millions, except per share data) (Unaudited)</w:t>
      </w:r>
    </w:p>
    <w:p>
      <w:pPr>
        <w:spacing w:after="0" w:line="206" w:lineRule="exact"/>
        <w:rPr>
          <w:sz w:val="20"/>
          <w:szCs w:val="20"/>
          <w:color w:val="auto"/>
        </w:rPr>
      </w:pPr>
    </w:p>
    <w:tbl>
      <w:tblPr>
        <w:tblLayout w:type="fixed"/>
        <w:tblInd w:w="5440" w:type="dxa"/>
        <w:tblCellMar>
          <w:top w:w="0" w:type="dxa"/>
          <w:left w:w="0" w:type="dxa"/>
          <w:bottom w:w="0" w:type="dxa"/>
          <w:right w:w="0" w:type="dxa"/>
        </w:tblCellMar>
      </w:tblPr>
      <w:tr>
        <w:trPr>
          <w:trHeight w:val="185"/>
        </w:trPr>
        <w:tc>
          <w:tcPr>
            <w:tcW w:w="2760" w:type="dxa"/>
            <w:vAlign w:val="bottom"/>
            <w:tcBorders>
              <w:bottom w:val="single" w:sz="8" w:color="auto"/>
            </w:tcBorders>
            <w:gridSpan w:val="2"/>
          </w:tcPr>
          <w:p>
            <w:pPr>
              <w:jc w:val="right"/>
              <w:ind w:right="188"/>
              <w:spacing w:after="0"/>
              <w:rPr>
                <w:sz w:val="20"/>
                <w:szCs w:val="20"/>
                <w:color w:val="auto"/>
              </w:rPr>
            </w:pPr>
            <w:r>
              <w:rPr>
                <w:rFonts w:ascii="Arial" w:cs="Arial" w:eastAsia="Arial" w:hAnsi="Arial"/>
                <w:sz w:val="14"/>
                <w:szCs w:val="14"/>
                <w:b w:val="1"/>
                <w:bCs w:val="1"/>
                <w:color w:val="auto"/>
              </w:rPr>
              <w:t>Three Months Ended September 30,</w:t>
            </w:r>
          </w:p>
        </w:tc>
        <w:tc>
          <w:tcPr>
            <w:tcW w:w="240" w:type="dxa"/>
            <w:vAlign w:val="bottom"/>
          </w:tcPr>
          <w:p>
            <w:pPr>
              <w:spacing w:after="0"/>
              <w:rPr>
                <w:sz w:val="16"/>
                <w:szCs w:val="16"/>
                <w:color w:val="auto"/>
              </w:rPr>
            </w:pPr>
          </w:p>
        </w:tc>
        <w:tc>
          <w:tcPr>
            <w:tcW w:w="2700" w:type="dxa"/>
            <w:vAlign w:val="bottom"/>
            <w:tcBorders>
              <w:bottom w:val="single" w:sz="8" w:color="auto"/>
            </w:tcBorders>
            <w:gridSpan w:val="2"/>
          </w:tcPr>
          <w:p>
            <w:pPr>
              <w:jc w:val="right"/>
              <w:ind w:right="208"/>
              <w:spacing w:after="0"/>
              <w:rPr>
                <w:sz w:val="20"/>
                <w:szCs w:val="20"/>
                <w:color w:val="auto"/>
              </w:rPr>
            </w:pPr>
            <w:r>
              <w:rPr>
                <w:rFonts w:ascii="Arial" w:cs="Arial" w:eastAsia="Arial" w:hAnsi="Arial"/>
                <w:sz w:val="14"/>
                <w:szCs w:val="14"/>
                <w:b w:val="1"/>
                <w:bCs w:val="1"/>
                <w:color w:val="auto"/>
              </w:rPr>
              <w:t>Nine Months Ended September 30,</w:t>
            </w:r>
          </w:p>
        </w:tc>
      </w:tr>
      <w:tr>
        <w:trPr>
          <w:trHeight w:val="180"/>
        </w:trPr>
        <w:tc>
          <w:tcPr>
            <w:tcW w:w="1380" w:type="dxa"/>
            <w:vAlign w:val="bottom"/>
          </w:tcPr>
          <w:p>
            <w:pPr>
              <w:jc w:val="right"/>
              <w:ind w:right="528"/>
              <w:spacing w:after="0"/>
              <w:rPr>
                <w:sz w:val="20"/>
                <w:szCs w:val="20"/>
                <w:color w:val="auto"/>
              </w:rPr>
            </w:pPr>
            <w:r>
              <w:rPr>
                <w:rFonts w:ascii="Arial" w:cs="Arial" w:eastAsia="Arial" w:hAnsi="Arial"/>
                <w:sz w:val="14"/>
                <w:szCs w:val="14"/>
                <w:b w:val="1"/>
                <w:bCs w:val="1"/>
                <w:color w:val="auto"/>
              </w:rPr>
              <w:t>2022</w:t>
            </w:r>
          </w:p>
        </w:tc>
        <w:tc>
          <w:tcPr>
            <w:tcW w:w="1380" w:type="dxa"/>
            <w:vAlign w:val="bottom"/>
          </w:tcPr>
          <w:p>
            <w:pPr>
              <w:jc w:val="right"/>
              <w:ind w:right="408"/>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5"/>
                <w:szCs w:val="15"/>
                <w:color w:val="auto"/>
              </w:rPr>
            </w:pPr>
          </w:p>
        </w:tc>
        <w:tc>
          <w:tcPr>
            <w:tcW w:w="1340" w:type="dxa"/>
            <w:vAlign w:val="bottom"/>
          </w:tcPr>
          <w:p>
            <w:pPr>
              <w:jc w:val="right"/>
              <w:ind w:right="528"/>
              <w:spacing w:after="0"/>
              <w:rPr>
                <w:sz w:val="20"/>
                <w:szCs w:val="20"/>
                <w:color w:val="auto"/>
              </w:rPr>
            </w:pPr>
            <w:r>
              <w:rPr>
                <w:rFonts w:ascii="Arial" w:cs="Arial" w:eastAsia="Arial" w:hAnsi="Arial"/>
                <w:sz w:val="14"/>
                <w:szCs w:val="14"/>
                <w:b w:val="1"/>
                <w:bCs w:val="1"/>
                <w:color w:val="auto"/>
              </w:rPr>
              <w:t>2022</w:t>
            </w:r>
          </w:p>
        </w:tc>
        <w:tc>
          <w:tcPr>
            <w:tcW w:w="1360" w:type="dxa"/>
            <w:vAlign w:val="bottom"/>
          </w:tcPr>
          <w:p>
            <w:pPr>
              <w:jc w:val="right"/>
              <w:ind w:right="428"/>
              <w:spacing w:after="0"/>
              <w:rPr>
                <w:sz w:val="20"/>
                <w:szCs w:val="20"/>
                <w:color w:val="auto"/>
              </w:rPr>
            </w:pPr>
            <w:r>
              <w:rPr>
                <w:rFonts w:ascii="Arial" w:cs="Arial" w:eastAsia="Arial" w:hAnsi="Arial"/>
                <w:sz w:val="14"/>
                <w:szCs w:val="14"/>
                <w:b w:val="1"/>
                <w:bCs w:val="1"/>
                <w:color w:val="auto"/>
              </w:rPr>
              <w:t>2021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3459480</wp:posOffset>
            </wp:positionH>
            <wp:positionV relativeFrom="paragraph">
              <wp:posOffset>-6350</wp:posOffset>
            </wp:positionV>
            <wp:extent cx="360870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608705" cy="8890"/>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p>
      <w:pPr>
        <w:ind w:left="20"/>
        <w:spacing w:after="0"/>
        <w:rPr>
          <w:sz w:val="20"/>
          <w:szCs w:val="20"/>
          <w:color w:val="auto"/>
        </w:rPr>
      </w:pPr>
      <w:r>
        <w:rPr>
          <w:rFonts w:ascii="Arial" w:cs="Arial" w:eastAsia="Arial" w:hAnsi="Arial"/>
          <w:sz w:val="16"/>
          <w:szCs w:val="16"/>
          <w:b w:val="1"/>
          <w:bCs w:val="1"/>
          <w:color w:val="auto"/>
        </w:rPr>
        <w:t>Revenues:</w:t>
      </w:r>
    </w:p>
    <w:p>
      <w:pPr>
        <w:spacing w:after="0" w:line="1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Software-enabled services</w:t>
      </w:r>
    </w:p>
    <w:p>
      <w:pPr>
        <w:spacing w:after="0" w:line="28" w:lineRule="exact"/>
        <w:rPr>
          <w:sz w:val="20"/>
          <w:szCs w:val="20"/>
          <w:color w:val="auto"/>
        </w:rPr>
      </w:pPr>
    </w:p>
    <w:p>
      <w:pPr>
        <w:ind w:left="200"/>
        <w:spacing w:after="0"/>
        <w:rPr>
          <w:sz w:val="20"/>
          <w:szCs w:val="20"/>
          <w:color w:val="auto"/>
        </w:rPr>
      </w:pPr>
      <w:r>
        <w:rPr>
          <w:rFonts w:ascii="Arial" w:cs="Arial" w:eastAsia="Arial" w:hAnsi="Arial"/>
          <w:sz w:val="14"/>
          <w:szCs w:val="14"/>
          <w:color w:val="auto"/>
        </w:rPr>
        <w:t>License, maintenance and related</w:t>
      </w:r>
    </w:p>
    <w:p>
      <w:pPr>
        <w:spacing w:after="0" w:line="55"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Total revenues</w:t>
      </w:r>
    </w:p>
    <w:p>
      <w:pPr>
        <w:spacing w:after="0" w:line="2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Cost of revenues:</w:t>
      </w:r>
    </w:p>
    <w:p>
      <w:pPr>
        <w:spacing w:after="0" w:line="19" w:lineRule="exact"/>
        <w:rPr>
          <w:sz w:val="20"/>
          <w:szCs w:val="20"/>
          <w:color w:val="auto"/>
        </w:rPr>
      </w:pPr>
    </w:p>
    <w:p>
      <w:pPr>
        <w:ind w:left="200"/>
        <w:spacing w:after="0"/>
        <w:rPr>
          <w:sz w:val="20"/>
          <w:szCs w:val="20"/>
          <w:color w:val="auto"/>
        </w:rPr>
      </w:pPr>
      <w:r>
        <w:rPr>
          <w:rFonts w:ascii="Arial" w:cs="Arial" w:eastAsia="Arial" w:hAnsi="Arial"/>
          <w:sz w:val="16"/>
          <w:szCs w:val="16"/>
          <w:color w:val="auto"/>
        </w:rPr>
        <w:t>Software-enabled services</w:t>
      </w:r>
    </w:p>
    <w:p>
      <w:pPr>
        <w:spacing w:after="0" w:line="28" w:lineRule="exact"/>
        <w:rPr>
          <w:sz w:val="20"/>
          <w:szCs w:val="20"/>
          <w:color w:val="auto"/>
        </w:rPr>
      </w:pPr>
    </w:p>
    <w:p>
      <w:pPr>
        <w:ind w:left="200"/>
        <w:spacing w:after="0"/>
        <w:rPr>
          <w:sz w:val="20"/>
          <w:szCs w:val="20"/>
          <w:color w:val="auto"/>
        </w:rPr>
      </w:pPr>
      <w:r>
        <w:rPr>
          <w:rFonts w:ascii="Arial" w:cs="Arial" w:eastAsia="Arial" w:hAnsi="Arial"/>
          <w:sz w:val="14"/>
          <w:szCs w:val="14"/>
          <w:color w:val="auto"/>
        </w:rPr>
        <w:t>License, maintenance and related</w:t>
      </w:r>
    </w:p>
    <w:p>
      <w:pPr>
        <w:spacing w:after="0" w:line="20" w:lineRule="exact"/>
        <w:rPr>
          <w:sz w:val="20"/>
          <w:szCs w:val="20"/>
          <w:color w:val="auto"/>
        </w:rPr>
      </w:pPr>
      <w:r>
        <w:rPr>
          <w:sz w:val="20"/>
          <w:szCs w:val="20"/>
          <w:color w:val="auto"/>
        </w:rPr>
        <w:br w:type="column"/>
      </w:r>
    </w:p>
    <w:p>
      <w:pPr>
        <w:spacing w:after="0" w:line="17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1,049.8</w:t>
            </w:r>
          </w:p>
        </w:tc>
        <w:tc>
          <w:tcPr>
            <w:tcW w:w="68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1,069.9</w:t>
            </w:r>
          </w:p>
        </w:tc>
        <w:tc>
          <w:tcPr>
            <w:tcW w:w="64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3,205.7</w:t>
            </w:r>
          </w:p>
        </w:tc>
        <w:tc>
          <w:tcPr>
            <w:tcW w:w="66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3,170.4</w:t>
            </w:r>
          </w:p>
        </w:tc>
      </w:tr>
      <w:tr>
        <w:trPr>
          <w:trHeight w:val="209"/>
        </w:trPr>
        <w:tc>
          <w:tcPr>
            <w:tcW w:w="4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271.2</w:t>
            </w:r>
          </w:p>
        </w:tc>
        <w:tc>
          <w:tcPr>
            <w:tcW w:w="24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194.5</w:t>
            </w:r>
          </w:p>
        </w:tc>
        <w:tc>
          <w:tcPr>
            <w:tcW w:w="24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739.0</w:t>
            </w:r>
          </w:p>
        </w:tc>
        <w:tc>
          <w:tcPr>
            <w:tcW w:w="24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586.4</w:t>
            </w:r>
          </w:p>
        </w:tc>
      </w:tr>
      <w:tr>
        <w:trPr>
          <w:trHeight w:val="199"/>
        </w:trPr>
        <w:tc>
          <w:tcPr>
            <w:tcW w:w="4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1,321.0</w:t>
            </w:r>
          </w:p>
        </w:tc>
        <w:tc>
          <w:tcPr>
            <w:tcW w:w="24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1,264.4</w:t>
            </w:r>
          </w:p>
        </w:tc>
        <w:tc>
          <w:tcPr>
            <w:tcW w:w="24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3,944.7</w:t>
            </w:r>
          </w:p>
        </w:tc>
        <w:tc>
          <w:tcPr>
            <w:tcW w:w="24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3,756.8</w:t>
            </w:r>
          </w:p>
        </w:tc>
      </w:tr>
      <w:tr>
        <w:trPr>
          <w:trHeight w:val="389"/>
        </w:trPr>
        <w:tc>
          <w:tcPr>
            <w:tcW w:w="4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605.8</w:t>
            </w: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563.7</w:t>
            </w: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1,811.6</w:t>
            </w: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1,742.0</w:t>
            </w:r>
          </w:p>
        </w:tc>
      </w:tr>
      <w:tr>
        <w:trPr>
          <w:trHeight w:val="206"/>
        </w:trPr>
        <w:tc>
          <w:tcPr>
            <w:tcW w:w="4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91.4</w:t>
            </w: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76.7</w:t>
            </w: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265.2</w:t>
            </w: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236.7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-3448685</wp:posOffset>
            </wp:positionH>
            <wp:positionV relativeFrom="paragraph">
              <wp:posOffset>-784225</wp:posOffset>
            </wp:positionV>
            <wp:extent cx="7132320"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-3448685</wp:posOffset>
            </wp:positionH>
            <wp:positionV relativeFrom="paragraph">
              <wp:posOffset>-518795</wp:posOffset>
            </wp:positionV>
            <wp:extent cx="7132320" cy="3943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394335"/>
                    </a:xfrm>
                    <a:prstGeom prst="rect">
                      <a:avLst/>
                    </a:prstGeom>
                    <a:noFill/>
                  </pic:spPr>
                </pic:pic>
              </a:graphicData>
            </a:graphic>
          </wp:anchor>
        </w:drawing>
      </w:r>
    </w:p>
    <w:p>
      <w:pPr>
        <w:spacing w:after="0" w:line="6" w:lineRule="exact"/>
        <w:rPr>
          <w:sz w:val="20"/>
          <w:szCs w:val="20"/>
          <w:color w:val="auto"/>
        </w:rPr>
      </w:pPr>
    </w:p>
    <w:p>
      <w:pPr>
        <w:sectPr>
          <w:pgSz w:w="11900" w:h="16838" w:orient="portrait"/>
          <w:cols w:equalWidth="0" w:num="2">
            <w:col w:w="4720" w:space="720"/>
            <w:col w:w="5800"/>
          </w:cols>
          <w:pgMar w:left="320" w:top="324" w:right="339" w:bottom="144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544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6"/>
                <w:szCs w:val="16"/>
                <w:color w:val="auto"/>
              </w:rPr>
              <w:t>Total cost of revenues</w:t>
            </w:r>
          </w:p>
        </w:tc>
        <w:tc>
          <w:tcPr>
            <w:tcW w:w="460" w:type="dxa"/>
            <w:vAlign w:val="bottom"/>
            <w:tcBorders>
              <w:top w:val="single" w:sz="8" w:color="auto"/>
              <w:bottom w:val="single" w:sz="8" w:color="auto"/>
            </w:tcBorders>
            <w:shd w:val="clear" w:color="auto" w:fill="CFF0FC"/>
          </w:tcPr>
          <w:p>
            <w:pPr>
              <w:spacing w:after="0"/>
              <w:rPr>
                <w:sz w:val="17"/>
                <w:szCs w:val="17"/>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697.2</w:t>
            </w:r>
          </w:p>
        </w:tc>
        <w:tc>
          <w:tcPr>
            <w:tcW w:w="240" w:type="dxa"/>
            <w:vAlign w:val="bottom"/>
            <w:tcBorders>
              <w:bottom w:val="single" w:sz="8" w:color="CFF0FC"/>
            </w:tcBorders>
            <w:shd w:val="clear" w:color="auto" w:fill="CFF0FC"/>
          </w:tcPr>
          <w:p>
            <w:pPr>
              <w:spacing w:after="0"/>
              <w:rPr>
                <w:sz w:val="17"/>
                <w:szCs w:val="17"/>
                <w:color w:val="auto"/>
              </w:rPr>
            </w:pPr>
          </w:p>
        </w:tc>
        <w:tc>
          <w:tcPr>
            <w:tcW w:w="500" w:type="dxa"/>
            <w:vAlign w:val="bottom"/>
            <w:tcBorders>
              <w:top w:val="single" w:sz="8" w:color="auto"/>
              <w:bottom w:val="single" w:sz="8" w:color="auto"/>
            </w:tcBorders>
            <w:shd w:val="clear" w:color="auto" w:fill="CFF0FC"/>
          </w:tcPr>
          <w:p>
            <w:pPr>
              <w:spacing w:after="0"/>
              <w:rPr>
                <w:sz w:val="17"/>
                <w:szCs w:val="17"/>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640.4</w:t>
            </w:r>
          </w:p>
        </w:tc>
        <w:tc>
          <w:tcPr>
            <w:tcW w:w="240" w:type="dxa"/>
            <w:vAlign w:val="bottom"/>
            <w:tcBorders>
              <w:bottom w:val="single" w:sz="8" w:color="CFF0FC"/>
            </w:tcBorders>
            <w:shd w:val="clear" w:color="auto" w:fill="CFF0FC"/>
          </w:tcPr>
          <w:p>
            <w:pPr>
              <w:spacing w:after="0"/>
              <w:rPr>
                <w:sz w:val="17"/>
                <w:szCs w:val="17"/>
                <w:color w:val="auto"/>
              </w:rPr>
            </w:pPr>
          </w:p>
        </w:tc>
        <w:tc>
          <w:tcPr>
            <w:tcW w:w="400" w:type="dxa"/>
            <w:vAlign w:val="bottom"/>
            <w:tcBorders>
              <w:top w:val="single" w:sz="8" w:color="auto"/>
              <w:bottom w:val="single" w:sz="8" w:color="auto"/>
            </w:tcBorders>
            <w:shd w:val="clear" w:color="auto" w:fill="CFF0FC"/>
          </w:tcPr>
          <w:p>
            <w:pPr>
              <w:spacing w:after="0"/>
              <w:rPr>
                <w:sz w:val="17"/>
                <w:szCs w:val="17"/>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2,076.8</w:t>
            </w:r>
          </w:p>
        </w:tc>
        <w:tc>
          <w:tcPr>
            <w:tcW w:w="240" w:type="dxa"/>
            <w:vAlign w:val="bottom"/>
            <w:tcBorders>
              <w:bottom w:val="single" w:sz="8" w:color="CFF0FC"/>
            </w:tcBorders>
            <w:shd w:val="clear" w:color="auto" w:fill="CFF0FC"/>
          </w:tcPr>
          <w:p>
            <w:pPr>
              <w:spacing w:after="0"/>
              <w:rPr>
                <w:sz w:val="17"/>
                <w:szCs w:val="17"/>
                <w:color w:val="auto"/>
              </w:rPr>
            </w:pPr>
          </w:p>
        </w:tc>
        <w:tc>
          <w:tcPr>
            <w:tcW w:w="420" w:type="dxa"/>
            <w:vAlign w:val="bottom"/>
            <w:tcBorders>
              <w:top w:val="single" w:sz="8" w:color="auto"/>
              <w:bottom w:val="single" w:sz="8" w:color="auto"/>
            </w:tcBorders>
            <w:shd w:val="clear" w:color="auto" w:fill="CFF0FC"/>
          </w:tcPr>
          <w:p>
            <w:pPr>
              <w:spacing w:after="0"/>
              <w:rPr>
                <w:sz w:val="17"/>
                <w:szCs w:val="17"/>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1,978.7</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440" w:type="dxa"/>
            <w:vAlign w:val="bottom"/>
          </w:tcPr>
          <w:p>
            <w:pPr>
              <w:ind w:left="20"/>
              <w:spacing w:after="0"/>
              <w:rPr>
                <w:sz w:val="20"/>
                <w:szCs w:val="20"/>
                <w:color w:val="auto"/>
              </w:rPr>
            </w:pPr>
            <w:r>
              <w:rPr>
                <w:rFonts w:ascii="Arial" w:cs="Arial" w:eastAsia="Arial" w:hAnsi="Arial"/>
                <w:sz w:val="16"/>
                <w:szCs w:val="16"/>
                <w:color w:val="auto"/>
              </w:rPr>
              <w:t>Gross profit</w:t>
            </w:r>
          </w:p>
        </w:tc>
        <w:tc>
          <w:tcPr>
            <w:tcW w:w="4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623.8</w:t>
            </w:r>
          </w:p>
        </w:tc>
        <w:tc>
          <w:tcPr>
            <w:tcW w:w="24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624.0</w:t>
            </w:r>
          </w:p>
        </w:tc>
        <w:tc>
          <w:tcPr>
            <w:tcW w:w="24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1,867.9</w:t>
            </w:r>
          </w:p>
        </w:tc>
        <w:tc>
          <w:tcPr>
            <w:tcW w:w="24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1,778.1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44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Operating expenses:</w:t>
            </w:r>
          </w:p>
        </w:tc>
        <w:tc>
          <w:tcPr>
            <w:tcW w:w="46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40" w:type="dxa"/>
            <w:vAlign w:val="bottom"/>
          </w:tcPr>
          <w:p>
            <w:pPr>
              <w:ind w:left="200"/>
              <w:spacing w:after="0"/>
              <w:rPr>
                <w:sz w:val="20"/>
                <w:szCs w:val="20"/>
                <w:color w:val="auto"/>
              </w:rPr>
            </w:pPr>
            <w:r>
              <w:rPr>
                <w:rFonts w:ascii="Arial" w:cs="Arial" w:eastAsia="Arial" w:hAnsi="Arial"/>
                <w:sz w:val="16"/>
                <w:szCs w:val="16"/>
                <w:color w:val="auto"/>
              </w:rPr>
              <w:t>Selling and marketing</w:t>
            </w:r>
          </w:p>
        </w:tc>
        <w:tc>
          <w:tcPr>
            <w:tcW w:w="4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120.9</w:t>
            </w:r>
          </w:p>
        </w:tc>
        <w:tc>
          <w:tcPr>
            <w:tcW w:w="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96.4</w:t>
            </w: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371.1</w:t>
            </w: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286.1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Research and development</w:t>
            </w:r>
          </w:p>
        </w:tc>
        <w:tc>
          <w:tcPr>
            <w:tcW w:w="46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107.6</w:t>
            </w:r>
          </w:p>
        </w:tc>
        <w:tc>
          <w:tcPr>
            <w:tcW w:w="24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97.7</w:t>
            </w:r>
          </w:p>
        </w:tc>
        <w:tc>
          <w:tcPr>
            <w:tcW w:w="24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331.8</w:t>
            </w:r>
          </w:p>
        </w:tc>
        <w:tc>
          <w:tcPr>
            <w:tcW w:w="24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306.4</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40" w:type="dxa"/>
            <w:vAlign w:val="bottom"/>
          </w:tcPr>
          <w:p>
            <w:pPr>
              <w:ind w:left="200"/>
              <w:spacing w:after="0"/>
              <w:rPr>
                <w:sz w:val="20"/>
                <w:szCs w:val="20"/>
                <w:color w:val="auto"/>
              </w:rPr>
            </w:pPr>
            <w:r>
              <w:rPr>
                <w:rFonts w:ascii="Arial" w:cs="Arial" w:eastAsia="Arial" w:hAnsi="Arial"/>
                <w:sz w:val="16"/>
                <w:szCs w:val="16"/>
                <w:color w:val="auto"/>
              </w:rPr>
              <w:t>General and administrative</w:t>
            </w:r>
          </w:p>
        </w:tc>
        <w:tc>
          <w:tcPr>
            <w:tcW w:w="4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91.1</w:t>
            </w:r>
          </w:p>
        </w:tc>
        <w:tc>
          <w:tcPr>
            <w:tcW w:w="24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89.8</w:t>
            </w:r>
          </w:p>
        </w:tc>
        <w:tc>
          <w:tcPr>
            <w:tcW w:w="24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323.4</w:t>
            </w:r>
          </w:p>
        </w:tc>
        <w:tc>
          <w:tcPr>
            <w:tcW w:w="24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263.5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44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6"/>
                <w:szCs w:val="16"/>
                <w:color w:val="auto"/>
              </w:rPr>
              <w:t>Total operating expenses</w:t>
            </w:r>
          </w:p>
        </w:tc>
        <w:tc>
          <w:tcPr>
            <w:tcW w:w="460" w:type="dxa"/>
            <w:vAlign w:val="bottom"/>
            <w:tcBorders>
              <w:bottom w:val="single" w:sz="8" w:color="auto"/>
            </w:tcBorders>
            <w:shd w:val="clear" w:color="auto" w:fill="CFF0FC"/>
          </w:tcPr>
          <w:p>
            <w:pPr>
              <w:spacing w:after="0"/>
              <w:rPr>
                <w:sz w:val="17"/>
                <w:szCs w:val="17"/>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319.6</w:t>
            </w:r>
          </w:p>
        </w:tc>
        <w:tc>
          <w:tcPr>
            <w:tcW w:w="240" w:type="dxa"/>
            <w:vAlign w:val="bottom"/>
            <w:tcBorders>
              <w:bottom w:val="single" w:sz="8" w:color="CFF0FC"/>
            </w:tcBorders>
            <w:shd w:val="clear" w:color="auto" w:fill="CFF0FC"/>
          </w:tcPr>
          <w:p>
            <w:pPr>
              <w:spacing w:after="0"/>
              <w:rPr>
                <w:sz w:val="17"/>
                <w:szCs w:val="17"/>
                <w:color w:val="auto"/>
              </w:rPr>
            </w:pPr>
          </w:p>
        </w:tc>
        <w:tc>
          <w:tcPr>
            <w:tcW w:w="500" w:type="dxa"/>
            <w:vAlign w:val="bottom"/>
            <w:tcBorders>
              <w:bottom w:val="single" w:sz="8" w:color="auto"/>
            </w:tcBorders>
            <w:shd w:val="clear" w:color="auto" w:fill="CFF0FC"/>
          </w:tcPr>
          <w:p>
            <w:pPr>
              <w:spacing w:after="0"/>
              <w:rPr>
                <w:sz w:val="17"/>
                <w:szCs w:val="17"/>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283.9</w:t>
            </w:r>
          </w:p>
        </w:tc>
        <w:tc>
          <w:tcPr>
            <w:tcW w:w="240" w:type="dxa"/>
            <w:vAlign w:val="bottom"/>
            <w:tcBorders>
              <w:bottom w:val="single" w:sz="8" w:color="CFF0FC"/>
            </w:tcBorders>
            <w:shd w:val="clear" w:color="auto" w:fill="CFF0FC"/>
          </w:tcPr>
          <w:p>
            <w:pPr>
              <w:spacing w:after="0"/>
              <w:rPr>
                <w:sz w:val="17"/>
                <w:szCs w:val="17"/>
                <w:color w:val="auto"/>
              </w:rPr>
            </w:pPr>
          </w:p>
        </w:tc>
        <w:tc>
          <w:tcPr>
            <w:tcW w:w="400" w:type="dxa"/>
            <w:vAlign w:val="bottom"/>
            <w:tcBorders>
              <w:bottom w:val="single" w:sz="8" w:color="auto"/>
            </w:tcBorders>
            <w:shd w:val="clear" w:color="auto" w:fill="CFF0FC"/>
          </w:tcPr>
          <w:p>
            <w:pPr>
              <w:spacing w:after="0"/>
              <w:rPr>
                <w:sz w:val="17"/>
                <w:szCs w:val="17"/>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1,026.3</w:t>
            </w:r>
          </w:p>
        </w:tc>
        <w:tc>
          <w:tcPr>
            <w:tcW w:w="240" w:type="dxa"/>
            <w:vAlign w:val="bottom"/>
            <w:tcBorders>
              <w:bottom w:val="single" w:sz="8" w:color="CFF0FC"/>
            </w:tcBorders>
            <w:shd w:val="clear" w:color="auto" w:fill="CFF0FC"/>
          </w:tcPr>
          <w:p>
            <w:pPr>
              <w:spacing w:after="0"/>
              <w:rPr>
                <w:sz w:val="17"/>
                <w:szCs w:val="17"/>
                <w:color w:val="auto"/>
              </w:rPr>
            </w:pPr>
          </w:p>
        </w:tc>
        <w:tc>
          <w:tcPr>
            <w:tcW w:w="420" w:type="dxa"/>
            <w:vAlign w:val="bottom"/>
            <w:tcBorders>
              <w:bottom w:val="single" w:sz="8" w:color="auto"/>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856.0</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440" w:type="dxa"/>
            <w:vAlign w:val="bottom"/>
          </w:tcPr>
          <w:p>
            <w:pPr>
              <w:ind w:left="20"/>
              <w:spacing w:after="0"/>
              <w:rPr>
                <w:sz w:val="20"/>
                <w:szCs w:val="20"/>
                <w:color w:val="auto"/>
              </w:rPr>
            </w:pPr>
            <w:r>
              <w:rPr>
                <w:rFonts w:ascii="Arial" w:cs="Arial" w:eastAsia="Arial" w:hAnsi="Arial"/>
                <w:sz w:val="16"/>
                <w:szCs w:val="16"/>
                <w:color w:val="auto"/>
              </w:rPr>
              <w:t>Operating income</w:t>
            </w:r>
          </w:p>
        </w:tc>
        <w:tc>
          <w:tcPr>
            <w:tcW w:w="4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304.2</w:t>
            </w:r>
          </w:p>
        </w:tc>
        <w:tc>
          <w:tcPr>
            <w:tcW w:w="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340.1</w:t>
            </w: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841.6</w:t>
            </w: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922.1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Interest expense, net</w:t>
            </w:r>
          </w:p>
        </w:tc>
        <w:tc>
          <w:tcPr>
            <w:tcW w:w="46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99"/>
              <w:spacing w:after="0"/>
              <w:rPr>
                <w:sz w:val="20"/>
                <w:szCs w:val="20"/>
                <w:color w:val="auto"/>
              </w:rPr>
            </w:pPr>
            <w:r>
              <w:rPr>
                <w:rFonts w:ascii="Arial" w:cs="Arial" w:eastAsia="Arial" w:hAnsi="Arial"/>
                <w:sz w:val="16"/>
                <w:szCs w:val="16"/>
                <w:color w:val="auto"/>
              </w:rPr>
              <w:t>(86.0 )</w:t>
            </w:r>
          </w:p>
        </w:tc>
        <w:tc>
          <w:tcPr>
            <w:tcW w:w="50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(50.2 )</w:t>
            </w:r>
          </w:p>
        </w:tc>
        <w:tc>
          <w:tcPr>
            <w:tcW w:w="40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79"/>
              <w:spacing w:after="0"/>
              <w:rPr>
                <w:sz w:val="20"/>
                <w:szCs w:val="20"/>
                <w:color w:val="auto"/>
              </w:rPr>
            </w:pPr>
            <w:r>
              <w:rPr>
                <w:rFonts w:ascii="Arial" w:cs="Arial" w:eastAsia="Arial" w:hAnsi="Arial"/>
                <w:sz w:val="16"/>
                <w:szCs w:val="16"/>
                <w:color w:val="auto"/>
              </w:rPr>
              <w:t>(203.0 )</w:t>
            </w:r>
          </w:p>
        </w:tc>
        <w:tc>
          <w:tcPr>
            <w:tcW w:w="42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(152.6 )</w:t>
            </w:r>
          </w:p>
        </w:tc>
        <w:tc>
          <w:tcPr>
            <w:tcW w:w="0" w:type="dxa"/>
            <w:vAlign w:val="bottom"/>
          </w:tcPr>
          <w:p>
            <w:pPr>
              <w:spacing w:after="0"/>
              <w:rPr>
                <w:sz w:val="1"/>
                <w:szCs w:val="1"/>
                <w:color w:val="auto"/>
              </w:rPr>
            </w:pPr>
          </w:p>
        </w:tc>
      </w:tr>
      <w:tr>
        <w:trPr>
          <w:trHeight w:val="203"/>
        </w:trPr>
        <w:tc>
          <w:tcPr>
            <w:tcW w:w="5440" w:type="dxa"/>
            <w:vAlign w:val="bottom"/>
          </w:tcPr>
          <w:p>
            <w:pPr>
              <w:ind w:left="200"/>
              <w:spacing w:after="0"/>
              <w:rPr>
                <w:sz w:val="20"/>
                <w:szCs w:val="20"/>
                <w:color w:val="auto"/>
              </w:rPr>
            </w:pPr>
            <w:r>
              <w:rPr>
                <w:rFonts w:ascii="Arial" w:cs="Arial" w:eastAsia="Arial" w:hAnsi="Arial"/>
                <w:sz w:val="16"/>
                <w:szCs w:val="16"/>
                <w:color w:val="auto"/>
              </w:rPr>
              <w:t>Other income (expense), net</w:t>
            </w:r>
          </w:p>
        </w:tc>
        <w:tc>
          <w:tcPr>
            <w:tcW w:w="4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1.1</w:t>
            </w:r>
          </w:p>
        </w:tc>
        <w:tc>
          <w:tcPr>
            <w:tcW w:w="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(44.9 )</w:t>
            </w:r>
          </w:p>
        </w:tc>
        <w:tc>
          <w:tcPr>
            <w:tcW w:w="400" w:type="dxa"/>
            <w:vAlign w:val="bottom"/>
          </w:tcPr>
          <w:p>
            <w:pPr>
              <w:spacing w:after="0"/>
              <w:rPr>
                <w:sz w:val="17"/>
                <w:szCs w:val="17"/>
                <w:color w:val="auto"/>
              </w:rPr>
            </w:pPr>
          </w:p>
        </w:tc>
        <w:tc>
          <w:tcPr>
            <w:tcW w:w="1040" w:type="dxa"/>
            <w:vAlign w:val="bottom"/>
            <w:gridSpan w:val="2"/>
          </w:tcPr>
          <w:p>
            <w:pPr>
              <w:jc w:val="right"/>
              <w:ind w:right="79"/>
              <w:spacing w:after="0"/>
              <w:rPr>
                <w:sz w:val="20"/>
                <w:szCs w:val="20"/>
                <w:color w:val="auto"/>
              </w:rPr>
            </w:pPr>
            <w:r>
              <w:rPr>
                <w:rFonts w:ascii="Arial" w:cs="Arial" w:eastAsia="Arial" w:hAnsi="Arial"/>
                <w:sz w:val="16"/>
                <w:szCs w:val="16"/>
                <w:color w:val="auto"/>
              </w:rPr>
              <w:t>(28.3 )</w:t>
            </w:r>
          </w:p>
        </w:tc>
        <w:tc>
          <w:tcPr>
            <w:tcW w:w="420" w:type="dxa"/>
            <w:vAlign w:val="bottom"/>
          </w:tcPr>
          <w:p>
            <w:pPr>
              <w:spacing w:after="0"/>
              <w:rPr>
                <w:sz w:val="17"/>
                <w:szCs w:val="17"/>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6"/>
                <w:szCs w:val="16"/>
                <w:color w:val="auto"/>
              </w:rPr>
              <w:t>(20.4 )</w:t>
            </w:r>
          </w:p>
        </w:tc>
        <w:tc>
          <w:tcPr>
            <w:tcW w:w="0" w:type="dxa"/>
            <w:vAlign w:val="bottom"/>
          </w:tcPr>
          <w:p>
            <w:pPr>
              <w:spacing w:after="0"/>
              <w:rPr>
                <w:sz w:val="1"/>
                <w:szCs w:val="1"/>
                <w:color w:val="auto"/>
              </w:rPr>
            </w:pPr>
          </w:p>
        </w:tc>
      </w:tr>
      <w:tr>
        <w:trPr>
          <w:trHeight w:val="203"/>
        </w:trPr>
        <w:tc>
          <w:tcPr>
            <w:tcW w:w="54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Equity in earnings of unconsolidated affiliates, net</w:t>
            </w:r>
          </w:p>
        </w:tc>
        <w:tc>
          <w:tcPr>
            <w:tcW w:w="46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99"/>
              <w:spacing w:after="0"/>
              <w:rPr>
                <w:sz w:val="20"/>
                <w:szCs w:val="20"/>
                <w:color w:val="auto"/>
              </w:rPr>
            </w:pPr>
            <w:r>
              <w:rPr>
                <w:rFonts w:ascii="Arial" w:cs="Arial" w:eastAsia="Arial" w:hAnsi="Arial"/>
                <w:sz w:val="16"/>
                <w:szCs w:val="16"/>
                <w:color w:val="auto"/>
              </w:rPr>
              <w:t>(5.1 )</w:t>
            </w:r>
          </w:p>
        </w:tc>
        <w:tc>
          <w:tcPr>
            <w:tcW w:w="50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w:t>
            </w:r>
          </w:p>
        </w:tc>
        <w:tc>
          <w:tcPr>
            <w:tcW w:w="24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79"/>
              <w:spacing w:after="0"/>
              <w:rPr>
                <w:sz w:val="20"/>
                <w:szCs w:val="20"/>
                <w:color w:val="auto"/>
              </w:rPr>
            </w:pPr>
            <w:r>
              <w:rPr>
                <w:rFonts w:ascii="Arial" w:cs="Arial" w:eastAsia="Arial" w:hAnsi="Arial"/>
                <w:sz w:val="16"/>
                <w:szCs w:val="16"/>
                <w:color w:val="auto"/>
              </w:rPr>
              <w:t>(2.7 )</w:t>
            </w:r>
          </w:p>
        </w:tc>
        <w:tc>
          <w:tcPr>
            <w:tcW w:w="42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40" w:type="dxa"/>
            <w:vAlign w:val="bottom"/>
          </w:tcPr>
          <w:p>
            <w:pPr>
              <w:ind w:left="200"/>
              <w:spacing w:after="0"/>
              <w:rPr>
                <w:sz w:val="20"/>
                <w:szCs w:val="20"/>
                <w:color w:val="auto"/>
              </w:rPr>
            </w:pPr>
            <w:r>
              <w:rPr>
                <w:rFonts w:ascii="Arial" w:cs="Arial" w:eastAsia="Arial" w:hAnsi="Arial"/>
                <w:sz w:val="16"/>
                <w:szCs w:val="16"/>
                <w:color w:val="auto"/>
              </w:rPr>
              <w:t>Loss on extinguishment of debt</w:t>
            </w:r>
          </w:p>
        </w:tc>
        <w:tc>
          <w:tcPr>
            <w:tcW w:w="460" w:type="dxa"/>
            <w:vAlign w:val="bottom"/>
          </w:tcPr>
          <w:p>
            <w:pPr>
              <w:spacing w:after="0"/>
              <w:rPr>
                <w:sz w:val="17"/>
                <w:szCs w:val="17"/>
                <w:color w:val="auto"/>
              </w:rPr>
            </w:pPr>
          </w:p>
        </w:tc>
        <w:tc>
          <w:tcPr>
            <w:tcW w:w="1040" w:type="dxa"/>
            <w:vAlign w:val="bottom"/>
            <w:gridSpan w:val="2"/>
          </w:tcPr>
          <w:p>
            <w:pPr>
              <w:jc w:val="right"/>
              <w:ind w:right="99"/>
              <w:spacing w:after="0"/>
              <w:rPr>
                <w:sz w:val="20"/>
                <w:szCs w:val="20"/>
                <w:color w:val="auto"/>
              </w:rPr>
            </w:pPr>
            <w:r>
              <w:rPr>
                <w:rFonts w:ascii="Arial" w:cs="Arial" w:eastAsia="Arial" w:hAnsi="Arial"/>
                <w:sz w:val="16"/>
                <w:szCs w:val="16"/>
                <w:color w:val="auto"/>
              </w:rPr>
              <w:t>(1.0 )</w:t>
            </w:r>
          </w:p>
        </w:tc>
        <w:tc>
          <w:tcPr>
            <w:tcW w:w="500" w:type="dxa"/>
            <w:vAlign w:val="bottom"/>
          </w:tcPr>
          <w:p>
            <w:pPr>
              <w:spacing w:after="0"/>
              <w:rPr>
                <w:sz w:val="17"/>
                <w:szCs w:val="17"/>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(1.7 )</w:t>
            </w:r>
          </w:p>
        </w:tc>
        <w:tc>
          <w:tcPr>
            <w:tcW w:w="400" w:type="dxa"/>
            <w:vAlign w:val="bottom"/>
          </w:tcPr>
          <w:p>
            <w:pPr>
              <w:spacing w:after="0"/>
              <w:rPr>
                <w:sz w:val="17"/>
                <w:szCs w:val="17"/>
                <w:color w:val="auto"/>
              </w:rPr>
            </w:pPr>
          </w:p>
        </w:tc>
        <w:tc>
          <w:tcPr>
            <w:tcW w:w="1040" w:type="dxa"/>
            <w:vAlign w:val="bottom"/>
            <w:gridSpan w:val="2"/>
          </w:tcPr>
          <w:p>
            <w:pPr>
              <w:jc w:val="right"/>
              <w:ind w:right="79"/>
              <w:spacing w:after="0"/>
              <w:rPr>
                <w:sz w:val="20"/>
                <w:szCs w:val="20"/>
                <w:color w:val="auto"/>
              </w:rPr>
            </w:pPr>
            <w:r>
              <w:rPr>
                <w:rFonts w:ascii="Arial" w:cs="Arial" w:eastAsia="Arial" w:hAnsi="Arial"/>
                <w:sz w:val="16"/>
                <w:szCs w:val="16"/>
                <w:color w:val="auto"/>
              </w:rPr>
              <w:t>(4.1 )</w:t>
            </w:r>
          </w:p>
        </w:tc>
        <w:tc>
          <w:tcPr>
            <w:tcW w:w="420" w:type="dxa"/>
            <w:vAlign w:val="bottom"/>
          </w:tcPr>
          <w:p>
            <w:pPr>
              <w:spacing w:after="0"/>
              <w:rPr>
                <w:sz w:val="17"/>
                <w:szCs w:val="17"/>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6"/>
                <w:szCs w:val="16"/>
                <w:color w:val="auto"/>
              </w:rPr>
              <w:t>(3.5 )</w:t>
            </w:r>
          </w:p>
        </w:tc>
        <w:tc>
          <w:tcPr>
            <w:tcW w:w="0" w:type="dxa"/>
            <w:vAlign w:val="bottom"/>
          </w:tcPr>
          <w:p>
            <w:pPr>
              <w:spacing w:after="0"/>
              <w:rPr>
                <w:sz w:val="1"/>
                <w:szCs w:val="1"/>
                <w:color w:val="auto"/>
              </w:rPr>
            </w:pPr>
          </w:p>
        </w:tc>
      </w:tr>
      <w:tr>
        <w:trPr>
          <w:trHeight w:val="196"/>
        </w:trPr>
        <w:tc>
          <w:tcPr>
            <w:tcW w:w="5440" w:type="dxa"/>
            <w:vAlign w:val="bottom"/>
            <w:shd w:val="clear" w:color="auto" w:fill="CFF0FC"/>
          </w:tcPr>
          <w:p>
            <w:pPr>
              <w:ind w:left="20"/>
              <w:spacing w:after="0"/>
              <w:rPr>
                <w:sz w:val="20"/>
                <w:szCs w:val="20"/>
                <w:color w:val="auto"/>
              </w:rPr>
            </w:pPr>
            <w:r>
              <w:rPr>
                <w:rFonts w:ascii="Arial" w:cs="Arial" w:eastAsia="Arial" w:hAnsi="Arial"/>
                <w:sz w:val="16"/>
                <w:szCs w:val="16"/>
                <w:color w:val="auto"/>
              </w:rPr>
              <w:t>Income before income taxes</w:t>
            </w:r>
          </w:p>
        </w:tc>
        <w:tc>
          <w:tcPr>
            <w:tcW w:w="460" w:type="dxa"/>
            <w:vAlign w:val="bottom"/>
            <w:tcBorders>
              <w:top w:val="single" w:sz="8" w:color="auto"/>
            </w:tcBorders>
            <w:shd w:val="clear" w:color="auto" w:fill="CFF0FC"/>
          </w:tcPr>
          <w:p>
            <w:pPr>
              <w:spacing w:after="0"/>
              <w:rPr>
                <w:sz w:val="17"/>
                <w:szCs w:val="17"/>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213.2</w:t>
            </w:r>
          </w:p>
        </w:tc>
        <w:tc>
          <w:tcPr>
            <w:tcW w:w="240" w:type="dxa"/>
            <w:vAlign w:val="bottom"/>
            <w:shd w:val="clear" w:color="auto" w:fill="CFF0FC"/>
          </w:tcPr>
          <w:p>
            <w:pPr>
              <w:spacing w:after="0"/>
              <w:rPr>
                <w:sz w:val="17"/>
                <w:szCs w:val="17"/>
                <w:color w:val="auto"/>
              </w:rPr>
            </w:pPr>
          </w:p>
        </w:tc>
        <w:tc>
          <w:tcPr>
            <w:tcW w:w="500" w:type="dxa"/>
            <w:vAlign w:val="bottom"/>
            <w:tcBorders>
              <w:top w:val="single" w:sz="8" w:color="auto"/>
            </w:tcBorders>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245.3</w:t>
            </w:r>
          </w:p>
        </w:tc>
        <w:tc>
          <w:tcPr>
            <w:tcW w:w="240" w:type="dxa"/>
            <w:vAlign w:val="bottom"/>
            <w:shd w:val="clear" w:color="auto" w:fill="CFF0FC"/>
          </w:tcPr>
          <w:p>
            <w:pPr>
              <w:spacing w:after="0"/>
              <w:rPr>
                <w:sz w:val="17"/>
                <w:szCs w:val="17"/>
                <w:color w:val="auto"/>
              </w:rPr>
            </w:pPr>
          </w:p>
        </w:tc>
        <w:tc>
          <w:tcPr>
            <w:tcW w:w="400" w:type="dxa"/>
            <w:vAlign w:val="bottom"/>
            <w:tcBorders>
              <w:top w:val="single" w:sz="8" w:color="auto"/>
            </w:tcBorders>
            <w:shd w:val="clear" w:color="auto" w:fill="CFF0FC"/>
          </w:tcPr>
          <w:p>
            <w:pPr>
              <w:spacing w:after="0"/>
              <w:rPr>
                <w:sz w:val="17"/>
                <w:szCs w:val="17"/>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603.5</w:t>
            </w:r>
          </w:p>
        </w:tc>
        <w:tc>
          <w:tcPr>
            <w:tcW w:w="240" w:type="dxa"/>
            <w:vAlign w:val="bottom"/>
            <w:shd w:val="clear" w:color="auto" w:fill="CFF0FC"/>
          </w:tcPr>
          <w:p>
            <w:pPr>
              <w:spacing w:after="0"/>
              <w:rPr>
                <w:sz w:val="17"/>
                <w:szCs w:val="17"/>
                <w:color w:val="auto"/>
              </w:rPr>
            </w:pPr>
          </w:p>
        </w:tc>
        <w:tc>
          <w:tcPr>
            <w:tcW w:w="420" w:type="dxa"/>
            <w:vAlign w:val="bottom"/>
            <w:tcBorders>
              <w:top w:val="single" w:sz="8" w:color="auto"/>
            </w:tcBorders>
            <w:shd w:val="clear" w:color="auto" w:fill="CFF0FC"/>
          </w:tcPr>
          <w:p>
            <w:pPr>
              <w:spacing w:after="0"/>
              <w:rPr>
                <w:sz w:val="17"/>
                <w:szCs w:val="17"/>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747.5</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40" w:type="dxa"/>
            <w:vAlign w:val="bottom"/>
          </w:tcPr>
          <w:p>
            <w:pPr>
              <w:ind w:left="200"/>
              <w:spacing w:after="0"/>
              <w:rPr>
                <w:sz w:val="20"/>
                <w:szCs w:val="20"/>
                <w:color w:val="auto"/>
              </w:rPr>
            </w:pPr>
            <w:r>
              <w:rPr>
                <w:rFonts w:ascii="Arial" w:cs="Arial" w:eastAsia="Arial" w:hAnsi="Arial"/>
                <w:sz w:val="16"/>
                <w:szCs w:val="16"/>
                <w:color w:val="auto"/>
              </w:rPr>
              <w:t>Provision for income taxes</w:t>
            </w:r>
          </w:p>
        </w:tc>
        <w:tc>
          <w:tcPr>
            <w:tcW w:w="4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53.4</w:t>
            </w:r>
          </w:p>
        </w:tc>
        <w:tc>
          <w:tcPr>
            <w:tcW w:w="24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60.6</w:t>
            </w:r>
          </w:p>
        </w:tc>
        <w:tc>
          <w:tcPr>
            <w:tcW w:w="24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162.1</w:t>
            </w:r>
          </w:p>
        </w:tc>
        <w:tc>
          <w:tcPr>
            <w:tcW w:w="24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198.1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440" w:type="dxa"/>
            <w:vAlign w:val="bottom"/>
            <w:shd w:val="clear" w:color="auto" w:fill="CFF0FC"/>
          </w:tcPr>
          <w:p>
            <w:pPr>
              <w:ind w:left="20"/>
              <w:spacing w:after="0"/>
              <w:rPr>
                <w:sz w:val="20"/>
                <w:szCs w:val="20"/>
                <w:color w:val="auto"/>
              </w:rPr>
            </w:pPr>
            <w:r>
              <w:rPr>
                <w:rFonts w:ascii="Arial" w:cs="Arial" w:eastAsia="Arial" w:hAnsi="Arial"/>
                <w:sz w:val="16"/>
                <w:szCs w:val="16"/>
                <w:color w:val="auto"/>
              </w:rPr>
              <w:t>Net income</w:t>
            </w:r>
          </w:p>
        </w:tc>
        <w:tc>
          <w:tcPr>
            <w:tcW w:w="46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159.8</w:t>
            </w:r>
          </w:p>
        </w:tc>
        <w:tc>
          <w:tcPr>
            <w:tcW w:w="24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184.7</w:t>
            </w:r>
          </w:p>
        </w:tc>
        <w:tc>
          <w:tcPr>
            <w:tcW w:w="24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441.4</w:t>
            </w:r>
          </w:p>
        </w:tc>
        <w:tc>
          <w:tcPr>
            <w:tcW w:w="24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549.4</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40" w:type="dxa"/>
            <w:vAlign w:val="bottom"/>
          </w:tcPr>
          <w:p>
            <w:pPr>
              <w:ind w:left="200"/>
              <w:spacing w:after="0"/>
              <w:rPr>
                <w:sz w:val="20"/>
                <w:szCs w:val="20"/>
                <w:color w:val="auto"/>
              </w:rPr>
            </w:pPr>
            <w:r>
              <w:rPr>
                <w:rFonts w:ascii="Arial" w:cs="Arial" w:eastAsia="Arial" w:hAnsi="Arial"/>
                <w:sz w:val="16"/>
                <w:szCs w:val="16"/>
                <w:color w:val="auto"/>
              </w:rPr>
              <w:t>Net loss (income) attributable to noncontrolling interest</w:t>
            </w:r>
          </w:p>
        </w:tc>
        <w:tc>
          <w:tcPr>
            <w:tcW w:w="4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0.2</w:t>
            </w:r>
          </w:p>
        </w:tc>
        <w:tc>
          <w:tcPr>
            <w:tcW w:w="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(0.3 )</w:t>
            </w:r>
          </w:p>
        </w:tc>
        <w:tc>
          <w:tcPr>
            <w:tcW w:w="4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1.3</w:t>
            </w: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6"/>
                <w:szCs w:val="16"/>
                <w:color w:val="auto"/>
              </w:rPr>
              <w:t>(0.3 )</w:t>
            </w:r>
          </w:p>
        </w:tc>
        <w:tc>
          <w:tcPr>
            <w:tcW w:w="0" w:type="dxa"/>
            <w:vAlign w:val="bottom"/>
          </w:tcPr>
          <w:p>
            <w:pPr>
              <w:spacing w:after="0"/>
              <w:rPr>
                <w:sz w:val="1"/>
                <w:szCs w:val="1"/>
                <w:color w:val="auto"/>
              </w:rPr>
            </w:pPr>
          </w:p>
        </w:tc>
      </w:tr>
      <w:tr>
        <w:trPr>
          <w:trHeight w:val="236"/>
        </w:trPr>
        <w:tc>
          <w:tcPr>
            <w:tcW w:w="54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Net income attributable to SS&amp;C common stockholders</w:t>
            </w:r>
          </w:p>
        </w:tc>
        <w:tc>
          <w:tcPr>
            <w:tcW w:w="460" w:type="dxa"/>
            <w:vAlign w:val="bottom"/>
            <w:tcBorders>
              <w:top w:val="single" w:sz="8" w:color="auto"/>
              <w:bottom w:val="single" w:sz="8" w:color="auto"/>
            </w:tcBorders>
            <w:shd w:val="clear" w:color="auto" w:fill="CFF0FC"/>
          </w:tcPr>
          <w:p>
            <w:pPr>
              <w:jc w:val="right"/>
              <w:ind w:right="279"/>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160.0</w:t>
            </w:r>
          </w:p>
        </w:tc>
        <w:tc>
          <w:tcPr>
            <w:tcW w:w="240" w:type="dxa"/>
            <w:vAlign w:val="bottom"/>
            <w:tcBorders>
              <w:bottom w:val="single" w:sz="8" w:color="CFF0FC"/>
            </w:tcBorders>
            <w:shd w:val="clear" w:color="auto" w:fill="CFF0FC"/>
          </w:tcPr>
          <w:p>
            <w:pPr>
              <w:spacing w:after="0"/>
              <w:rPr>
                <w:sz w:val="20"/>
                <w:szCs w:val="20"/>
                <w:color w:val="auto"/>
              </w:rPr>
            </w:pPr>
          </w:p>
        </w:tc>
        <w:tc>
          <w:tcPr>
            <w:tcW w:w="500" w:type="dxa"/>
            <w:vAlign w:val="bottom"/>
            <w:tcBorders>
              <w:top w:val="single" w:sz="8" w:color="auto"/>
              <w:bottom w:val="single" w:sz="8" w:color="auto"/>
            </w:tcBorders>
            <w:shd w:val="clear" w:color="auto" w:fill="CFF0FC"/>
          </w:tcPr>
          <w:p>
            <w:pPr>
              <w:jc w:val="right"/>
              <w:ind w:right="319"/>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184.4</w:t>
            </w:r>
          </w:p>
        </w:tc>
        <w:tc>
          <w:tcPr>
            <w:tcW w:w="240" w:type="dxa"/>
            <w:vAlign w:val="bottom"/>
            <w:tcBorders>
              <w:bottom w:val="single" w:sz="8" w:color="CFF0FC"/>
            </w:tcBorders>
            <w:shd w:val="clear" w:color="auto" w:fill="CFF0FC"/>
          </w:tcPr>
          <w:p>
            <w:pPr>
              <w:spacing w:after="0"/>
              <w:rPr>
                <w:sz w:val="20"/>
                <w:szCs w:val="20"/>
                <w:color w:val="auto"/>
              </w:rPr>
            </w:pPr>
          </w:p>
        </w:tc>
        <w:tc>
          <w:tcPr>
            <w:tcW w:w="400" w:type="dxa"/>
            <w:vAlign w:val="bottom"/>
            <w:tcBorders>
              <w:top w:val="single" w:sz="8" w:color="auto"/>
              <w:bottom w:val="single" w:sz="8" w:color="auto"/>
            </w:tcBorders>
            <w:shd w:val="clear" w:color="auto" w:fill="CFF0FC"/>
          </w:tcPr>
          <w:p>
            <w:pPr>
              <w:jc w:val="right"/>
              <w:ind w:right="244"/>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442.7</w:t>
            </w:r>
          </w:p>
        </w:tc>
        <w:tc>
          <w:tcPr>
            <w:tcW w:w="240" w:type="dxa"/>
            <w:vAlign w:val="bottom"/>
            <w:tcBorders>
              <w:bottom w:val="single" w:sz="8" w:color="CFF0FC"/>
            </w:tcBorders>
            <w:shd w:val="clear" w:color="auto" w:fill="CFF0FC"/>
          </w:tcPr>
          <w:p>
            <w:pPr>
              <w:spacing w:after="0"/>
              <w:rPr>
                <w:sz w:val="20"/>
                <w:szCs w:val="20"/>
                <w:color w:val="auto"/>
              </w:rPr>
            </w:pPr>
          </w:p>
        </w:tc>
        <w:tc>
          <w:tcPr>
            <w:tcW w:w="420" w:type="dxa"/>
            <w:vAlign w:val="bottom"/>
            <w:tcBorders>
              <w:top w:val="single" w:sz="8" w:color="auto"/>
              <w:bottom w:val="single" w:sz="8" w:color="auto"/>
            </w:tcBorders>
            <w:shd w:val="clear" w:color="auto" w:fill="CFF0FC"/>
          </w:tcPr>
          <w:p>
            <w:pPr>
              <w:jc w:val="right"/>
              <w:ind w:right="239"/>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549.1</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54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440" w:type="dxa"/>
            <w:vAlign w:val="bottom"/>
            <w:shd w:val="clear" w:color="auto" w:fill="CFF0FC"/>
          </w:tcPr>
          <w:p>
            <w:pPr>
              <w:ind w:left="20"/>
              <w:spacing w:after="0"/>
              <w:rPr>
                <w:sz w:val="20"/>
                <w:szCs w:val="20"/>
                <w:color w:val="auto"/>
              </w:rPr>
            </w:pPr>
            <w:r>
              <w:rPr>
                <w:rFonts w:ascii="Arial" w:cs="Arial" w:eastAsia="Arial" w:hAnsi="Arial"/>
                <w:sz w:val="16"/>
                <w:szCs w:val="16"/>
                <w:color w:val="auto"/>
              </w:rPr>
              <w:t>Basic earnings per share attributable to SS&amp;C common stockholders</w:t>
            </w:r>
          </w:p>
        </w:tc>
        <w:tc>
          <w:tcPr>
            <w:tcW w:w="460" w:type="dxa"/>
            <w:vAlign w:val="bottom"/>
            <w:shd w:val="clear" w:color="auto" w:fill="CFF0FC"/>
          </w:tcPr>
          <w:p>
            <w:pPr>
              <w:jc w:val="right"/>
              <w:ind w:right="27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0.63</w:t>
            </w:r>
          </w:p>
        </w:tc>
        <w:tc>
          <w:tcPr>
            <w:tcW w:w="240" w:type="dxa"/>
            <w:vAlign w:val="bottom"/>
            <w:shd w:val="clear" w:color="auto" w:fill="CFF0FC"/>
          </w:tcPr>
          <w:p>
            <w:pPr>
              <w:spacing w:after="0"/>
              <w:rPr>
                <w:sz w:val="17"/>
                <w:szCs w:val="17"/>
                <w:color w:val="auto"/>
              </w:rPr>
            </w:pPr>
          </w:p>
        </w:tc>
        <w:tc>
          <w:tcPr>
            <w:tcW w:w="500" w:type="dxa"/>
            <w:vAlign w:val="bottom"/>
            <w:shd w:val="clear" w:color="auto" w:fill="CFF0FC"/>
          </w:tcPr>
          <w:p>
            <w:pPr>
              <w:jc w:val="right"/>
              <w:ind w:right="319"/>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0.72</w:t>
            </w:r>
          </w:p>
        </w:tc>
        <w:tc>
          <w:tcPr>
            <w:tcW w:w="240" w:type="dxa"/>
            <w:vAlign w:val="bottom"/>
            <w:shd w:val="clear" w:color="auto" w:fill="CFF0FC"/>
          </w:tcPr>
          <w:p>
            <w:pPr>
              <w:spacing w:after="0"/>
              <w:rPr>
                <w:sz w:val="17"/>
                <w:szCs w:val="17"/>
                <w:color w:val="auto"/>
              </w:rPr>
            </w:pPr>
          </w:p>
        </w:tc>
        <w:tc>
          <w:tcPr>
            <w:tcW w:w="400" w:type="dxa"/>
            <w:vAlign w:val="bottom"/>
            <w:shd w:val="clear" w:color="auto" w:fill="CFF0FC"/>
          </w:tcPr>
          <w:p>
            <w:pPr>
              <w:jc w:val="right"/>
              <w:ind w:right="244"/>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1.74</w:t>
            </w:r>
          </w:p>
        </w:tc>
        <w:tc>
          <w:tcPr>
            <w:tcW w:w="240" w:type="dxa"/>
            <w:vAlign w:val="bottom"/>
            <w:shd w:val="clear" w:color="auto" w:fill="CFF0FC"/>
          </w:tcPr>
          <w:p>
            <w:pPr>
              <w:spacing w:after="0"/>
              <w:rPr>
                <w:sz w:val="17"/>
                <w:szCs w:val="17"/>
                <w:color w:val="auto"/>
              </w:rPr>
            </w:pPr>
          </w:p>
        </w:tc>
        <w:tc>
          <w:tcPr>
            <w:tcW w:w="420" w:type="dxa"/>
            <w:vAlign w:val="bottom"/>
            <w:shd w:val="clear" w:color="auto" w:fill="CFF0FC"/>
          </w:tcPr>
          <w:p>
            <w:pPr>
              <w:jc w:val="right"/>
              <w:ind w:right="23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2.15</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440" w:type="dxa"/>
            <w:vAlign w:val="bottom"/>
          </w:tcPr>
          <w:p>
            <w:pPr>
              <w:ind w:left="20"/>
              <w:spacing w:after="0"/>
              <w:rPr>
                <w:sz w:val="20"/>
                <w:szCs w:val="20"/>
                <w:color w:val="auto"/>
              </w:rPr>
            </w:pPr>
            <w:r>
              <w:rPr>
                <w:rFonts w:ascii="Arial" w:cs="Arial" w:eastAsia="Arial" w:hAnsi="Arial"/>
                <w:sz w:val="16"/>
                <w:szCs w:val="16"/>
                <w:color w:val="auto"/>
              </w:rPr>
              <w:t>Diluted earnings per share attributable to SS&amp;C common stockholders</w:t>
            </w: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0.61</w:t>
            </w:r>
          </w:p>
        </w:tc>
        <w:tc>
          <w:tcPr>
            <w:tcW w:w="240" w:type="dxa"/>
            <w:vAlign w:val="bottom"/>
          </w:tcPr>
          <w:p>
            <w:pPr>
              <w:spacing w:after="0"/>
              <w:rPr>
                <w:sz w:val="17"/>
                <w:szCs w:val="17"/>
                <w:color w:val="auto"/>
              </w:rPr>
            </w:pPr>
          </w:p>
        </w:tc>
        <w:tc>
          <w:tcPr>
            <w:tcW w:w="500" w:type="dxa"/>
            <w:vAlign w:val="bottom"/>
          </w:tcPr>
          <w:p>
            <w:pPr>
              <w:jc w:val="right"/>
              <w:ind w:right="319"/>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0.69</w:t>
            </w:r>
          </w:p>
        </w:tc>
        <w:tc>
          <w:tcPr>
            <w:tcW w:w="240" w:type="dxa"/>
            <w:vAlign w:val="bottom"/>
          </w:tcPr>
          <w:p>
            <w:pPr>
              <w:spacing w:after="0"/>
              <w:rPr>
                <w:sz w:val="17"/>
                <w:szCs w:val="17"/>
                <w:color w:val="auto"/>
              </w:rPr>
            </w:pPr>
          </w:p>
        </w:tc>
        <w:tc>
          <w:tcPr>
            <w:tcW w:w="400" w:type="dxa"/>
            <w:vAlign w:val="bottom"/>
          </w:tcPr>
          <w:p>
            <w:pPr>
              <w:jc w:val="right"/>
              <w:ind w:right="244"/>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1.68</w:t>
            </w:r>
          </w:p>
        </w:tc>
        <w:tc>
          <w:tcPr>
            <w:tcW w:w="240" w:type="dxa"/>
            <w:vAlign w:val="bottom"/>
          </w:tcPr>
          <w:p>
            <w:pPr>
              <w:spacing w:after="0"/>
              <w:rPr>
                <w:sz w:val="17"/>
                <w:szCs w:val="17"/>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2.05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4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40" w:type="dxa"/>
            <w:vAlign w:val="bottom"/>
          </w:tcPr>
          <w:p>
            <w:pPr>
              <w:ind w:left="20"/>
              <w:spacing w:after="0"/>
              <w:rPr>
                <w:sz w:val="20"/>
                <w:szCs w:val="20"/>
                <w:color w:val="auto"/>
              </w:rPr>
            </w:pPr>
            <w:r>
              <w:rPr>
                <w:rFonts w:ascii="Arial" w:cs="Arial" w:eastAsia="Arial" w:hAnsi="Arial"/>
                <w:sz w:val="16"/>
                <w:szCs w:val="16"/>
                <w:color w:val="auto"/>
              </w:rPr>
              <w:t>Basic weighted-average number of common shares outstanding</w:t>
            </w:r>
          </w:p>
        </w:tc>
        <w:tc>
          <w:tcPr>
            <w:tcW w:w="4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253.9</w:t>
            </w:r>
          </w:p>
        </w:tc>
        <w:tc>
          <w:tcPr>
            <w:tcW w:w="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254.7</w:t>
            </w: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254.8</w:t>
            </w: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255.8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5440" w:type="dxa"/>
            <w:vAlign w:val="bottom"/>
            <w:shd w:val="clear" w:color="auto" w:fill="CFF0FC"/>
          </w:tcPr>
          <w:p>
            <w:pPr>
              <w:ind w:left="20"/>
              <w:spacing w:after="0" w:line="152" w:lineRule="exact"/>
              <w:rPr>
                <w:sz w:val="20"/>
                <w:szCs w:val="20"/>
                <w:color w:val="auto"/>
              </w:rPr>
            </w:pPr>
            <w:r>
              <w:rPr>
                <w:rFonts w:ascii="Arial" w:cs="Arial" w:eastAsia="Arial" w:hAnsi="Arial"/>
                <w:sz w:val="16"/>
                <w:szCs w:val="16"/>
                <w:color w:val="auto"/>
                <w:w w:val="98"/>
              </w:rPr>
              <w:t>Diluted weighted-average number of common and common equivalent shares</w:t>
            </w:r>
          </w:p>
        </w:tc>
        <w:tc>
          <w:tcPr>
            <w:tcW w:w="460" w:type="dxa"/>
            <w:vAlign w:val="bottom"/>
            <w:shd w:val="clear" w:color="auto" w:fill="CFF0FC"/>
          </w:tcPr>
          <w:p>
            <w:pPr>
              <w:spacing w:after="0"/>
              <w:rPr>
                <w:sz w:val="13"/>
                <w:szCs w:val="13"/>
                <w:color w:val="auto"/>
              </w:rPr>
            </w:pPr>
          </w:p>
        </w:tc>
        <w:tc>
          <w:tcPr>
            <w:tcW w:w="80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260.9</w:t>
            </w:r>
          </w:p>
        </w:tc>
        <w:tc>
          <w:tcPr>
            <w:tcW w:w="24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76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266.5</w:t>
            </w:r>
          </w:p>
        </w:tc>
        <w:tc>
          <w:tcPr>
            <w:tcW w:w="24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80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263.7</w:t>
            </w:r>
          </w:p>
        </w:tc>
        <w:tc>
          <w:tcPr>
            <w:tcW w:w="24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84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267.3</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5440" w:type="dxa"/>
            <w:vAlign w:val="bottom"/>
            <w:shd w:val="clear" w:color="auto" w:fill="CFF0FC"/>
          </w:tcPr>
          <w:p>
            <w:pPr>
              <w:ind w:left="20"/>
              <w:spacing w:after="0"/>
              <w:rPr>
                <w:sz w:val="20"/>
                <w:szCs w:val="20"/>
                <w:color w:val="auto"/>
              </w:rPr>
            </w:pPr>
            <w:r>
              <w:rPr>
                <w:rFonts w:ascii="Arial" w:cs="Arial" w:eastAsia="Arial" w:hAnsi="Arial"/>
                <w:sz w:val="16"/>
                <w:szCs w:val="16"/>
                <w:color w:val="auto"/>
              </w:rPr>
              <w:t>outstanding</w:t>
            </w:r>
          </w:p>
        </w:tc>
        <w:tc>
          <w:tcPr>
            <w:tcW w:w="460" w:type="dxa"/>
            <w:vAlign w:val="bottom"/>
            <w:shd w:val="clear" w:color="auto" w:fill="CFF0FC"/>
          </w:tcPr>
          <w:p>
            <w:pPr>
              <w:spacing w:after="0"/>
              <w:rPr>
                <w:sz w:val="18"/>
                <w:szCs w:val="18"/>
                <w:color w:val="auto"/>
              </w:rPr>
            </w:pPr>
          </w:p>
        </w:tc>
        <w:tc>
          <w:tcPr>
            <w:tcW w:w="800" w:type="dxa"/>
            <w:vAlign w:val="bottom"/>
            <w:vMerge w:val="continue"/>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760" w:type="dxa"/>
            <w:vAlign w:val="bottom"/>
            <w:vMerge w:val="continue"/>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800" w:type="dxa"/>
            <w:vAlign w:val="bottom"/>
            <w:vMerge w:val="continue"/>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840" w:type="dxa"/>
            <w:vAlign w:val="bottom"/>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4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40" w:type="dxa"/>
            <w:vAlign w:val="bottom"/>
            <w:shd w:val="clear" w:color="auto" w:fill="CFF0FC"/>
          </w:tcPr>
          <w:p>
            <w:pPr>
              <w:ind w:left="20"/>
              <w:spacing w:after="0"/>
              <w:rPr>
                <w:sz w:val="20"/>
                <w:szCs w:val="20"/>
                <w:color w:val="auto"/>
              </w:rPr>
            </w:pPr>
            <w:r>
              <w:rPr>
                <w:rFonts w:ascii="Arial" w:cs="Arial" w:eastAsia="Arial" w:hAnsi="Arial"/>
                <w:sz w:val="16"/>
                <w:szCs w:val="16"/>
                <w:color w:val="auto"/>
              </w:rPr>
              <w:t>Net income</w:t>
            </w:r>
          </w:p>
        </w:tc>
        <w:tc>
          <w:tcPr>
            <w:tcW w:w="460" w:type="dxa"/>
            <w:vAlign w:val="bottom"/>
            <w:shd w:val="clear" w:color="auto" w:fill="CFF0FC"/>
          </w:tcPr>
          <w:p>
            <w:pPr>
              <w:jc w:val="right"/>
              <w:ind w:right="27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159.8</w:t>
            </w:r>
          </w:p>
        </w:tc>
        <w:tc>
          <w:tcPr>
            <w:tcW w:w="240" w:type="dxa"/>
            <w:vAlign w:val="bottom"/>
            <w:shd w:val="clear" w:color="auto" w:fill="CFF0FC"/>
          </w:tcPr>
          <w:p>
            <w:pPr>
              <w:spacing w:after="0"/>
              <w:rPr>
                <w:sz w:val="17"/>
                <w:szCs w:val="17"/>
                <w:color w:val="auto"/>
              </w:rPr>
            </w:pPr>
          </w:p>
        </w:tc>
        <w:tc>
          <w:tcPr>
            <w:tcW w:w="500" w:type="dxa"/>
            <w:vAlign w:val="bottom"/>
            <w:shd w:val="clear" w:color="auto" w:fill="CFF0FC"/>
          </w:tcPr>
          <w:p>
            <w:pPr>
              <w:jc w:val="right"/>
              <w:ind w:right="319"/>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184.7</w:t>
            </w:r>
          </w:p>
        </w:tc>
        <w:tc>
          <w:tcPr>
            <w:tcW w:w="240" w:type="dxa"/>
            <w:vAlign w:val="bottom"/>
            <w:shd w:val="clear" w:color="auto" w:fill="CFF0FC"/>
          </w:tcPr>
          <w:p>
            <w:pPr>
              <w:spacing w:after="0"/>
              <w:rPr>
                <w:sz w:val="17"/>
                <w:szCs w:val="17"/>
                <w:color w:val="auto"/>
              </w:rPr>
            </w:pPr>
          </w:p>
        </w:tc>
        <w:tc>
          <w:tcPr>
            <w:tcW w:w="400" w:type="dxa"/>
            <w:vAlign w:val="bottom"/>
            <w:shd w:val="clear" w:color="auto" w:fill="CFF0FC"/>
          </w:tcPr>
          <w:p>
            <w:pPr>
              <w:jc w:val="right"/>
              <w:ind w:right="244"/>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441.4</w:t>
            </w:r>
          </w:p>
        </w:tc>
        <w:tc>
          <w:tcPr>
            <w:tcW w:w="240" w:type="dxa"/>
            <w:vAlign w:val="bottom"/>
            <w:shd w:val="clear" w:color="auto" w:fill="CFF0FC"/>
          </w:tcPr>
          <w:p>
            <w:pPr>
              <w:spacing w:after="0"/>
              <w:rPr>
                <w:sz w:val="17"/>
                <w:szCs w:val="17"/>
                <w:color w:val="auto"/>
              </w:rPr>
            </w:pPr>
          </w:p>
        </w:tc>
        <w:tc>
          <w:tcPr>
            <w:tcW w:w="420" w:type="dxa"/>
            <w:vAlign w:val="bottom"/>
            <w:shd w:val="clear" w:color="auto" w:fill="CFF0FC"/>
          </w:tcPr>
          <w:p>
            <w:pPr>
              <w:jc w:val="right"/>
              <w:ind w:right="23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549.4</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440" w:type="dxa"/>
            <w:vAlign w:val="bottom"/>
          </w:tcPr>
          <w:p>
            <w:pPr>
              <w:ind w:left="20"/>
              <w:spacing w:after="0"/>
              <w:rPr>
                <w:sz w:val="20"/>
                <w:szCs w:val="20"/>
                <w:color w:val="auto"/>
              </w:rPr>
            </w:pPr>
            <w:r>
              <w:rPr>
                <w:rFonts w:ascii="Arial" w:cs="Arial" w:eastAsia="Arial" w:hAnsi="Arial"/>
                <w:sz w:val="16"/>
                <w:szCs w:val="16"/>
                <w:b w:val="1"/>
                <w:bCs w:val="1"/>
                <w:color w:val="auto"/>
              </w:rPr>
              <w:t>Other comprehensive loss, net of tax:</w:t>
            </w: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440" w:type="dxa"/>
            <w:vAlign w:val="bottom"/>
            <w:shd w:val="clear" w:color="auto" w:fill="CFF0FC"/>
          </w:tcPr>
          <w:p>
            <w:pPr>
              <w:ind w:left="380"/>
              <w:spacing w:after="0"/>
              <w:rPr>
                <w:sz w:val="20"/>
                <w:szCs w:val="20"/>
                <w:color w:val="auto"/>
              </w:rPr>
            </w:pPr>
            <w:r>
              <w:rPr>
                <w:rFonts w:ascii="Arial" w:cs="Arial" w:eastAsia="Arial" w:hAnsi="Arial"/>
                <w:sz w:val="16"/>
                <w:szCs w:val="16"/>
                <w:color w:val="auto"/>
              </w:rPr>
              <w:t>Change in unrealized gain on interest rate swaps</w:t>
            </w:r>
          </w:p>
        </w:tc>
        <w:tc>
          <w:tcPr>
            <w:tcW w:w="4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w:t>
            </w:r>
          </w:p>
        </w:tc>
        <w:tc>
          <w:tcPr>
            <w:tcW w:w="24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4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w:t>
            </w:r>
          </w:p>
        </w:tc>
        <w:tc>
          <w:tcPr>
            <w:tcW w:w="2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440" w:type="dxa"/>
            <w:vAlign w:val="bottom"/>
          </w:tcPr>
          <w:p>
            <w:pPr>
              <w:ind w:left="380"/>
              <w:spacing w:after="0"/>
              <w:rPr>
                <w:sz w:val="20"/>
                <w:szCs w:val="20"/>
                <w:color w:val="auto"/>
              </w:rPr>
            </w:pPr>
            <w:r>
              <w:rPr>
                <w:rFonts w:ascii="Arial" w:cs="Arial" w:eastAsia="Arial" w:hAnsi="Arial"/>
                <w:sz w:val="16"/>
                <w:szCs w:val="16"/>
                <w:color w:val="auto"/>
              </w:rPr>
              <w:t>Foreign currency exchange translation adjustment</w:t>
            </w:r>
          </w:p>
        </w:tc>
        <w:tc>
          <w:tcPr>
            <w:tcW w:w="460" w:type="dxa"/>
            <w:vAlign w:val="bottom"/>
          </w:tcPr>
          <w:p>
            <w:pPr>
              <w:spacing w:after="0"/>
              <w:rPr>
                <w:sz w:val="18"/>
                <w:szCs w:val="18"/>
                <w:color w:val="auto"/>
              </w:rPr>
            </w:pPr>
          </w:p>
        </w:tc>
        <w:tc>
          <w:tcPr>
            <w:tcW w:w="1040" w:type="dxa"/>
            <w:vAlign w:val="bottom"/>
            <w:gridSpan w:val="2"/>
          </w:tcPr>
          <w:p>
            <w:pPr>
              <w:jc w:val="right"/>
              <w:ind w:right="99"/>
              <w:spacing w:after="0"/>
              <w:rPr>
                <w:sz w:val="20"/>
                <w:szCs w:val="20"/>
                <w:color w:val="auto"/>
              </w:rPr>
            </w:pPr>
            <w:r>
              <w:rPr>
                <w:rFonts w:ascii="Arial" w:cs="Arial" w:eastAsia="Arial" w:hAnsi="Arial"/>
                <w:sz w:val="16"/>
                <w:szCs w:val="16"/>
                <w:color w:val="auto"/>
              </w:rPr>
              <w:t>(248.6 )</w:t>
            </w:r>
          </w:p>
        </w:tc>
        <w:tc>
          <w:tcPr>
            <w:tcW w:w="5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(55.7 )</w:t>
            </w:r>
          </w:p>
        </w:tc>
        <w:tc>
          <w:tcPr>
            <w:tcW w:w="400" w:type="dxa"/>
            <w:vAlign w:val="bottom"/>
          </w:tcPr>
          <w:p>
            <w:pPr>
              <w:spacing w:after="0"/>
              <w:rPr>
                <w:sz w:val="18"/>
                <w:szCs w:val="18"/>
                <w:color w:val="auto"/>
              </w:rPr>
            </w:pPr>
          </w:p>
        </w:tc>
        <w:tc>
          <w:tcPr>
            <w:tcW w:w="1040" w:type="dxa"/>
            <w:vAlign w:val="bottom"/>
            <w:gridSpan w:val="2"/>
          </w:tcPr>
          <w:p>
            <w:pPr>
              <w:jc w:val="right"/>
              <w:ind w:right="79"/>
              <w:spacing w:after="0"/>
              <w:rPr>
                <w:sz w:val="20"/>
                <w:szCs w:val="20"/>
                <w:color w:val="auto"/>
              </w:rPr>
            </w:pPr>
            <w:r>
              <w:rPr>
                <w:rFonts w:ascii="Arial" w:cs="Arial" w:eastAsia="Arial" w:hAnsi="Arial"/>
                <w:sz w:val="16"/>
                <w:szCs w:val="16"/>
                <w:color w:val="auto"/>
              </w:rPr>
              <w:t>(512.0 )</w:t>
            </w:r>
          </w:p>
        </w:tc>
        <w:tc>
          <w:tcPr>
            <w:tcW w:w="42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6"/>
                <w:szCs w:val="16"/>
                <w:color w:val="auto"/>
              </w:rPr>
              <w:t>(45.4 )</w:t>
            </w:r>
          </w:p>
        </w:tc>
        <w:tc>
          <w:tcPr>
            <w:tcW w:w="0" w:type="dxa"/>
            <w:vAlign w:val="bottom"/>
          </w:tcPr>
          <w:p>
            <w:pPr>
              <w:spacing w:after="0"/>
              <w:rPr>
                <w:sz w:val="1"/>
                <w:szCs w:val="1"/>
                <w:color w:val="auto"/>
              </w:rPr>
            </w:pPr>
          </w:p>
        </w:tc>
      </w:tr>
      <w:tr>
        <w:trPr>
          <w:trHeight w:val="205"/>
        </w:trPr>
        <w:tc>
          <w:tcPr>
            <w:tcW w:w="5440" w:type="dxa"/>
            <w:vAlign w:val="bottom"/>
            <w:shd w:val="clear" w:color="auto" w:fill="CFF0FC"/>
          </w:tcPr>
          <w:p>
            <w:pPr>
              <w:ind w:left="380"/>
              <w:spacing w:after="0"/>
              <w:rPr>
                <w:sz w:val="20"/>
                <w:szCs w:val="20"/>
                <w:color w:val="auto"/>
              </w:rPr>
            </w:pPr>
            <w:r>
              <w:rPr>
                <w:rFonts w:ascii="Arial" w:cs="Arial" w:eastAsia="Arial" w:hAnsi="Arial"/>
                <w:sz w:val="16"/>
                <w:szCs w:val="16"/>
                <w:color w:val="auto"/>
              </w:rPr>
              <w:t>Change in defined benefit pension obligation</w:t>
            </w:r>
          </w:p>
        </w:tc>
        <w:tc>
          <w:tcPr>
            <w:tcW w:w="46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0.1</w:t>
            </w:r>
          </w:p>
        </w:tc>
        <w:tc>
          <w:tcPr>
            <w:tcW w:w="24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79"/>
              <w:spacing w:after="0"/>
              <w:rPr>
                <w:sz w:val="20"/>
                <w:szCs w:val="20"/>
                <w:color w:val="auto"/>
              </w:rPr>
            </w:pPr>
            <w:r>
              <w:rPr>
                <w:rFonts w:ascii="Arial" w:cs="Arial" w:eastAsia="Arial" w:hAnsi="Arial"/>
                <w:sz w:val="16"/>
                <w:szCs w:val="16"/>
                <w:color w:val="auto"/>
              </w:rPr>
              <w:t>(1.1 )</w:t>
            </w:r>
          </w:p>
        </w:tc>
        <w:tc>
          <w:tcPr>
            <w:tcW w:w="42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0.2</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40" w:type="dxa"/>
            <w:vAlign w:val="bottom"/>
            <w:shd w:val="clear" w:color="auto" w:fill="CFF0F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40" w:type="dxa"/>
            <w:vAlign w:val="bottom"/>
          </w:tcPr>
          <w:p>
            <w:pPr>
              <w:ind w:left="20"/>
              <w:spacing w:after="0"/>
              <w:rPr>
                <w:sz w:val="20"/>
                <w:szCs w:val="20"/>
                <w:color w:val="auto"/>
              </w:rPr>
            </w:pPr>
            <w:r>
              <w:rPr>
                <w:rFonts w:ascii="Arial" w:cs="Arial" w:eastAsia="Arial" w:hAnsi="Arial"/>
                <w:sz w:val="16"/>
                <w:szCs w:val="16"/>
                <w:color w:val="auto"/>
              </w:rPr>
              <w:t>Total other comprehensive loss, net of tax</w:t>
            </w:r>
          </w:p>
        </w:tc>
        <w:tc>
          <w:tcPr>
            <w:tcW w:w="460" w:type="dxa"/>
            <w:vAlign w:val="bottom"/>
          </w:tcPr>
          <w:p>
            <w:pPr>
              <w:spacing w:after="0"/>
              <w:rPr>
                <w:sz w:val="17"/>
                <w:szCs w:val="17"/>
                <w:color w:val="auto"/>
              </w:rPr>
            </w:pPr>
          </w:p>
        </w:tc>
        <w:tc>
          <w:tcPr>
            <w:tcW w:w="1040" w:type="dxa"/>
            <w:vAlign w:val="bottom"/>
            <w:gridSpan w:val="2"/>
          </w:tcPr>
          <w:p>
            <w:pPr>
              <w:jc w:val="right"/>
              <w:ind w:right="99"/>
              <w:spacing w:after="0"/>
              <w:rPr>
                <w:sz w:val="20"/>
                <w:szCs w:val="20"/>
                <w:color w:val="auto"/>
              </w:rPr>
            </w:pPr>
            <w:r>
              <w:rPr>
                <w:rFonts w:ascii="Arial" w:cs="Arial" w:eastAsia="Arial" w:hAnsi="Arial"/>
                <w:sz w:val="16"/>
                <w:szCs w:val="16"/>
                <w:color w:val="auto"/>
              </w:rPr>
              <w:t>(245.3 )</w:t>
            </w:r>
          </w:p>
        </w:tc>
        <w:tc>
          <w:tcPr>
            <w:tcW w:w="500" w:type="dxa"/>
            <w:vAlign w:val="bottom"/>
          </w:tcPr>
          <w:p>
            <w:pPr>
              <w:spacing w:after="0"/>
              <w:rPr>
                <w:sz w:val="17"/>
                <w:szCs w:val="17"/>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(55.6 )</w:t>
            </w:r>
          </w:p>
        </w:tc>
        <w:tc>
          <w:tcPr>
            <w:tcW w:w="400" w:type="dxa"/>
            <w:vAlign w:val="bottom"/>
          </w:tcPr>
          <w:p>
            <w:pPr>
              <w:spacing w:after="0"/>
              <w:rPr>
                <w:sz w:val="17"/>
                <w:szCs w:val="17"/>
                <w:color w:val="auto"/>
              </w:rPr>
            </w:pPr>
          </w:p>
        </w:tc>
        <w:tc>
          <w:tcPr>
            <w:tcW w:w="1040" w:type="dxa"/>
            <w:vAlign w:val="bottom"/>
            <w:gridSpan w:val="2"/>
          </w:tcPr>
          <w:p>
            <w:pPr>
              <w:jc w:val="right"/>
              <w:ind w:right="79"/>
              <w:spacing w:after="0"/>
              <w:rPr>
                <w:sz w:val="20"/>
                <w:szCs w:val="20"/>
                <w:color w:val="auto"/>
              </w:rPr>
            </w:pPr>
            <w:r>
              <w:rPr>
                <w:rFonts w:ascii="Arial" w:cs="Arial" w:eastAsia="Arial" w:hAnsi="Arial"/>
                <w:sz w:val="16"/>
                <w:szCs w:val="16"/>
                <w:color w:val="auto"/>
              </w:rPr>
              <w:t>(508.3 )</w:t>
            </w:r>
          </w:p>
        </w:tc>
        <w:tc>
          <w:tcPr>
            <w:tcW w:w="420" w:type="dxa"/>
            <w:vAlign w:val="bottom"/>
          </w:tcPr>
          <w:p>
            <w:pPr>
              <w:spacing w:after="0"/>
              <w:rPr>
                <w:sz w:val="17"/>
                <w:szCs w:val="17"/>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6"/>
                <w:szCs w:val="16"/>
                <w:color w:val="auto"/>
              </w:rPr>
              <w:t>(44.9 )</w:t>
            </w: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40" w:type="dxa"/>
            <w:vAlign w:val="bottom"/>
            <w:shd w:val="clear" w:color="auto" w:fill="CFF0FC"/>
          </w:tcPr>
          <w:p>
            <w:pPr>
              <w:ind w:left="20"/>
              <w:spacing w:after="0"/>
              <w:rPr>
                <w:sz w:val="20"/>
                <w:szCs w:val="20"/>
                <w:color w:val="auto"/>
              </w:rPr>
            </w:pPr>
            <w:r>
              <w:rPr>
                <w:rFonts w:ascii="Arial" w:cs="Arial" w:eastAsia="Arial" w:hAnsi="Arial"/>
                <w:sz w:val="16"/>
                <w:szCs w:val="16"/>
                <w:color w:val="auto"/>
              </w:rPr>
              <w:t>Comprehensive (loss) income</w:t>
            </w:r>
          </w:p>
        </w:tc>
        <w:tc>
          <w:tcPr>
            <w:tcW w:w="46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99"/>
              <w:spacing w:after="0"/>
              <w:rPr>
                <w:sz w:val="20"/>
                <w:szCs w:val="20"/>
                <w:color w:val="auto"/>
              </w:rPr>
            </w:pPr>
            <w:r>
              <w:rPr>
                <w:rFonts w:ascii="Arial" w:cs="Arial" w:eastAsia="Arial" w:hAnsi="Arial"/>
                <w:sz w:val="16"/>
                <w:szCs w:val="16"/>
                <w:color w:val="auto"/>
              </w:rPr>
              <w:t>(85.5 )</w:t>
            </w:r>
          </w:p>
        </w:tc>
        <w:tc>
          <w:tcPr>
            <w:tcW w:w="50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129.1</w:t>
            </w:r>
          </w:p>
        </w:tc>
        <w:tc>
          <w:tcPr>
            <w:tcW w:w="2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79"/>
              <w:spacing w:after="0"/>
              <w:rPr>
                <w:sz w:val="20"/>
                <w:szCs w:val="20"/>
                <w:color w:val="auto"/>
              </w:rPr>
            </w:pPr>
            <w:r>
              <w:rPr>
                <w:rFonts w:ascii="Arial" w:cs="Arial" w:eastAsia="Arial" w:hAnsi="Arial"/>
                <w:sz w:val="16"/>
                <w:szCs w:val="16"/>
                <w:color w:val="auto"/>
              </w:rPr>
              <w:t>(66.9 )</w:t>
            </w:r>
          </w:p>
        </w:tc>
        <w:tc>
          <w:tcPr>
            <w:tcW w:w="4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504.5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440" w:type="dxa"/>
            <w:vAlign w:val="bottom"/>
          </w:tcPr>
          <w:p>
            <w:pPr>
              <w:ind w:left="200"/>
              <w:spacing w:after="0"/>
              <w:rPr>
                <w:sz w:val="20"/>
                <w:szCs w:val="20"/>
                <w:color w:val="auto"/>
              </w:rPr>
            </w:pPr>
            <w:r>
              <w:rPr>
                <w:rFonts w:ascii="Arial" w:cs="Arial" w:eastAsia="Arial" w:hAnsi="Arial"/>
                <w:sz w:val="16"/>
                <w:szCs w:val="16"/>
                <w:color w:val="auto"/>
              </w:rPr>
              <w:t>Comprehensive loss (income) attributable to noncontrolling interest</w:t>
            </w:r>
          </w:p>
        </w:tc>
        <w:tc>
          <w:tcPr>
            <w:tcW w:w="4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0.2</w:t>
            </w:r>
          </w:p>
        </w:tc>
        <w:tc>
          <w:tcPr>
            <w:tcW w:w="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(0.3 )</w:t>
            </w:r>
          </w:p>
        </w:tc>
        <w:tc>
          <w:tcPr>
            <w:tcW w:w="4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1.3</w:t>
            </w: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6"/>
                <w:szCs w:val="16"/>
                <w:color w:val="auto"/>
              </w:rPr>
              <w:t>(0.3 )</w:t>
            </w:r>
          </w:p>
        </w:tc>
        <w:tc>
          <w:tcPr>
            <w:tcW w:w="0" w:type="dxa"/>
            <w:vAlign w:val="bottom"/>
          </w:tcPr>
          <w:p>
            <w:pPr>
              <w:spacing w:after="0"/>
              <w:rPr>
                <w:sz w:val="1"/>
                <w:szCs w:val="1"/>
                <w:color w:val="auto"/>
              </w:rPr>
            </w:pPr>
          </w:p>
        </w:tc>
      </w:tr>
      <w:tr>
        <w:trPr>
          <w:trHeight w:val="236"/>
        </w:trPr>
        <w:tc>
          <w:tcPr>
            <w:tcW w:w="54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Comprehensive (loss) income attributable to SS&amp;C common stockholders</w:t>
            </w:r>
          </w:p>
        </w:tc>
        <w:tc>
          <w:tcPr>
            <w:tcW w:w="460" w:type="dxa"/>
            <w:vAlign w:val="bottom"/>
            <w:tcBorders>
              <w:top w:val="single" w:sz="8" w:color="auto"/>
              <w:bottom w:val="single" w:sz="8" w:color="auto"/>
            </w:tcBorders>
            <w:shd w:val="clear" w:color="auto" w:fill="CFF0FC"/>
          </w:tcPr>
          <w:p>
            <w:pPr>
              <w:jc w:val="right"/>
              <w:ind w:right="279"/>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(85.3</w:t>
            </w:r>
          </w:p>
        </w:tc>
        <w:tc>
          <w:tcPr>
            <w:tcW w:w="240" w:type="dxa"/>
            <w:vAlign w:val="bottom"/>
            <w:tcBorders>
              <w:bottom w:val="single" w:sz="8" w:color="CFF0FC"/>
            </w:tcBorders>
            <w:shd w:val="clear" w:color="auto" w:fill="CFF0FC"/>
          </w:tcPr>
          <w:p>
            <w:pPr>
              <w:jc w:val="right"/>
              <w:ind w:right="99"/>
              <w:spacing w:after="0"/>
              <w:rPr>
                <w:sz w:val="20"/>
                <w:szCs w:val="20"/>
                <w:color w:val="auto"/>
              </w:rPr>
            </w:pPr>
            <w:r>
              <w:rPr>
                <w:rFonts w:ascii="Arial" w:cs="Arial" w:eastAsia="Arial" w:hAnsi="Arial"/>
                <w:sz w:val="16"/>
                <w:szCs w:val="16"/>
                <w:color w:val="auto"/>
                <w:w w:val="74"/>
              </w:rPr>
              <w:t>)</w:t>
            </w:r>
          </w:p>
        </w:tc>
        <w:tc>
          <w:tcPr>
            <w:tcW w:w="500" w:type="dxa"/>
            <w:vAlign w:val="bottom"/>
            <w:tcBorders>
              <w:top w:val="single" w:sz="8" w:color="auto"/>
              <w:bottom w:val="single" w:sz="8" w:color="auto"/>
            </w:tcBorders>
            <w:shd w:val="clear" w:color="auto" w:fill="CFF0FC"/>
          </w:tcPr>
          <w:p>
            <w:pPr>
              <w:jc w:val="right"/>
              <w:ind w:right="319"/>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128.8</w:t>
            </w:r>
          </w:p>
        </w:tc>
        <w:tc>
          <w:tcPr>
            <w:tcW w:w="240" w:type="dxa"/>
            <w:vAlign w:val="bottom"/>
            <w:tcBorders>
              <w:bottom w:val="single" w:sz="8" w:color="CFF0FC"/>
            </w:tcBorders>
            <w:shd w:val="clear" w:color="auto" w:fill="CFF0FC"/>
          </w:tcPr>
          <w:p>
            <w:pPr>
              <w:spacing w:after="0"/>
              <w:rPr>
                <w:sz w:val="20"/>
                <w:szCs w:val="20"/>
                <w:color w:val="auto"/>
              </w:rPr>
            </w:pPr>
          </w:p>
        </w:tc>
        <w:tc>
          <w:tcPr>
            <w:tcW w:w="400" w:type="dxa"/>
            <w:vAlign w:val="bottom"/>
            <w:tcBorders>
              <w:top w:val="single" w:sz="8" w:color="auto"/>
              <w:bottom w:val="single" w:sz="8" w:color="auto"/>
            </w:tcBorders>
            <w:shd w:val="clear" w:color="auto" w:fill="CFF0FC"/>
          </w:tcPr>
          <w:p>
            <w:pPr>
              <w:jc w:val="right"/>
              <w:ind w:right="244"/>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(65.6</w:t>
            </w:r>
          </w:p>
        </w:tc>
        <w:tc>
          <w:tcPr>
            <w:tcW w:w="240" w:type="dxa"/>
            <w:vAlign w:val="bottom"/>
            <w:tcBorders>
              <w:bottom w:val="single" w:sz="8" w:color="CFF0FC"/>
            </w:tcBorders>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420" w:type="dxa"/>
            <w:vAlign w:val="bottom"/>
            <w:tcBorders>
              <w:top w:val="single" w:sz="8" w:color="auto"/>
              <w:bottom w:val="single" w:sz="8" w:color="auto"/>
            </w:tcBorders>
            <w:shd w:val="clear" w:color="auto" w:fill="CFF0FC"/>
          </w:tcPr>
          <w:p>
            <w:pPr>
              <w:jc w:val="right"/>
              <w:ind w:right="239"/>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504.2</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4248150</wp:posOffset>
            </wp:positionH>
            <wp:positionV relativeFrom="paragraph">
              <wp:posOffset>-4388485</wp:posOffset>
            </wp:positionV>
            <wp:extent cx="76835" cy="1454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-4388485</wp:posOffset>
            </wp:positionV>
            <wp:extent cx="68580" cy="1454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-4388485</wp:posOffset>
            </wp:positionV>
            <wp:extent cx="68580" cy="1454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-4388485</wp:posOffset>
            </wp:positionV>
            <wp:extent cx="68580" cy="1454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-3590925</wp:posOffset>
            </wp:positionV>
            <wp:extent cx="76835" cy="1371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6835" cy="13716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-3590925</wp:posOffset>
            </wp:positionV>
            <wp:extent cx="68580" cy="1371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-3590925</wp:posOffset>
            </wp:positionV>
            <wp:extent cx="68580" cy="1371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-3590925</wp:posOffset>
            </wp:positionV>
            <wp:extent cx="68580" cy="1371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-2271395</wp:posOffset>
            </wp:positionV>
            <wp:extent cx="2888615" cy="1543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888615" cy="15430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-574040</wp:posOffset>
            </wp:positionV>
            <wp:extent cx="76835" cy="1460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6835" cy="14605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-574040</wp:posOffset>
            </wp:positionV>
            <wp:extent cx="68580" cy="1460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-574040</wp:posOffset>
            </wp:positionV>
            <wp:extent cx="68580" cy="1460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-574040</wp:posOffset>
            </wp:positionV>
            <wp:extent cx="68580" cy="1460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-24765</wp:posOffset>
            </wp:positionV>
            <wp:extent cx="7683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-8255</wp:posOffset>
            </wp:positionV>
            <wp:extent cx="7683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-24765</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-8255</wp:posOffset>
            </wp:positionV>
            <wp:extent cx="6858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-24765</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-8255</wp:posOffset>
            </wp:positionV>
            <wp:extent cx="6858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type w:val="continuous"/>
        </w:sectPr>
      </w:pPr>
    </w:p>
    <w:bookmarkStart w:id="4" w:name="page5"/>
    <w:bookmarkEnd w:id="4"/>
    <w:p>
      <w:pPr>
        <w:spacing w:after="0"/>
        <w:rPr>
          <w:sz w:val="20"/>
          <w:szCs w:val="20"/>
          <w:color w:val="auto"/>
        </w:rPr>
      </w:pPr>
      <w:r>
        <w:rPr>
          <w:rFonts w:ascii="Arial" w:cs="Arial" w:eastAsia="Arial" w:hAnsi="Arial"/>
          <w:sz w:val="18"/>
          <w:szCs w:val="18"/>
          <w:b w:val="1"/>
          <w:bCs w:val="1"/>
          <w:color w:val="auto"/>
        </w:rPr>
        <w:t>SS&amp;C TECHNOLOGIES HOLDINGS, INC. AND SUBSIDIARIES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rPr>
          <w:sz w:val="20"/>
          <w:szCs w:val="20"/>
          <w:color w:val="auto"/>
        </w:rPr>
      </w:pPr>
      <w:r>
        <w:rPr>
          <w:rFonts w:ascii="Arial" w:cs="Arial" w:eastAsia="Arial" w:hAnsi="Arial"/>
          <w:sz w:val="14"/>
          <w:szCs w:val="14"/>
          <w:b w:val="1"/>
          <w:bCs w:val="1"/>
          <w:color w:val="auto"/>
        </w:rPr>
        <w:t>(In millions) (Unaudited)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340" w:type="dxa"/>
            <w:vAlign w:val="bottom"/>
          </w:tcPr>
          <w:p>
            <w:pPr>
              <w:spacing w:after="0"/>
              <w:rPr>
                <w:sz w:val="16"/>
                <w:szCs w:val="16"/>
                <w:color w:val="auto"/>
              </w:rPr>
            </w:pPr>
          </w:p>
        </w:tc>
        <w:tc>
          <w:tcPr>
            <w:tcW w:w="3180" w:type="dxa"/>
            <w:vAlign w:val="bottom"/>
            <w:tcBorders>
              <w:bottom w:val="single" w:sz="8" w:color="auto"/>
            </w:tcBorders>
            <w:gridSpan w:val="4"/>
          </w:tcPr>
          <w:p>
            <w:pPr>
              <w:jc w:val="right"/>
              <w:ind w:right="141"/>
              <w:spacing w:after="0"/>
              <w:rPr>
                <w:sz w:val="20"/>
                <w:szCs w:val="20"/>
                <w:color w:val="auto"/>
              </w:rPr>
            </w:pPr>
            <w:r>
              <w:rPr>
                <w:rFonts w:ascii="Arial" w:cs="Arial" w:eastAsia="Arial" w:hAnsi="Arial"/>
                <w:sz w:val="14"/>
                <w:szCs w:val="14"/>
                <w:b w:val="1"/>
                <w:bCs w:val="1"/>
                <w:color w:val="auto"/>
              </w:rPr>
              <w:t>Nine Months Ended September 30,</w:t>
            </w:r>
          </w:p>
        </w:tc>
        <w:tc>
          <w:tcPr>
            <w:tcW w:w="6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73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Cash flow from operating activities:</w:t>
            </w:r>
          </w:p>
        </w:tc>
        <w:tc>
          <w:tcPr>
            <w:tcW w:w="112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rPr>
              <w:t>2022</w:t>
            </w:r>
          </w:p>
        </w:tc>
        <w:tc>
          <w:tcPr>
            <w:tcW w:w="64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Borders>
              <w:bottom w:val="single" w:sz="8" w:color="auto"/>
            </w:tcBorders>
          </w:tcPr>
          <w:p>
            <w:pPr>
              <w:jc w:val="right"/>
              <w:ind w:right="41"/>
              <w:spacing w:after="0"/>
              <w:rPr>
                <w:sz w:val="20"/>
                <w:szCs w:val="20"/>
                <w:color w:val="auto"/>
              </w:rPr>
            </w:pPr>
            <w:r>
              <w:rPr>
                <w:rFonts w:ascii="Arial" w:cs="Arial" w:eastAsia="Arial" w:hAnsi="Arial"/>
                <w:sz w:val="14"/>
                <w:szCs w:val="14"/>
                <w:b w:val="1"/>
                <w:bCs w:val="1"/>
                <w:color w:val="auto"/>
              </w:rPr>
              <w:t>2021</w:t>
            </w: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7340" w:type="dxa"/>
            <w:vAlign w:val="bottom"/>
            <w:vMerge w:val="continue"/>
          </w:tcPr>
          <w:p>
            <w:pPr>
              <w:spacing w:after="0"/>
              <w:rPr>
                <w:sz w:val="16"/>
                <w:szCs w:val="16"/>
                <w:color w:val="auto"/>
              </w:rPr>
            </w:pPr>
          </w:p>
        </w:tc>
        <w:tc>
          <w:tcPr>
            <w:tcW w:w="1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73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Net income</w:t>
            </w:r>
          </w:p>
        </w:tc>
        <w:tc>
          <w:tcPr>
            <w:tcW w:w="1120" w:type="dxa"/>
            <w:vAlign w:val="bottom"/>
            <w:shd w:val="clear" w:color="auto" w:fill="CFF0FC"/>
          </w:tcPr>
          <w:p>
            <w:pPr>
              <w:jc w:val="right"/>
              <w:ind w:right="942"/>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441.4</w:t>
            </w:r>
          </w:p>
        </w:tc>
        <w:tc>
          <w:tcPr>
            <w:tcW w:w="260" w:type="dxa"/>
            <w:vAlign w:val="bottom"/>
            <w:shd w:val="clear" w:color="auto" w:fill="CFF0FC"/>
          </w:tcPr>
          <w:p>
            <w:pPr>
              <w:spacing w:after="0"/>
              <w:rPr>
                <w:sz w:val="17"/>
                <w:szCs w:val="17"/>
                <w:color w:val="auto"/>
              </w:rPr>
            </w:pPr>
          </w:p>
        </w:tc>
        <w:tc>
          <w:tcPr>
            <w:tcW w:w="1160" w:type="dxa"/>
            <w:vAlign w:val="bottom"/>
            <w:shd w:val="clear" w:color="auto" w:fill="CFF0FC"/>
          </w:tcPr>
          <w:p>
            <w:pPr>
              <w:jc w:val="right"/>
              <w:ind w:right="981"/>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549.4</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40" w:type="dxa"/>
            <w:vAlign w:val="bottom"/>
          </w:tcPr>
          <w:p>
            <w:pPr>
              <w:ind w:left="20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1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40" w:type="dxa"/>
            <w:vAlign w:val="bottom"/>
            <w:shd w:val="clear" w:color="auto" w:fill="CFF0FC"/>
          </w:tcPr>
          <w:p>
            <w:pPr>
              <w:ind w:left="380"/>
              <w:spacing w:after="0"/>
              <w:rPr>
                <w:sz w:val="20"/>
                <w:szCs w:val="20"/>
                <w:color w:val="auto"/>
              </w:rPr>
            </w:pPr>
            <w:r>
              <w:rPr>
                <w:rFonts w:ascii="Arial" w:cs="Arial" w:eastAsia="Arial" w:hAnsi="Arial"/>
                <w:sz w:val="16"/>
                <w:szCs w:val="16"/>
                <w:color w:val="auto"/>
              </w:rPr>
              <w:t>Depreciation and amortization</w:t>
            </w:r>
          </w:p>
        </w:tc>
        <w:tc>
          <w:tcPr>
            <w:tcW w:w="112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494.2</w:t>
            </w:r>
          </w:p>
        </w:tc>
        <w:tc>
          <w:tcPr>
            <w:tcW w:w="26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500.2</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40" w:type="dxa"/>
            <w:vAlign w:val="bottom"/>
          </w:tcPr>
          <w:p>
            <w:pPr>
              <w:ind w:left="380"/>
              <w:spacing w:after="0"/>
              <w:rPr>
                <w:sz w:val="20"/>
                <w:szCs w:val="20"/>
                <w:color w:val="auto"/>
              </w:rPr>
            </w:pPr>
            <w:r>
              <w:rPr>
                <w:rFonts w:ascii="Arial" w:cs="Arial" w:eastAsia="Arial" w:hAnsi="Arial"/>
                <w:sz w:val="16"/>
                <w:szCs w:val="16"/>
                <w:color w:val="auto"/>
              </w:rPr>
              <w:t>Equity in earnings of unconsolidated affiliates, net</w:t>
            </w:r>
          </w:p>
        </w:tc>
        <w:tc>
          <w:tcPr>
            <w:tcW w:w="1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2.7</w:t>
            </w: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6"/>
                <w:szCs w:val="16"/>
                <w:color w:val="auto"/>
              </w:rPr>
              <w:t>(1.9 )</w:t>
            </w:r>
          </w:p>
        </w:tc>
        <w:tc>
          <w:tcPr>
            <w:tcW w:w="0" w:type="dxa"/>
            <w:vAlign w:val="bottom"/>
          </w:tcPr>
          <w:p>
            <w:pPr>
              <w:spacing w:after="0"/>
              <w:rPr>
                <w:sz w:val="1"/>
                <w:szCs w:val="1"/>
                <w:color w:val="auto"/>
              </w:rPr>
            </w:pPr>
          </w:p>
        </w:tc>
      </w:tr>
      <w:tr>
        <w:trPr>
          <w:trHeight w:val="203"/>
        </w:trPr>
        <w:tc>
          <w:tcPr>
            <w:tcW w:w="7340" w:type="dxa"/>
            <w:vAlign w:val="bottom"/>
            <w:shd w:val="clear" w:color="auto" w:fill="CFF0FC"/>
          </w:tcPr>
          <w:p>
            <w:pPr>
              <w:ind w:left="380"/>
              <w:spacing w:after="0"/>
              <w:rPr>
                <w:sz w:val="20"/>
                <w:szCs w:val="20"/>
                <w:color w:val="auto"/>
              </w:rPr>
            </w:pPr>
            <w:r>
              <w:rPr>
                <w:rFonts w:ascii="Arial" w:cs="Arial" w:eastAsia="Arial" w:hAnsi="Arial"/>
                <w:sz w:val="16"/>
                <w:szCs w:val="16"/>
                <w:color w:val="auto"/>
              </w:rPr>
              <w:t>Distributions received from unconsolidated affiliates</w:t>
            </w:r>
          </w:p>
        </w:tc>
        <w:tc>
          <w:tcPr>
            <w:tcW w:w="112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w:t>
            </w:r>
          </w:p>
        </w:tc>
        <w:tc>
          <w:tcPr>
            <w:tcW w:w="26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40" w:type="dxa"/>
            <w:vAlign w:val="bottom"/>
          </w:tcPr>
          <w:p>
            <w:pPr>
              <w:ind w:left="380"/>
              <w:spacing w:after="0"/>
              <w:rPr>
                <w:sz w:val="20"/>
                <w:szCs w:val="20"/>
                <w:color w:val="auto"/>
              </w:rPr>
            </w:pPr>
            <w:r>
              <w:rPr>
                <w:rFonts w:ascii="Arial" w:cs="Arial" w:eastAsia="Arial" w:hAnsi="Arial"/>
                <w:sz w:val="16"/>
                <w:szCs w:val="16"/>
                <w:color w:val="auto"/>
              </w:rPr>
              <w:t>Gain on bargain purchase</w:t>
            </w:r>
          </w:p>
        </w:tc>
        <w:tc>
          <w:tcPr>
            <w:tcW w:w="1120" w:type="dxa"/>
            <w:vAlign w:val="bottom"/>
          </w:tcPr>
          <w:p>
            <w:pPr>
              <w:spacing w:after="0"/>
              <w:rPr>
                <w:sz w:val="17"/>
                <w:szCs w:val="17"/>
                <w:color w:val="auto"/>
              </w:rPr>
            </w:pPr>
          </w:p>
        </w:tc>
        <w:tc>
          <w:tcPr>
            <w:tcW w:w="900" w:type="dxa"/>
            <w:vAlign w:val="bottom"/>
            <w:gridSpan w:val="2"/>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tcPr>
          <w:p>
            <w:pPr>
              <w:spacing w:after="0"/>
              <w:rPr>
                <w:sz w:val="17"/>
                <w:szCs w:val="17"/>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6"/>
                <w:szCs w:val="16"/>
                <w:color w:val="auto"/>
              </w:rPr>
              <w:t>(3.2 )</w:t>
            </w:r>
          </w:p>
        </w:tc>
        <w:tc>
          <w:tcPr>
            <w:tcW w:w="0" w:type="dxa"/>
            <w:vAlign w:val="bottom"/>
          </w:tcPr>
          <w:p>
            <w:pPr>
              <w:spacing w:after="0"/>
              <w:rPr>
                <w:sz w:val="1"/>
                <w:szCs w:val="1"/>
                <w:color w:val="auto"/>
              </w:rPr>
            </w:pPr>
          </w:p>
        </w:tc>
      </w:tr>
      <w:tr>
        <w:trPr>
          <w:trHeight w:val="203"/>
        </w:trPr>
        <w:tc>
          <w:tcPr>
            <w:tcW w:w="7340" w:type="dxa"/>
            <w:vAlign w:val="bottom"/>
            <w:shd w:val="clear" w:color="auto" w:fill="CFF0FC"/>
          </w:tcPr>
          <w:p>
            <w:pPr>
              <w:ind w:left="380"/>
              <w:spacing w:after="0"/>
              <w:rPr>
                <w:sz w:val="20"/>
                <w:szCs w:val="20"/>
                <w:color w:val="auto"/>
              </w:rPr>
            </w:pPr>
            <w:r>
              <w:rPr>
                <w:rFonts w:ascii="Arial" w:cs="Arial" w:eastAsia="Arial" w:hAnsi="Arial"/>
                <w:sz w:val="16"/>
                <w:szCs w:val="16"/>
                <w:color w:val="auto"/>
              </w:rPr>
              <w:t>Stock-based compensation expense</w:t>
            </w:r>
          </w:p>
        </w:tc>
        <w:tc>
          <w:tcPr>
            <w:tcW w:w="112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93.3</w:t>
            </w:r>
          </w:p>
        </w:tc>
        <w:tc>
          <w:tcPr>
            <w:tcW w:w="26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82.7</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40" w:type="dxa"/>
            <w:vAlign w:val="bottom"/>
          </w:tcPr>
          <w:p>
            <w:pPr>
              <w:ind w:left="380"/>
              <w:spacing w:after="0"/>
              <w:rPr>
                <w:sz w:val="20"/>
                <w:szCs w:val="20"/>
                <w:color w:val="auto"/>
              </w:rPr>
            </w:pPr>
            <w:r>
              <w:rPr>
                <w:rFonts w:ascii="Arial" w:cs="Arial" w:eastAsia="Arial" w:hAnsi="Arial"/>
                <w:sz w:val="16"/>
                <w:szCs w:val="16"/>
                <w:color w:val="auto"/>
              </w:rPr>
              <w:t>Net losses (gains) on investments</w:t>
            </w:r>
          </w:p>
        </w:tc>
        <w:tc>
          <w:tcPr>
            <w:tcW w:w="1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14.7</w:t>
            </w: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6"/>
                <w:szCs w:val="16"/>
                <w:color w:val="auto"/>
              </w:rPr>
              <w:t>(17.3 )</w:t>
            </w:r>
          </w:p>
        </w:tc>
        <w:tc>
          <w:tcPr>
            <w:tcW w:w="0" w:type="dxa"/>
            <w:vAlign w:val="bottom"/>
          </w:tcPr>
          <w:p>
            <w:pPr>
              <w:spacing w:after="0"/>
              <w:rPr>
                <w:sz w:val="1"/>
                <w:szCs w:val="1"/>
                <w:color w:val="auto"/>
              </w:rPr>
            </w:pPr>
          </w:p>
        </w:tc>
      </w:tr>
      <w:tr>
        <w:trPr>
          <w:trHeight w:val="203"/>
        </w:trPr>
        <w:tc>
          <w:tcPr>
            <w:tcW w:w="7340" w:type="dxa"/>
            <w:vAlign w:val="bottom"/>
            <w:shd w:val="clear" w:color="auto" w:fill="CFF0FC"/>
          </w:tcPr>
          <w:p>
            <w:pPr>
              <w:ind w:left="380"/>
              <w:spacing w:after="0"/>
              <w:rPr>
                <w:sz w:val="20"/>
                <w:szCs w:val="20"/>
                <w:color w:val="auto"/>
              </w:rPr>
            </w:pPr>
            <w:r>
              <w:rPr>
                <w:rFonts w:ascii="Arial" w:cs="Arial" w:eastAsia="Arial" w:hAnsi="Arial"/>
                <w:sz w:val="16"/>
                <w:szCs w:val="16"/>
                <w:color w:val="auto"/>
              </w:rPr>
              <w:t>Amortization and write-offs of loan origination costs and original issue discounts</w:t>
            </w:r>
          </w:p>
        </w:tc>
        <w:tc>
          <w:tcPr>
            <w:tcW w:w="112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10.2</w:t>
            </w:r>
          </w:p>
        </w:tc>
        <w:tc>
          <w:tcPr>
            <w:tcW w:w="26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40" w:type="dxa"/>
            <w:vAlign w:val="bottom"/>
          </w:tcPr>
          <w:p>
            <w:pPr>
              <w:ind w:left="380"/>
              <w:spacing w:after="0"/>
              <w:rPr>
                <w:sz w:val="20"/>
                <w:szCs w:val="20"/>
                <w:color w:val="auto"/>
              </w:rPr>
            </w:pPr>
            <w:r>
              <w:rPr>
                <w:rFonts w:ascii="Arial" w:cs="Arial" w:eastAsia="Arial" w:hAnsi="Arial"/>
                <w:sz w:val="16"/>
                <w:szCs w:val="16"/>
                <w:color w:val="auto"/>
              </w:rPr>
              <w:t>Loss on extinguishment of debt</w:t>
            </w:r>
          </w:p>
        </w:tc>
        <w:tc>
          <w:tcPr>
            <w:tcW w:w="1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4.1</w:t>
            </w: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40" w:type="dxa"/>
            <w:vAlign w:val="bottom"/>
            <w:shd w:val="clear" w:color="auto" w:fill="CFF0FC"/>
          </w:tcPr>
          <w:p>
            <w:pPr>
              <w:ind w:left="380"/>
              <w:spacing w:after="0"/>
              <w:rPr>
                <w:sz w:val="20"/>
                <w:szCs w:val="20"/>
                <w:color w:val="auto"/>
              </w:rPr>
            </w:pPr>
            <w:r>
              <w:rPr>
                <w:rFonts w:ascii="Arial" w:cs="Arial" w:eastAsia="Arial" w:hAnsi="Arial"/>
                <w:sz w:val="16"/>
                <w:szCs w:val="16"/>
                <w:color w:val="auto"/>
              </w:rPr>
              <w:t>Loss on sale or disposition of property and equipment</w:t>
            </w:r>
          </w:p>
        </w:tc>
        <w:tc>
          <w:tcPr>
            <w:tcW w:w="112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w:t>
            </w:r>
          </w:p>
        </w:tc>
        <w:tc>
          <w:tcPr>
            <w:tcW w:w="26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0.6</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40" w:type="dxa"/>
            <w:vAlign w:val="bottom"/>
          </w:tcPr>
          <w:p>
            <w:pPr>
              <w:ind w:left="380"/>
              <w:spacing w:after="0"/>
              <w:rPr>
                <w:sz w:val="20"/>
                <w:szCs w:val="20"/>
                <w:color w:val="auto"/>
              </w:rPr>
            </w:pPr>
            <w:r>
              <w:rPr>
                <w:rFonts w:ascii="Arial" w:cs="Arial" w:eastAsia="Arial" w:hAnsi="Arial"/>
                <w:sz w:val="16"/>
                <w:szCs w:val="16"/>
                <w:color w:val="auto"/>
              </w:rPr>
              <w:t>Deferred income taxes</w:t>
            </w:r>
          </w:p>
        </w:tc>
        <w:tc>
          <w:tcPr>
            <w:tcW w:w="1120" w:type="dxa"/>
            <w:vAlign w:val="bottom"/>
          </w:tcPr>
          <w:p>
            <w:pPr>
              <w:spacing w:after="0"/>
              <w:rPr>
                <w:sz w:val="17"/>
                <w:szCs w:val="17"/>
                <w:color w:val="auto"/>
              </w:rPr>
            </w:pPr>
          </w:p>
        </w:tc>
        <w:tc>
          <w:tcPr>
            <w:tcW w:w="900" w:type="dxa"/>
            <w:vAlign w:val="bottom"/>
            <w:gridSpan w:val="2"/>
          </w:tcPr>
          <w:p>
            <w:pPr>
              <w:jc w:val="right"/>
              <w:ind w:right="99"/>
              <w:spacing w:after="0"/>
              <w:rPr>
                <w:sz w:val="20"/>
                <w:szCs w:val="20"/>
                <w:color w:val="auto"/>
              </w:rPr>
            </w:pPr>
            <w:r>
              <w:rPr>
                <w:rFonts w:ascii="Arial" w:cs="Arial" w:eastAsia="Arial" w:hAnsi="Arial"/>
                <w:sz w:val="16"/>
                <w:szCs w:val="16"/>
                <w:color w:val="auto"/>
              </w:rPr>
              <w:t>(78.6 )</w:t>
            </w:r>
          </w:p>
        </w:tc>
        <w:tc>
          <w:tcPr>
            <w:tcW w:w="1160" w:type="dxa"/>
            <w:vAlign w:val="bottom"/>
          </w:tcPr>
          <w:p>
            <w:pPr>
              <w:spacing w:after="0"/>
              <w:rPr>
                <w:sz w:val="17"/>
                <w:szCs w:val="17"/>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6"/>
                <w:szCs w:val="16"/>
                <w:color w:val="auto"/>
              </w:rPr>
              <w:t>(82.5 )</w:t>
            </w:r>
          </w:p>
        </w:tc>
        <w:tc>
          <w:tcPr>
            <w:tcW w:w="0" w:type="dxa"/>
            <w:vAlign w:val="bottom"/>
          </w:tcPr>
          <w:p>
            <w:pPr>
              <w:spacing w:after="0"/>
              <w:rPr>
                <w:sz w:val="1"/>
                <w:szCs w:val="1"/>
                <w:color w:val="auto"/>
              </w:rPr>
            </w:pPr>
          </w:p>
        </w:tc>
      </w:tr>
      <w:tr>
        <w:trPr>
          <w:trHeight w:val="203"/>
        </w:trPr>
        <w:tc>
          <w:tcPr>
            <w:tcW w:w="7340" w:type="dxa"/>
            <w:vAlign w:val="bottom"/>
            <w:shd w:val="clear" w:color="auto" w:fill="CFF0FC"/>
          </w:tcPr>
          <w:p>
            <w:pPr>
              <w:ind w:left="380"/>
              <w:spacing w:after="0"/>
              <w:rPr>
                <w:sz w:val="20"/>
                <w:szCs w:val="20"/>
                <w:color w:val="auto"/>
              </w:rPr>
            </w:pPr>
            <w:r>
              <w:rPr>
                <w:rFonts w:ascii="Arial" w:cs="Arial" w:eastAsia="Arial" w:hAnsi="Arial"/>
                <w:sz w:val="16"/>
                <w:szCs w:val="16"/>
                <w:color w:val="auto"/>
              </w:rPr>
              <w:t>Provision for credit losses</w:t>
            </w:r>
          </w:p>
        </w:tc>
        <w:tc>
          <w:tcPr>
            <w:tcW w:w="112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9.1</w:t>
            </w:r>
          </w:p>
        </w:tc>
        <w:tc>
          <w:tcPr>
            <w:tcW w:w="26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6.5</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40" w:type="dxa"/>
            <w:vAlign w:val="bottom"/>
          </w:tcPr>
          <w:p>
            <w:pPr>
              <w:ind w:left="200"/>
              <w:spacing w:after="0"/>
              <w:rPr>
                <w:sz w:val="20"/>
                <w:szCs w:val="20"/>
                <w:color w:val="auto"/>
              </w:rPr>
            </w:pPr>
            <w:r>
              <w:rPr>
                <w:rFonts w:ascii="Arial" w:cs="Arial" w:eastAsia="Arial" w:hAnsi="Arial"/>
                <w:sz w:val="16"/>
                <w:szCs w:val="16"/>
                <w:color w:val="auto"/>
              </w:rPr>
              <w:t>Changes in operating assets and liabilities, excluding effects from acquisitions:</w:t>
            </w:r>
          </w:p>
        </w:tc>
        <w:tc>
          <w:tcPr>
            <w:tcW w:w="1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40" w:type="dxa"/>
            <w:vAlign w:val="bottom"/>
            <w:shd w:val="clear" w:color="auto" w:fill="CFF0FC"/>
          </w:tcPr>
          <w:p>
            <w:pPr>
              <w:ind w:left="380"/>
              <w:spacing w:after="0"/>
              <w:rPr>
                <w:sz w:val="20"/>
                <w:szCs w:val="20"/>
                <w:color w:val="auto"/>
              </w:rPr>
            </w:pPr>
            <w:r>
              <w:rPr>
                <w:rFonts w:ascii="Arial" w:cs="Arial" w:eastAsia="Arial" w:hAnsi="Arial"/>
                <w:sz w:val="16"/>
                <w:szCs w:val="16"/>
                <w:color w:val="auto"/>
              </w:rPr>
              <w:t>Accounts receivable</w:t>
            </w:r>
          </w:p>
        </w:tc>
        <w:tc>
          <w:tcPr>
            <w:tcW w:w="112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99"/>
              <w:spacing w:after="0"/>
              <w:rPr>
                <w:sz w:val="20"/>
                <w:szCs w:val="20"/>
                <w:color w:val="auto"/>
              </w:rPr>
            </w:pPr>
            <w:r>
              <w:rPr>
                <w:rFonts w:ascii="Arial" w:cs="Arial" w:eastAsia="Arial" w:hAnsi="Arial"/>
                <w:sz w:val="16"/>
                <w:szCs w:val="16"/>
                <w:color w:val="auto"/>
              </w:rPr>
              <w:t>(30.3 )</w:t>
            </w:r>
          </w:p>
        </w:tc>
        <w:tc>
          <w:tcPr>
            <w:tcW w:w="1160" w:type="dxa"/>
            <w:vAlign w:val="bottom"/>
            <w:shd w:val="clear" w:color="auto" w:fill="CFF0FC"/>
          </w:tcPr>
          <w:p>
            <w:pPr>
              <w:spacing w:after="0"/>
              <w:rPr>
                <w:sz w:val="17"/>
                <w:szCs w:val="17"/>
                <w:color w:val="auto"/>
              </w:rPr>
            </w:pPr>
          </w:p>
        </w:tc>
        <w:tc>
          <w:tcPr>
            <w:tcW w:w="7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(72.6 )</w:t>
            </w:r>
          </w:p>
        </w:tc>
        <w:tc>
          <w:tcPr>
            <w:tcW w:w="0" w:type="dxa"/>
            <w:vAlign w:val="bottom"/>
          </w:tcPr>
          <w:p>
            <w:pPr>
              <w:spacing w:after="0"/>
              <w:rPr>
                <w:sz w:val="1"/>
                <w:szCs w:val="1"/>
                <w:color w:val="auto"/>
              </w:rPr>
            </w:pPr>
          </w:p>
        </w:tc>
      </w:tr>
      <w:tr>
        <w:trPr>
          <w:trHeight w:val="203"/>
        </w:trPr>
        <w:tc>
          <w:tcPr>
            <w:tcW w:w="7340" w:type="dxa"/>
            <w:vAlign w:val="bottom"/>
          </w:tcPr>
          <w:p>
            <w:pPr>
              <w:ind w:left="380"/>
              <w:spacing w:after="0"/>
              <w:rPr>
                <w:sz w:val="20"/>
                <w:szCs w:val="20"/>
                <w:color w:val="auto"/>
              </w:rPr>
            </w:pPr>
            <w:r>
              <w:rPr>
                <w:rFonts w:ascii="Arial" w:cs="Arial" w:eastAsia="Arial" w:hAnsi="Arial"/>
                <w:sz w:val="16"/>
                <w:szCs w:val="16"/>
                <w:color w:val="auto"/>
              </w:rPr>
              <w:t>Prepaid expenses and other assets</w:t>
            </w:r>
          </w:p>
        </w:tc>
        <w:tc>
          <w:tcPr>
            <w:tcW w:w="1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54.8</w:t>
            </w: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15.8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40" w:type="dxa"/>
            <w:vAlign w:val="bottom"/>
            <w:shd w:val="clear" w:color="auto" w:fill="CFF0FC"/>
          </w:tcPr>
          <w:p>
            <w:pPr>
              <w:ind w:left="380"/>
              <w:spacing w:after="0"/>
              <w:rPr>
                <w:sz w:val="20"/>
                <w:szCs w:val="20"/>
                <w:color w:val="auto"/>
              </w:rPr>
            </w:pPr>
            <w:r>
              <w:rPr>
                <w:rFonts w:ascii="Arial" w:cs="Arial" w:eastAsia="Arial" w:hAnsi="Arial"/>
                <w:sz w:val="16"/>
                <w:szCs w:val="16"/>
                <w:color w:val="auto"/>
              </w:rPr>
              <w:t>Contract assets</w:t>
            </w:r>
          </w:p>
        </w:tc>
        <w:tc>
          <w:tcPr>
            <w:tcW w:w="112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99"/>
              <w:spacing w:after="0"/>
              <w:rPr>
                <w:sz w:val="20"/>
                <w:szCs w:val="20"/>
                <w:color w:val="auto"/>
              </w:rPr>
            </w:pPr>
            <w:r>
              <w:rPr>
                <w:rFonts w:ascii="Arial" w:cs="Arial" w:eastAsia="Arial" w:hAnsi="Arial"/>
                <w:sz w:val="16"/>
                <w:szCs w:val="16"/>
                <w:color w:val="auto"/>
              </w:rPr>
              <w:t>(41.6 )</w:t>
            </w:r>
          </w:p>
        </w:tc>
        <w:tc>
          <w:tcPr>
            <w:tcW w:w="1160" w:type="dxa"/>
            <w:vAlign w:val="bottom"/>
            <w:shd w:val="clear" w:color="auto" w:fill="CFF0FC"/>
          </w:tcPr>
          <w:p>
            <w:pPr>
              <w:spacing w:after="0"/>
              <w:rPr>
                <w:sz w:val="17"/>
                <w:szCs w:val="17"/>
                <w:color w:val="auto"/>
              </w:rPr>
            </w:pPr>
          </w:p>
        </w:tc>
        <w:tc>
          <w:tcPr>
            <w:tcW w:w="7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(1.1 )</w:t>
            </w:r>
          </w:p>
        </w:tc>
        <w:tc>
          <w:tcPr>
            <w:tcW w:w="0" w:type="dxa"/>
            <w:vAlign w:val="bottom"/>
          </w:tcPr>
          <w:p>
            <w:pPr>
              <w:spacing w:after="0"/>
              <w:rPr>
                <w:sz w:val="1"/>
                <w:szCs w:val="1"/>
                <w:color w:val="auto"/>
              </w:rPr>
            </w:pPr>
          </w:p>
        </w:tc>
      </w:tr>
      <w:tr>
        <w:trPr>
          <w:trHeight w:val="203"/>
        </w:trPr>
        <w:tc>
          <w:tcPr>
            <w:tcW w:w="7340" w:type="dxa"/>
            <w:vAlign w:val="bottom"/>
          </w:tcPr>
          <w:p>
            <w:pPr>
              <w:ind w:left="380"/>
              <w:spacing w:after="0"/>
              <w:rPr>
                <w:sz w:val="20"/>
                <w:szCs w:val="20"/>
                <w:color w:val="auto"/>
              </w:rPr>
            </w:pPr>
            <w:r>
              <w:rPr>
                <w:rFonts w:ascii="Arial" w:cs="Arial" w:eastAsia="Arial" w:hAnsi="Arial"/>
                <w:sz w:val="16"/>
                <w:szCs w:val="16"/>
                <w:color w:val="auto"/>
              </w:rPr>
              <w:t>Accounts payable</w:t>
            </w:r>
          </w:p>
        </w:tc>
        <w:tc>
          <w:tcPr>
            <w:tcW w:w="1120" w:type="dxa"/>
            <w:vAlign w:val="bottom"/>
          </w:tcPr>
          <w:p>
            <w:pPr>
              <w:spacing w:after="0"/>
              <w:rPr>
                <w:sz w:val="17"/>
                <w:szCs w:val="17"/>
                <w:color w:val="auto"/>
              </w:rPr>
            </w:pPr>
          </w:p>
        </w:tc>
        <w:tc>
          <w:tcPr>
            <w:tcW w:w="900" w:type="dxa"/>
            <w:vAlign w:val="bottom"/>
            <w:gridSpan w:val="2"/>
          </w:tcPr>
          <w:p>
            <w:pPr>
              <w:jc w:val="right"/>
              <w:ind w:right="99"/>
              <w:spacing w:after="0"/>
              <w:rPr>
                <w:sz w:val="20"/>
                <w:szCs w:val="20"/>
                <w:color w:val="auto"/>
              </w:rPr>
            </w:pPr>
            <w:r>
              <w:rPr>
                <w:rFonts w:ascii="Arial" w:cs="Arial" w:eastAsia="Arial" w:hAnsi="Arial"/>
                <w:sz w:val="16"/>
                <w:szCs w:val="16"/>
                <w:color w:val="auto"/>
              </w:rPr>
              <w:t>(4.4 )</w:t>
            </w:r>
          </w:p>
        </w:tc>
        <w:tc>
          <w:tcPr>
            <w:tcW w:w="1160" w:type="dxa"/>
            <w:vAlign w:val="bottom"/>
          </w:tcPr>
          <w:p>
            <w:pPr>
              <w:spacing w:after="0"/>
              <w:rPr>
                <w:sz w:val="17"/>
                <w:szCs w:val="17"/>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6"/>
                <w:szCs w:val="16"/>
                <w:color w:val="auto"/>
              </w:rPr>
              <w:t>(3.3 )</w:t>
            </w:r>
          </w:p>
        </w:tc>
        <w:tc>
          <w:tcPr>
            <w:tcW w:w="0" w:type="dxa"/>
            <w:vAlign w:val="bottom"/>
          </w:tcPr>
          <w:p>
            <w:pPr>
              <w:spacing w:after="0"/>
              <w:rPr>
                <w:sz w:val="1"/>
                <w:szCs w:val="1"/>
                <w:color w:val="auto"/>
              </w:rPr>
            </w:pPr>
          </w:p>
        </w:tc>
      </w:tr>
      <w:tr>
        <w:trPr>
          <w:trHeight w:val="203"/>
        </w:trPr>
        <w:tc>
          <w:tcPr>
            <w:tcW w:w="7340" w:type="dxa"/>
            <w:vAlign w:val="bottom"/>
            <w:shd w:val="clear" w:color="auto" w:fill="CFF0FC"/>
          </w:tcPr>
          <w:p>
            <w:pPr>
              <w:ind w:left="380"/>
              <w:spacing w:after="0"/>
              <w:rPr>
                <w:sz w:val="20"/>
                <w:szCs w:val="20"/>
                <w:color w:val="auto"/>
              </w:rPr>
            </w:pPr>
            <w:r>
              <w:rPr>
                <w:rFonts w:ascii="Arial" w:cs="Arial" w:eastAsia="Arial" w:hAnsi="Arial"/>
                <w:sz w:val="16"/>
                <w:szCs w:val="16"/>
                <w:color w:val="auto"/>
              </w:rPr>
              <w:t>Accrued expenses and other liabilities</w:t>
            </w:r>
          </w:p>
        </w:tc>
        <w:tc>
          <w:tcPr>
            <w:tcW w:w="112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99"/>
              <w:spacing w:after="0"/>
              <w:rPr>
                <w:sz w:val="20"/>
                <w:szCs w:val="20"/>
                <w:color w:val="auto"/>
              </w:rPr>
            </w:pPr>
            <w:r>
              <w:rPr>
                <w:rFonts w:ascii="Arial" w:cs="Arial" w:eastAsia="Arial" w:hAnsi="Arial"/>
                <w:sz w:val="16"/>
                <w:szCs w:val="16"/>
                <w:color w:val="auto"/>
              </w:rPr>
              <w:t>(160.5 )</w:t>
            </w:r>
          </w:p>
        </w:tc>
        <w:tc>
          <w:tcPr>
            <w:tcW w:w="1160" w:type="dxa"/>
            <w:vAlign w:val="bottom"/>
            <w:shd w:val="clear" w:color="auto" w:fill="CFF0FC"/>
          </w:tcPr>
          <w:p>
            <w:pPr>
              <w:spacing w:after="0"/>
              <w:rPr>
                <w:sz w:val="17"/>
                <w:szCs w:val="17"/>
                <w:color w:val="auto"/>
              </w:rPr>
            </w:pPr>
          </w:p>
        </w:tc>
        <w:tc>
          <w:tcPr>
            <w:tcW w:w="7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(49.9 )</w:t>
            </w:r>
          </w:p>
        </w:tc>
        <w:tc>
          <w:tcPr>
            <w:tcW w:w="0" w:type="dxa"/>
            <w:vAlign w:val="bottom"/>
          </w:tcPr>
          <w:p>
            <w:pPr>
              <w:spacing w:after="0"/>
              <w:rPr>
                <w:sz w:val="1"/>
                <w:szCs w:val="1"/>
                <w:color w:val="auto"/>
              </w:rPr>
            </w:pPr>
          </w:p>
        </w:tc>
      </w:tr>
      <w:tr>
        <w:trPr>
          <w:trHeight w:val="203"/>
        </w:trPr>
        <w:tc>
          <w:tcPr>
            <w:tcW w:w="7340" w:type="dxa"/>
            <w:vAlign w:val="bottom"/>
          </w:tcPr>
          <w:p>
            <w:pPr>
              <w:ind w:left="380"/>
              <w:spacing w:after="0"/>
              <w:rPr>
                <w:sz w:val="20"/>
                <w:szCs w:val="20"/>
                <w:color w:val="auto"/>
              </w:rPr>
            </w:pPr>
            <w:r>
              <w:rPr>
                <w:rFonts w:ascii="Arial" w:cs="Arial" w:eastAsia="Arial" w:hAnsi="Arial"/>
                <w:sz w:val="16"/>
                <w:szCs w:val="16"/>
                <w:color w:val="auto"/>
              </w:rPr>
              <w:t>Income taxes prepaid and payable</w:t>
            </w:r>
          </w:p>
        </w:tc>
        <w:tc>
          <w:tcPr>
            <w:tcW w:w="1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12.3</w:t>
            </w: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33.8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40" w:type="dxa"/>
            <w:vAlign w:val="bottom"/>
            <w:shd w:val="clear" w:color="auto" w:fill="CFF0FC"/>
          </w:tcPr>
          <w:p>
            <w:pPr>
              <w:ind w:left="380"/>
              <w:spacing w:after="0"/>
              <w:rPr>
                <w:sz w:val="20"/>
                <w:szCs w:val="20"/>
                <w:color w:val="auto"/>
              </w:rPr>
            </w:pPr>
            <w:r>
              <w:rPr>
                <w:rFonts w:ascii="Arial" w:cs="Arial" w:eastAsia="Arial" w:hAnsi="Arial"/>
                <w:sz w:val="16"/>
                <w:szCs w:val="16"/>
                <w:color w:val="auto"/>
              </w:rPr>
              <w:t>Deferred revenue</w:t>
            </w:r>
          </w:p>
        </w:tc>
        <w:tc>
          <w:tcPr>
            <w:tcW w:w="112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99"/>
              <w:spacing w:after="0"/>
              <w:rPr>
                <w:sz w:val="20"/>
                <w:szCs w:val="20"/>
                <w:color w:val="auto"/>
              </w:rPr>
            </w:pPr>
            <w:r>
              <w:rPr>
                <w:rFonts w:ascii="Arial" w:cs="Arial" w:eastAsia="Arial" w:hAnsi="Arial"/>
                <w:sz w:val="16"/>
                <w:szCs w:val="16"/>
                <w:color w:val="auto"/>
              </w:rPr>
              <w:t>(60.1 )</w:t>
            </w:r>
          </w:p>
        </w:tc>
        <w:tc>
          <w:tcPr>
            <w:tcW w:w="1160" w:type="dxa"/>
            <w:vAlign w:val="bottom"/>
            <w:shd w:val="clear" w:color="auto" w:fill="CFF0FC"/>
          </w:tcPr>
          <w:p>
            <w:pPr>
              <w:spacing w:after="0"/>
              <w:rPr>
                <w:sz w:val="17"/>
                <w:szCs w:val="17"/>
                <w:color w:val="auto"/>
              </w:rPr>
            </w:pPr>
          </w:p>
        </w:tc>
        <w:tc>
          <w:tcPr>
            <w:tcW w:w="7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(35.8 )</w:t>
            </w:r>
          </w:p>
        </w:tc>
        <w:tc>
          <w:tcPr>
            <w:tcW w:w="0" w:type="dxa"/>
            <w:vAlign w:val="bottom"/>
          </w:tcPr>
          <w:p>
            <w:pPr>
              <w:spacing w:after="0"/>
              <w:rPr>
                <w:sz w:val="1"/>
                <w:szCs w:val="1"/>
                <w:color w:val="auto"/>
              </w:rPr>
            </w:pPr>
          </w:p>
        </w:tc>
      </w:tr>
      <w:tr>
        <w:trPr>
          <w:trHeight w:val="196"/>
        </w:trPr>
        <w:tc>
          <w:tcPr>
            <w:tcW w:w="7340" w:type="dxa"/>
            <w:vAlign w:val="bottom"/>
            <w:tcBorders>
              <w:top w:val="single" w:sz="8" w:color="CFF0FC"/>
            </w:tcBorders>
          </w:tcPr>
          <w:p>
            <w:pPr>
              <w:ind w:left="560"/>
              <w:spacing w:after="0"/>
              <w:rPr>
                <w:sz w:val="20"/>
                <w:szCs w:val="20"/>
                <w:color w:val="auto"/>
              </w:rPr>
            </w:pPr>
            <w:r>
              <w:rPr>
                <w:rFonts w:ascii="Arial" w:cs="Arial" w:eastAsia="Arial" w:hAnsi="Arial"/>
                <w:sz w:val="16"/>
                <w:szCs w:val="16"/>
                <w:color w:val="auto"/>
              </w:rPr>
              <w:t>Net cash provided by operating activities</w:t>
            </w:r>
          </w:p>
        </w:tc>
        <w:tc>
          <w:tcPr>
            <w:tcW w:w="112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764.6</w:t>
            </w:r>
          </w:p>
        </w:tc>
        <w:tc>
          <w:tcPr>
            <w:tcW w:w="260" w:type="dxa"/>
            <w:vAlign w:val="bottom"/>
            <w:tcBorders>
              <w:top w:val="single" w:sz="8" w:color="CFF0FC"/>
            </w:tcBorders>
          </w:tcPr>
          <w:p>
            <w:pPr>
              <w:spacing w:after="0"/>
              <w:rPr>
                <w:sz w:val="17"/>
                <w:szCs w:val="17"/>
                <w:color w:val="auto"/>
              </w:rPr>
            </w:pPr>
          </w:p>
        </w:tc>
        <w:tc>
          <w:tcPr>
            <w:tcW w:w="1160" w:type="dxa"/>
            <w:vAlign w:val="bottom"/>
            <w:tcBorders>
              <w:top w:val="single" w:sz="8" w:color="auto"/>
              <w:bottom w:val="single" w:sz="8" w:color="auto"/>
            </w:tcBorders>
          </w:tcPr>
          <w:p>
            <w:pPr>
              <w:spacing w:after="0"/>
              <w:rPr>
                <w:sz w:val="17"/>
                <w:szCs w:val="17"/>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944.9</w:t>
            </w: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34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Cash flow from investing activities:</w:t>
            </w:r>
          </w:p>
        </w:tc>
        <w:tc>
          <w:tcPr>
            <w:tcW w:w="112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40" w:type="dxa"/>
            <w:vAlign w:val="bottom"/>
          </w:tcPr>
          <w:p>
            <w:pPr>
              <w:ind w:left="380"/>
              <w:spacing w:after="0"/>
              <w:rPr>
                <w:sz w:val="20"/>
                <w:szCs w:val="20"/>
                <w:color w:val="auto"/>
              </w:rPr>
            </w:pPr>
            <w:r>
              <w:rPr>
                <w:rFonts w:ascii="Arial" w:cs="Arial" w:eastAsia="Arial" w:hAnsi="Arial"/>
                <w:sz w:val="16"/>
                <w:szCs w:val="16"/>
                <w:color w:val="auto"/>
              </w:rPr>
              <w:t>Cash paid for business acquisitions, net of cash acquired and asset acquisitions</w:t>
            </w:r>
          </w:p>
        </w:tc>
        <w:tc>
          <w:tcPr>
            <w:tcW w:w="1120" w:type="dxa"/>
            <w:vAlign w:val="bottom"/>
          </w:tcPr>
          <w:p>
            <w:pPr>
              <w:spacing w:after="0"/>
              <w:rPr>
                <w:sz w:val="17"/>
                <w:szCs w:val="17"/>
                <w:color w:val="auto"/>
              </w:rPr>
            </w:pPr>
          </w:p>
        </w:tc>
        <w:tc>
          <w:tcPr>
            <w:tcW w:w="900" w:type="dxa"/>
            <w:vAlign w:val="bottom"/>
            <w:gridSpan w:val="2"/>
          </w:tcPr>
          <w:p>
            <w:pPr>
              <w:jc w:val="right"/>
              <w:ind w:right="99"/>
              <w:spacing w:after="0"/>
              <w:rPr>
                <w:sz w:val="20"/>
                <w:szCs w:val="20"/>
                <w:color w:val="auto"/>
              </w:rPr>
            </w:pPr>
            <w:r>
              <w:rPr>
                <w:rFonts w:ascii="Arial" w:cs="Arial" w:eastAsia="Arial" w:hAnsi="Arial"/>
                <w:sz w:val="16"/>
                <w:szCs w:val="16"/>
                <w:color w:val="auto"/>
              </w:rPr>
              <w:t>(1,629.5 )</w:t>
            </w:r>
          </w:p>
        </w:tc>
        <w:tc>
          <w:tcPr>
            <w:tcW w:w="11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7.3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40" w:type="dxa"/>
            <w:vAlign w:val="bottom"/>
            <w:shd w:val="clear" w:color="auto" w:fill="CFF0FC"/>
          </w:tcPr>
          <w:p>
            <w:pPr>
              <w:ind w:left="380"/>
              <w:spacing w:after="0"/>
              <w:rPr>
                <w:sz w:val="20"/>
                <w:szCs w:val="20"/>
                <w:color w:val="auto"/>
              </w:rPr>
            </w:pPr>
            <w:r>
              <w:rPr>
                <w:rFonts w:ascii="Arial" w:cs="Arial" w:eastAsia="Arial" w:hAnsi="Arial"/>
                <w:sz w:val="16"/>
                <w:szCs w:val="16"/>
                <w:color w:val="auto"/>
              </w:rPr>
              <w:t>Additions to property and equipment</w:t>
            </w:r>
          </w:p>
        </w:tc>
        <w:tc>
          <w:tcPr>
            <w:tcW w:w="112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99"/>
              <w:spacing w:after="0"/>
              <w:rPr>
                <w:sz w:val="20"/>
                <w:szCs w:val="20"/>
                <w:color w:val="auto"/>
              </w:rPr>
            </w:pPr>
            <w:r>
              <w:rPr>
                <w:rFonts w:ascii="Arial" w:cs="Arial" w:eastAsia="Arial" w:hAnsi="Arial"/>
                <w:sz w:val="16"/>
                <w:szCs w:val="16"/>
                <w:color w:val="auto"/>
              </w:rPr>
              <w:t>(53.3 )</w:t>
            </w:r>
          </w:p>
        </w:tc>
        <w:tc>
          <w:tcPr>
            <w:tcW w:w="1160" w:type="dxa"/>
            <w:vAlign w:val="bottom"/>
            <w:shd w:val="clear" w:color="auto" w:fill="CFF0FC"/>
          </w:tcPr>
          <w:p>
            <w:pPr>
              <w:spacing w:after="0"/>
              <w:rPr>
                <w:sz w:val="17"/>
                <w:szCs w:val="17"/>
                <w:color w:val="auto"/>
              </w:rPr>
            </w:pPr>
          </w:p>
        </w:tc>
        <w:tc>
          <w:tcPr>
            <w:tcW w:w="7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(31.0 )</w:t>
            </w:r>
          </w:p>
        </w:tc>
        <w:tc>
          <w:tcPr>
            <w:tcW w:w="0" w:type="dxa"/>
            <w:vAlign w:val="bottom"/>
          </w:tcPr>
          <w:p>
            <w:pPr>
              <w:spacing w:after="0"/>
              <w:rPr>
                <w:sz w:val="1"/>
                <w:szCs w:val="1"/>
                <w:color w:val="auto"/>
              </w:rPr>
            </w:pPr>
          </w:p>
        </w:tc>
      </w:tr>
      <w:tr>
        <w:trPr>
          <w:trHeight w:val="203"/>
        </w:trPr>
        <w:tc>
          <w:tcPr>
            <w:tcW w:w="7340" w:type="dxa"/>
            <w:vAlign w:val="bottom"/>
          </w:tcPr>
          <w:p>
            <w:pPr>
              <w:ind w:left="380"/>
              <w:spacing w:after="0"/>
              <w:rPr>
                <w:sz w:val="20"/>
                <w:szCs w:val="20"/>
                <w:color w:val="auto"/>
              </w:rPr>
            </w:pPr>
            <w:r>
              <w:rPr>
                <w:rFonts w:ascii="Arial" w:cs="Arial" w:eastAsia="Arial" w:hAnsi="Arial"/>
                <w:sz w:val="16"/>
                <w:szCs w:val="16"/>
                <w:color w:val="auto"/>
              </w:rPr>
              <w:t>Proceeds from sale of property and equipment</w:t>
            </w:r>
          </w:p>
        </w:tc>
        <w:tc>
          <w:tcPr>
            <w:tcW w:w="1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10.9</w:t>
            </w: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40" w:type="dxa"/>
            <w:vAlign w:val="bottom"/>
            <w:shd w:val="clear" w:color="auto" w:fill="CFF0FC"/>
          </w:tcPr>
          <w:p>
            <w:pPr>
              <w:ind w:left="380"/>
              <w:spacing w:after="0"/>
              <w:rPr>
                <w:sz w:val="20"/>
                <w:szCs w:val="20"/>
                <w:color w:val="auto"/>
              </w:rPr>
            </w:pPr>
            <w:r>
              <w:rPr>
                <w:rFonts w:ascii="Arial" w:cs="Arial" w:eastAsia="Arial" w:hAnsi="Arial"/>
                <w:sz w:val="16"/>
                <w:szCs w:val="16"/>
                <w:color w:val="auto"/>
              </w:rPr>
              <w:t>Additions to capitalized software</w:t>
            </w:r>
          </w:p>
        </w:tc>
        <w:tc>
          <w:tcPr>
            <w:tcW w:w="112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99"/>
              <w:spacing w:after="0"/>
              <w:rPr>
                <w:sz w:val="20"/>
                <w:szCs w:val="20"/>
                <w:color w:val="auto"/>
              </w:rPr>
            </w:pPr>
            <w:r>
              <w:rPr>
                <w:rFonts w:ascii="Arial" w:cs="Arial" w:eastAsia="Arial" w:hAnsi="Arial"/>
                <w:sz w:val="16"/>
                <w:szCs w:val="16"/>
                <w:color w:val="auto"/>
              </w:rPr>
              <w:t>(108.2 )</w:t>
            </w:r>
          </w:p>
        </w:tc>
        <w:tc>
          <w:tcPr>
            <w:tcW w:w="1160" w:type="dxa"/>
            <w:vAlign w:val="bottom"/>
            <w:shd w:val="clear" w:color="auto" w:fill="CFF0FC"/>
          </w:tcPr>
          <w:p>
            <w:pPr>
              <w:spacing w:after="0"/>
              <w:rPr>
                <w:sz w:val="17"/>
                <w:szCs w:val="17"/>
                <w:color w:val="auto"/>
              </w:rPr>
            </w:pPr>
          </w:p>
        </w:tc>
        <w:tc>
          <w:tcPr>
            <w:tcW w:w="7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(65.2 )</w:t>
            </w:r>
          </w:p>
        </w:tc>
        <w:tc>
          <w:tcPr>
            <w:tcW w:w="0" w:type="dxa"/>
            <w:vAlign w:val="bottom"/>
          </w:tcPr>
          <w:p>
            <w:pPr>
              <w:spacing w:after="0"/>
              <w:rPr>
                <w:sz w:val="1"/>
                <w:szCs w:val="1"/>
                <w:color w:val="auto"/>
              </w:rPr>
            </w:pPr>
          </w:p>
        </w:tc>
      </w:tr>
      <w:tr>
        <w:trPr>
          <w:trHeight w:val="203"/>
        </w:trPr>
        <w:tc>
          <w:tcPr>
            <w:tcW w:w="7340" w:type="dxa"/>
            <w:vAlign w:val="bottom"/>
          </w:tcPr>
          <w:p>
            <w:pPr>
              <w:ind w:left="380"/>
              <w:spacing w:after="0"/>
              <w:rPr>
                <w:sz w:val="20"/>
                <w:szCs w:val="20"/>
                <w:color w:val="auto"/>
              </w:rPr>
            </w:pPr>
            <w:r>
              <w:rPr>
                <w:rFonts w:ascii="Arial" w:cs="Arial" w:eastAsia="Arial" w:hAnsi="Arial"/>
                <w:sz w:val="16"/>
                <w:szCs w:val="16"/>
                <w:color w:val="auto"/>
              </w:rPr>
              <w:t>Investments in securities</w:t>
            </w:r>
          </w:p>
        </w:tc>
        <w:tc>
          <w:tcPr>
            <w:tcW w:w="1120" w:type="dxa"/>
            <w:vAlign w:val="bottom"/>
          </w:tcPr>
          <w:p>
            <w:pPr>
              <w:spacing w:after="0"/>
              <w:rPr>
                <w:sz w:val="17"/>
                <w:szCs w:val="17"/>
                <w:color w:val="auto"/>
              </w:rPr>
            </w:pPr>
          </w:p>
        </w:tc>
        <w:tc>
          <w:tcPr>
            <w:tcW w:w="900" w:type="dxa"/>
            <w:vAlign w:val="bottom"/>
            <w:gridSpan w:val="2"/>
          </w:tcPr>
          <w:p>
            <w:pPr>
              <w:jc w:val="right"/>
              <w:ind w:right="99"/>
              <w:spacing w:after="0"/>
              <w:rPr>
                <w:sz w:val="20"/>
                <w:szCs w:val="20"/>
                <w:color w:val="auto"/>
              </w:rPr>
            </w:pPr>
            <w:r>
              <w:rPr>
                <w:rFonts w:ascii="Arial" w:cs="Arial" w:eastAsia="Arial" w:hAnsi="Arial"/>
                <w:sz w:val="16"/>
                <w:szCs w:val="16"/>
                <w:color w:val="auto"/>
              </w:rPr>
              <w:t>(10.0 )</w:t>
            </w:r>
          </w:p>
        </w:tc>
        <w:tc>
          <w:tcPr>
            <w:tcW w:w="1160" w:type="dxa"/>
            <w:vAlign w:val="bottom"/>
          </w:tcPr>
          <w:p>
            <w:pPr>
              <w:spacing w:after="0"/>
              <w:rPr>
                <w:sz w:val="17"/>
                <w:szCs w:val="17"/>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6"/>
                <w:szCs w:val="16"/>
                <w:color w:val="auto"/>
              </w:rPr>
              <w:t>(20.1 )</w:t>
            </w:r>
          </w:p>
        </w:tc>
        <w:tc>
          <w:tcPr>
            <w:tcW w:w="0" w:type="dxa"/>
            <w:vAlign w:val="bottom"/>
          </w:tcPr>
          <w:p>
            <w:pPr>
              <w:spacing w:after="0"/>
              <w:rPr>
                <w:sz w:val="1"/>
                <w:szCs w:val="1"/>
                <w:color w:val="auto"/>
              </w:rPr>
            </w:pPr>
          </w:p>
        </w:tc>
      </w:tr>
      <w:tr>
        <w:trPr>
          <w:trHeight w:val="203"/>
        </w:trPr>
        <w:tc>
          <w:tcPr>
            <w:tcW w:w="7340" w:type="dxa"/>
            <w:vAlign w:val="bottom"/>
            <w:shd w:val="clear" w:color="auto" w:fill="CFF0FC"/>
          </w:tcPr>
          <w:p>
            <w:pPr>
              <w:ind w:left="380"/>
              <w:spacing w:after="0"/>
              <w:rPr>
                <w:sz w:val="20"/>
                <w:szCs w:val="20"/>
                <w:color w:val="auto"/>
              </w:rPr>
            </w:pPr>
            <w:r>
              <w:rPr>
                <w:rFonts w:ascii="Arial" w:cs="Arial" w:eastAsia="Arial" w:hAnsi="Arial"/>
                <w:sz w:val="16"/>
                <w:szCs w:val="16"/>
                <w:color w:val="auto"/>
              </w:rPr>
              <w:t>Proceeds from sales / maturities of investments</w:t>
            </w:r>
          </w:p>
        </w:tc>
        <w:tc>
          <w:tcPr>
            <w:tcW w:w="112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8.6</w:t>
            </w:r>
          </w:p>
        </w:tc>
        <w:tc>
          <w:tcPr>
            <w:tcW w:w="26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42.3</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40" w:type="dxa"/>
            <w:vAlign w:val="bottom"/>
          </w:tcPr>
          <w:p>
            <w:pPr>
              <w:ind w:left="380"/>
              <w:spacing w:after="0"/>
              <w:rPr>
                <w:sz w:val="20"/>
                <w:szCs w:val="20"/>
                <w:color w:val="auto"/>
              </w:rPr>
            </w:pPr>
            <w:r>
              <w:rPr>
                <w:rFonts w:ascii="Arial" w:cs="Arial" w:eastAsia="Arial" w:hAnsi="Arial"/>
                <w:sz w:val="16"/>
                <w:szCs w:val="16"/>
                <w:color w:val="auto"/>
              </w:rPr>
              <w:t>Distributions received from unconsolidated affiliates</w:t>
            </w:r>
          </w:p>
        </w:tc>
        <w:tc>
          <w:tcPr>
            <w:tcW w:w="1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66.2</w:t>
            </w: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734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6"/>
                <w:szCs w:val="16"/>
                <w:color w:val="auto"/>
              </w:rPr>
              <w:t>Collection of other non-current receivables</w:t>
            </w:r>
          </w:p>
        </w:tc>
        <w:tc>
          <w:tcPr>
            <w:tcW w:w="1120" w:type="dxa"/>
            <w:vAlign w:val="bottom"/>
            <w:tcBorders>
              <w:bottom w:val="single" w:sz="8" w:color="auto"/>
            </w:tcBorders>
            <w:shd w:val="clear" w:color="auto" w:fill="CFF0FC"/>
          </w:tcPr>
          <w:p>
            <w:pPr>
              <w:spacing w:after="0"/>
              <w:rPr>
                <w:sz w:val="17"/>
                <w:szCs w:val="17"/>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7.5</w:t>
            </w:r>
          </w:p>
        </w:tc>
        <w:tc>
          <w:tcPr>
            <w:tcW w:w="260" w:type="dxa"/>
            <w:vAlign w:val="bottom"/>
            <w:tcBorders>
              <w:bottom w:val="single" w:sz="8" w:color="CFF0FC"/>
            </w:tcBorders>
            <w:shd w:val="clear" w:color="auto" w:fill="CFF0FC"/>
          </w:tcPr>
          <w:p>
            <w:pPr>
              <w:spacing w:after="0"/>
              <w:rPr>
                <w:sz w:val="17"/>
                <w:szCs w:val="17"/>
                <w:color w:val="auto"/>
              </w:rPr>
            </w:pPr>
          </w:p>
        </w:tc>
        <w:tc>
          <w:tcPr>
            <w:tcW w:w="1160" w:type="dxa"/>
            <w:vAlign w:val="bottom"/>
            <w:tcBorders>
              <w:bottom w:val="single" w:sz="8" w:color="auto"/>
            </w:tcBorders>
            <w:shd w:val="clear" w:color="auto" w:fill="CFF0FC"/>
          </w:tcPr>
          <w:p>
            <w:pPr>
              <w:spacing w:after="0"/>
              <w:rPr>
                <w:sz w:val="17"/>
                <w:szCs w:val="17"/>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8.3</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340" w:type="dxa"/>
            <w:vAlign w:val="bottom"/>
          </w:tcPr>
          <w:p>
            <w:pPr>
              <w:ind w:left="560"/>
              <w:spacing w:after="0"/>
              <w:rPr>
                <w:sz w:val="20"/>
                <w:szCs w:val="20"/>
                <w:color w:val="auto"/>
              </w:rPr>
            </w:pPr>
            <w:r>
              <w:rPr>
                <w:rFonts w:ascii="Arial" w:cs="Arial" w:eastAsia="Arial" w:hAnsi="Arial"/>
                <w:sz w:val="16"/>
                <w:szCs w:val="16"/>
                <w:color w:val="auto"/>
              </w:rPr>
              <w:t>Net cash used in investing activities</w:t>
            </w:r>
          </w:p>
        </w:tc>
        <w:tc>
          <w:tcPr>
            <w:tcW w:w="1120" w:type="dxa"/>
            <w:vAlign w:val="bottom"/>
          </w:tcPr>
          <w:p>
            <w:pPr>
              <w:spacing w:after="0"/>
              <w:rPr>
                <w:sz w:val="17"/>
                <w:szCs w:val="17"/>
                <w:color w:val="auto"/>
              </w:rPr>
            </w:pPr>
          </w:p>
        </w:tc>
        <w:tc>
          <w:tcPr>
            <w:tcW w:w="900" w:type="dxa"/>
            <w:vAlign w:val="bottom"/>
            <w:gridSpan w:val="2"/>
          </w:tcPr>
          <w:p>
            <w:pPr>
              <w:jc w:val="right"/>
              <w:ind w:right="99"/>
              <w:spacing w:after="0"/>
              <w:rPr>
                <w:sz w:val="20"/>
                <w:szCs w:val="20"/>
                <w:color w:val="auto"/>
              </w:rPr>
            </w:pPr>
            <w:r>
              <w:rPr>
                <w:rFonts w:ascii="Arial" w:cs="Arial" w:eastAsia="Arial" w:hAnsi="Arial"/>
                <w:sz w:val="16"/>
                <w:szCs w:val="16"/>
                <w:color w:val="auto"/>
              </w:rPr>
              <w:t>(1,707.8 )</w:t>
            </w:r>
          </w:p>
        </w:tc>
        <w:tc>
          <w:tcPr>
            <w:tcW w:w="1160" w:type="dxa"/>
            <w:vAlign w:val="bottom"/>
          </w:tcPr>
          <w:p>
            <w:pPr>
              <w:spacing w:after="0"/>
              <w:rPr>
                <w:sz w:val="17"/>
                <w:szCs w:val="17"/>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6"/>
                <w:szCs w:val="16"/>
                <w:color w:val="auto"/>
              </w:rPr>
              <w:t>(58.2 )</w:t>
            </w:r>
          </w:p>
        </w:tc>
        <w:tc>
          <w:tcPr>
            <w:tcW w:w="0" w:type="dxa"/>
            <w:vAlign w:val="bottom"/>
          </w:tcPr>
          <w:p>
            <w:pPr>
              <w:spacing w:after="0"/>
              <w:rPr>
                <w:sz w:val="1"/>
                <w:szCs w:val="1"/>
                <w:color w:val="auto"/>
              </w:rPr>
            </w:pPr>
          </w:p>
        </w:tc>
      </w:tr>
      <w:tr>
        <w:trPr>
          <w:trHeight w:val="196"/>
        </w:trPr>
        <w:tc>
          <w:tcPr>
            <w:tcW w:w="734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Cash flow from financing activities:</w:t>
            </w:r>
          </w:p>
        </w:tc>
        <w:tc>
          <w:tcPr>
            <w:tcW w:w="1120" w:type="dxa"/>
            <w:vAlign w:val="bottom"/>
            <w:tcBorders>
              <w:top w:val="single" w:sz="8" w:color="auto"/>
            </w:tcBorders>
            <w:shd w:val="clear" w:color="auto" w:fill="CFF0FC"/>
          </w:tcPr>
          <w:p>
            <w:pPr>
              <w:spacing w:after="0"/>
              <w:rPr>
                <w:sz w:val="17"/>
                <w:szCs w:val="17"/>
                <w:color w:val="auto"/>
              </w:rPr>
            </w:pPr>
          </w:p>
        </w:tc>
        <w:tc>
          <w:tcPr>
            <w:tcW w:w="640" w:type="dxa"/>
            <w:vAlign w:val="bottom"/>
            <w:tcBorders>
              <w:top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160" w:type="dxa"/>
            <w:vAlign w:val="bottom"/>
            <w:tcBorders>
              <w:top w:val="single" w:sz="8" w:color="auto"/>
            </w:tcBorders>
            <w:shd w:val="clear" w:color="auto" w:fill="CFF0FC"/>
          </w:tcPr>
          <w:p>
            <w:pPr>
              <w:spacing w:after="0"/>
              <w:rPr>
                <w:sz w:val="17"/>
                <w:szCs w:val="17"/>
                <w:color w:val="auto"/>
              </w:rPr>
            </w:pPr>
          </w:p>
        </w:tc>
        <w:tc>
          <w:tcPr>
            <w:tcW w:w="62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40" w:type="dxa"/>
            <w:vAlign w:val="bottom"/>
          </w:tcPr>
          <w:p>
            <w:pPr>
              <w:ind w:left="380"/>
              <w:spacing w:after="0"/>
              <w:rPr>
                <w:sz w:val="20"/>
                <w:szCs w:val="20"/>
                <w:color w:val="auto"/>
              </w:rPr>
            </w:pPr>
            <w:r>
              <w:rPr>
                <w:rFonts w:ascii="Arial" w:cs="Arial" w:eastAsia="Arial" w:hAnsi="Arial"/>
                <w:sz w:val="16"/>
                <w:szCs w:val="16"/>
                <w:color w:val="auto"/>
              </w:rPr>
              <w:t>Cash received from debt borrowings, net of original issue discount</w:t>
            </w:r>
          </w:p>
        </w:tc>
        <w:tc>
          <w:tcPr>
            <w:tcW w:w="1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1,702.1</w:t>
            </w: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370.0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40" w:type="dxa"/>
            <w:vAlign w:val="bottom"/>
            <w:shd w:val="clear" w:color="auto" w:fill="CFF0FC"/>
          </w:tcPr>
          <w:p>
            <w:pPr>
              <w:ind w:left="380"/>
              <w:spacing w:after="0"/>
              <w:rPr>
                <w:sz w:val="20"/>
                <w:szCs w:val="20"/>
                <w:color w:val="auto"/>
              </w:rPr>
            </w:pPr>
            <w:r>
              <w:rPr>
                <w:rFonts w:ascii="Arial" w:cs="Arial" w:eastAsia="Arial" w:hAnsi="Arial"/>
                <w:sz w:val="16"/>
                <w:szCs w:val="16"/>
                <w:color w:val="auto"/>
              </w:rPr>
              <w:t>Repayments of debt</w:t>
            </w:r>
          </w:p>
        </w:tc>
        <w:tc>
          <w:tcPr>
            <w:tcW w:w="112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99"/>
              <w:spacing w:after="0"/>
              <w:rPr>
                <w:sz w:val="20"/>
                <w:szCs w:val="20"/>
                <w:color w:val="auto"/>
              </w:rPr>
            </w:pPr>
            <w:r>
              <w:rPr>
                <w:rFonts w:ascii="Arial" w:cs="Arial" w:eastAsia="Arial" w:hAnsi="Arial"/>
                <w:sz w:val="16"/>
                <w:szCs w:val="16"/>
                <w:color w:val="auto"/>
              </w:rPr>
              <w:t>(408.5 )</w:t>
            </w:r>
          </w:p>
        </w:tc>
        <w:tc>
          <w:tcPr>
            <w:tcW w:w="1160" w:type="dxa"/>
            <w:vAlign w:val="bottom"/>
            <w:shd w:val="clear" w:color="auto" w:fill="CFF0FC"/>
          </w:tcPr>
          <w:p>
            <w:pPr>
              <w:spacing w:after="0"/>
              <w:rPr>
                <w:sz w:val="17"/>
                <w:szCs w:val="17"/>
                <w:color w:val="auto"/>
              </w:rPr>
            </w:pPr>
          </w:p>
        </w:tc>
        <w:tc>
          <w:tcPr>
            <w:tcW w:w="7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(687.8 )</w:t>
            </w:r>
          </w:p>
        </w:tc>
        <w:tc>
          <w:tcPr>
            <w:tcW w:w="0" w:type="dxa"/>
            <w:vAlign w:val="bottom"/>
          </w:tcPr>
          <w:p>
            <w:pPr>
              <w:spacing w:after="0"/>
              <w:rPr>
                <w:sz w:val="1"/>
                <w:szCs w:val="1"/>
                <w:color w:val="auto"/>
              </w:rPr>
            </w:pPr>
          </w:p>
        </w:tc>
      </w:tr>
      <w:tr>
        <w:trPr>
          <w:trHeight w:val="203"/>
        </w:trPr>
        <w:tc>
          <w:tcPr>
            <w:tcW w:w="7340" w:type="dxa"/>
            <w:vAlign w:val="bottom"/>
          </w:tcPr>
          <w:p>
            <w:pPr>
              <w:ind w:left="380"/>
              <w:spacing w:after="0"/>
              <w:rPr>
                <w:sz w:val="20"/>
                <w:szCs w:val="20"/>
                <w:color w:val="auto"/>
              </w:rPr>
            </w:pPr>
            <w:r>
              <w:rPr>
                <w:rFonts w:ascii="Arial" w:cs="Arial" w:eastAsia="Arial" w:hAnsi="Arial"/>
                <w:sz w:val="16"/>
                <w:szCs w:val="16"/>
                <w:color w:val="auto"/>
              </w:rPr>
              <w:t>Payment of deferred financing fees</w:t>
            </w:r>
          </w:p>
        </w:tc>
        <w:tc>
          <w:tcPr>
            <w:tcW w:w="1120" w:type="dxa"/>
            <w:vAlign w:val="bottom"/>
          </w:tcPr>
          <w:p>
            <w:pPr>
              <w:spacing w:after="0"/>
              <w:rPr>
                <w:sz w:val="17"/>
                <w:szCs w:val="17"/>
                <w:color w:val="auto"/>
              </w:rPr>
            </w:pPr>
          </w:p>
        </w:tc>
        <w:tc>
          <w:tcPr>
            <w:tcW w:w="900" w:type="dxa"/>
            <w:vAlign w:val="bottom"/>
            <w:gridSpan w:val="2"/>
          </w:tcPr>
          <w:p>
            <w:pPr>
              <w:jc w:val="right"/>
              <w:ind w:right="99"/>
              <w:spacing w:after="0"/>
              <w:rPr>
                <w:sz w:val="20"/>
                <w:szCs w:val="20"/>
                <w:color w:val="auto"/>
              </w:rPr>
            </w:pPr>
            <w:r>
              <w:rPr>
                <w:rFonts w:ascii="Arial" w:cs="Arial" w:eastAsia="Arial" w:hAnsi="Arial"/>
                <w:sz w:val="16"/>
                <w:szCs w:val="16"/>
                <w:color w:val="auto"/>
              </w:rPr>
              <w:t>(14.7 )</w:t>
            </w:r>
          </w:p>
        </w:tc>
        <w:tc>
          <w:tcPr>
            <w:tcW w:w="1160" w:type="dxa"/>
            <w:vAlign w:val="bottom"/>
          </w:tcPr>
          <w:p>
            <w:pPr>
              <w:spacing w:after="0"/>
              <w:rPr>
                <w:sz w:val="17"/>
                <w:szCs w:val="17"/>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7340" w:type="dxa"/>
            <w:vAlign w:val="bottom"/>
            <w:shd w:val="clear" w:color="auto" w:fill="CFF0FC"/>
          </w:tcPr>
          <w:p>
            <w:pPr>
              <w:ind w:left="380"/>
              <w:spacing w:after="0"/>
              <w:rPr>
                <w:sz w:val="20"/>
                <w:szCs w:val="20"/>
                <w:color w:val="auto"/>
              </w:rPr>
            </w:pPr>
            <w:r>
              <w:rPr>
                <w:rFonts w:ascii="Arial" w:cs="Arial" w:eastAsia="Arial" w:hAnsi="Arial"/>
                <w:sz w:val="16"/>
                <w:szCs w:val="16"/>
                <w:color w:val="auto"/>
              </w:rPr>
              <w:t>Net (decrease) increase in client funds obligations</w:t>
            </w:r>
          </w:p>
        </w:tc>
        <w:tc>
          <w:tcPr>
            <w:tcW w:w="112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99"/>
              <w:spacing w:after="0"/>
              <w:rPr>
                <w:sz w:val="20"/>
                <w:szCs w:val="20"/>
                <w:color w:val="auto"/>
              </w:rPr>
            </w:pPr>
            <w:r>
              <w:rPr>
                <w:rFonts w:ascii="Arial" w:cs="Arial" w:eastAsia="Arial" w:hAnsi="Arial"/>
                <w:sz w:val="16"/>
                <w:szCs w:val="16"/>
                <w:color w:val="auto"/>
              </w:rPr>
              <w:t>(1,564.5 )</w:t>
            </w:r>
          </w:p>
        </w:tc>
        <w:tc>
          <w:tcPr>
            <w:tcW w:w="116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1,226.3</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40" w:type="dxa"/>
            <w:vAlign w:val="bottom"/>
          </w:tcPr>
          <w:p>
            <w:pPr>
              <w:ind w:left="380"/>
              <w:spacing w:after="0"/>
              <w:rPr>
                <w:sz w:val="20"/>
                <w:szCs w:val="20"/>
                <w:color w:val="auto"/>
              </w:rPr>
            </w:pPr>
            <w:r>
              <w:rPr>
                <w:rFonts w:ascii="Arial" w:cs="Arial" w:eastAsia="Arial" w:hAnsi="Arial"/>
                <w:sz w:val="16"/>
                <w:szCs w:val="16"/>
                <w:color w:val="auto"/>
              </w:rPr>
              <w:t>Proceeds from exercise of stock options</w:t>
            </w:r>
          </w:p>
        </w:tc>
        <w:tc>
          <w:tcPr>
            <w:tcW w:w="1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73.3</w:t>
            </w: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124.2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40" w:type="dxa"/>
            <w:vAlign w:val="bottom"/>
            <w:shd w:val="clear" w:color="auto" w:fill="CFF0FC"/>
          </w:tcPr>
          <w:p>
            <w:pPr>
              <w:ind w:left="380"/>
              <w:spacing w:after="0"/>
              <w:rPr>
                <w:sz w:val="20"/>
                <w:szCs w:val="20"/>
                <w:color w:val="auto"/>
              </w:rPr>
            </w:pPr>
            <w:r>
              <w:rPr>
                <w:rFonts w:ascii="Arial" w:cs="Arial" w:eastAsia="Arial" w:hAnsi="Arial"/>
                <w:sz w:val="16"/>
                <w:szCs w:val="16"/>
                <w:color w:val="auto"/>
              </w:rPr>
              <w:t>Withholding taxes paid related to equity award net share settlement</w:t>
            </w:r>
          </w:p>
        </w:tc>
        <w:tc>
          <w:tcPr>
            <w:tcW w:w="112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99"/>
              <w:spacing w:after="0"/>
              <w:rPr>
                <w:sz w:val="20"/>
                <w:szCs w:val="20"/>
                <w:color w:val="auto"/>
              </w:rPr>
            </w:pPr>
            <w:r>
              <w:rPr>
                <w:rFonts w:ascii="Arial" w:cs="Arial" w:eastAsia="Arial" w:hAnsi="Arial"/>
                <w:sz w:val="16"/>
                <w:szCs w:val="16"/>
                <w:color w:val="auto"/>
              </w:rPr>
              <w:t>(0.6 )</w:t>
            </w:r>
          </w:p>
        </w:tc>
        <w:tc>
          <w:tcPr>
            <w:tcW w:w="1160" w:type="dxa"/>
            <w:vAlign w:val="bottom"/>
            <w:shd w:val="clear" w:color="auto" w:fill="CFF0FC"/>
          </w:tcPr>
          <w:p>
            <w:pPr>
              <w:spacing w:after="0"/>
              <w:rPr>
                <w:sz w:val="17"/>
                <w:szCs w:val="17"/>
                <w:color w:val="auto"/>
              </w:rPr>
            </w:pPr>
          </w:p>
        </w:tc>
        <w:tc>
          <w:tcPr>
            <w:tcW w:w="7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(5.8 )</w:t>
            </w:r>
          </w:p>
        </w:tc>
        <w:tc>
          <w:tcPr>
            <w:tcW w:w="0" w:type="dxa"/>
            <w:vAlign w:val="bottom"/>
          </w:tcPr>
          <w:p>
            <w:pPr>
              <w:spacing w:after="0"/>
              <w:rPr>
                <w:sz w:val="1"/>
                <w:szCs w:val="1"/>
                <w:color w:val="auto"/>
              </w:rPr>
            </w:pPr>
          </w:p>
        </w:tc>
      </w:tr>
      <w:tr>
        <w:trPr>
          <w:trHeight w:val="203"/>
        </w:trPr>
        <w:tc>
          <w:tcPr>
            <w:tcW w:w="7340" w:type="dxa"/>
            <w:vAlign w:val="bottom"/>
          </w:tcPr>
          <w:p>
            <w:pPr>
              <w:ind w:left="380"/>
              <w:spacing w:after="0"/>
              <w:rPr>
                <w:sz w:val="20"/>
                <w:szCs w:val="20"/>
                <w:color w:val="auto"/>
              </w:rPr>
            </w:pPr>
            <w:r>
              <w:rPr>
                <w:rFonts w:ascii="Arial" w:cs="Arial" w:eastAsia="Arial" w:hAnsi="Arial"/>
                <w:sz w:val="16"/>
                <w:szCs w:val="16"/>
                <w:color w:val="auto"/>
              </w:rPr>
              <w:t>Purchases of common stock for treasury</w:t>
            </w:r>
          </w:p>
        </w:tc>
        <w:tc>
          <w:tcPr>
            <w:tcW w:w="1120" w:type="dxa"/>
            <w:vAlign w:val="bottom"/>
          </w:tcPr>
          <w:p>
            <w:pPr>
              <w:spacing w:after="0"/>
              <w:rPr>
                <w:sz w:val="17"/>
                <w:szCs w:val="17"/>
                <w:color w:val="auto"/>
              </w:rPr>
            </w:pPr>
          </w:p>
        </w:tc>
        <w:tc>
          <w:tcPr>
            <w:tcW w:w="900" w:type="dxa"/>
            <w:vAlign w:val="bottom"/>
            <w:gridSpan w:val="2"/>
          </w:tcPr>
          <w:p>
            <w:pPr>
              <w:jc w:val="right"/>
              <w:ind w:right="99"/>
              <w:spacing w:after="0"/>
              <w:rPr>
                <w:sz w:val="20"/>
                <w:szCs w:val="20"/>
                <w:color w:val="auto"/>
              </w:rPr>
            </w:pPr>
            <w:r>
              <w:rPr>
                <w:rFonts w:ascii="Arial" w:cs="Arial" w:eastAsia="Arial" w:hAnsi="Arial"/>
                <w:sz w:val="16"/>
                <w:szCs w:val="16"/>
                <w:color w:val="auto"/>
              </w:rPr>
              <w:t>(385.4 )</w:t>
            </w:r>
          </w:p>
        </w:tc>
        <w:tc>
          <w:tcPr>
            <w:tcW w:w="1160" w:type="dxa"/>
            <w:vAlign w:val="bottom"/>
          </w:tcPr>
          <w:p>
            <w:pPr>
              <w:spacing w:after="0"/>
              <w:rPr>
                <w:sz w:val="17"/>
                <w:szCs w:val="17"/>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6"/>
                <w:szCs w:val="16"/>
                <w:color w:val="auto"/>
              </w:rPr>
              <w:t>(487.9 )</w:t>
            </w:r>
          </w:p>
        </w:tc>
        <w:tc>
          <w:tcPr>
            <w:tcW w:w="0" w:type="dxa"/>
            <w:vAlign w:val="bottom"/>
          </w:tcPr>
          <w:p>
            <w:pPr>
              <w:spacing w:after="0"/>
              <w:rPr>
                <w:sz w:val="1"/>
                <w:szCs w:val="1"/>
                <w:color w:val="auto"/>
              </w:rPr>
            </w:pPr>
          </w:p>
        </w:tc>
      </w:tr>
      <w:tr>
        <w:trPr>
          <w:trHeight w:val="203"/>
        </w:trPr>
        <w:tc>
          <w:tcPr>
            <w:tcW w:w="7340" w:type="dxa"/>
            <w:vAlign w:val="bottom"/>
            <w:shd w:val="clear" w:color="auto" w:fill="CFF0FC"/>
          </w:tcPr>
          <w:p>
            <w:pPr>
              <w:ind w:left="380"/>
              <w:spacing w:after="0"/>
              <w:rPr>
                <w:sz w:val="20"/>
                <w:szCs w:val="20"/>
                <w:color w:val="auto"/>
              </w:rPr>
            </w:pPr>
            <w:r>
              <w:rPr>
                <w:rFonts w:ascii="Arial" w:cs="Arial" w:eastAsia="Arial" w:hAnsi="Arial"/>
                <w:sz w:val="16"/>
                <w:szCs w:val="16"/>
                <w:color w:val="auto"/>
              </w:rPr>
              <w:t>Dividends paid on common stock</w:t>
            </w:r>
          </w:p>
        </w:tc>
        <w:tc>
          <w:tcPr>
            <w:tcW w:w="112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99"/>
              <w:spacing w:after="0"/>
              <w:rPr>
                <w:sz w:val="20"/>
                <w:szCs w:val="20"/>
                <w:color w:val="auto"/>
              </w:rPr>
            </w:pPr>
            <w:r>
              <w:rPr>
                <w:rFonts w:ascii="Arial" w:cs="Arial" w:eastAsia="Arial" w:hAnsi="Arial"/>
                <w:sz w:val="16"/>
                <w:szCs w:val="16"/>
                <w:color w:val="auto"/>
              </w:rPr>
              <w:t>(153.4 )</w:t>
            </w:r>
          </w:p>
        </w:tc>
        <w:tc>
          <w:tcPr>
            <w:tcW w:w="1160" w:type="dxa"/>
            <w:vAlign w:val="bottom"/>
            <w:shd w:val="clear" w:color="auto" w:fill="CFF0FC"/>
          </w:tcPr>
          <w:p>
            <w:pPr>
              <w:spacing w:after="0"/>
              <w:rPr>
                <w:sz w:val="17"/>
                <w:szCs w:val="17"/>
                <w:color w:val="auto"/>
              </w:rPr>
            </w:pPr>
          </w:p>
        </w:tc>
        <w:tc>
          <w:tcPr>
            <w:tcW w:w="7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(122.8 )</w:t>
            </w:r>
          </w:p>
        </w:tc>
        <w:tc>
          <w:tcPr>
            <w:tcW w:w="0" w:type="dxa"/>
            <w:vAlign w:val="bottom"/>
          </w:tcPr>
          <w:p>
            <w:pPr>
              <w:spacing w:after="0"/>
              <w:rPr>
                <w:sz w:val="1"/>
                <w:szCs w:val="1"/>
                <w:color w:val="auto"/>
              </w:rPr>
            </w:pPr>
          </w:p>
        </w:tc>
      </w:tr>
      <w:tr>
        <w:trPr>
          <w:trHeight w:val="203"/>
        </w:trPr>
        <w:tc>
          <w:tcPr>
            <w:tcW w:w="7340" w:type="dxa"/>
            <w:vAlign w:val="bottom"/>
          </w:tcPr>
          <w:p>
            <w:pPr>
              <w:ind w:left="380"/>
              <w:spacing w:after="0"/>
              <w:rPr>
                <w:sz w:val="20"/>
                <w:szCs w:val="20"/>
                <w:color w:val="auto"/>
              </w:rPr>
            </w:pPr>
            <w:r>
              <w:rPr>
                <w:rFonts w:ascii="Arial" w:cs="Arial" w:eastAsia="Arial" w:hAnsi="Arial"/>
                <w:sz w:val="16"/>
                <w:szCs w:val="16"/>
                <w:color w:val="auto"/>
              </w:rPr>
              <w:t>Proceeds from noncontrolling interests</w:t>
            </w:r>
          </w:p>
        </w:tc>
        <w:tc>
          <w:tcPr>
            <w:tcW w:w="1120" w:type="dxa"/>
            <w:vAlign w:val="bottom"/>
          </w:tcPr>
          <w:p>
            <w:pPr>
              <w:spacing w:after="0"/>
              <w:rPr>
                <w:sz w:val="17"/>
                <w:szCs w:val="17"/>
                <w:color w:val="auto"/>
              </w:rPr>
            </w:pPr>
          </w:p>
        </w:tc>
        <w:tc>
          <w:tcPr>
            <w:tcW w:w="900" w:type="dxa"/>
            <w:vAlign w:val="bottom"/>
            <w:gridSpan w:val="2"/>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67.3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340" w:type="dxa"/>
            <w:vAlign w:val="bottom"/>
            <w:tcBorders>
              <w:bottom w:val="single" w:sz="8" w:color="CFF0FC"/>
            </w:tcBorders>
            <w:shd w:val="clear" w:color="auto" w:fill="CFF0FC"/>
          </w:tcPr>
          <w:p>
            <w:pPr>
              <w:ind w:left="560"/>
              <w:spacing w:after="0"/>
              <w:rPr>
                <w:sz w:val="20"/>
                <w:szCs w:val="20"/>
                <w:color w:val="auto"/>
              </w:rPr>
            </w:pPr>
            <w:r>
              <w:rPr>
                <w:rFonts w:ascii="Arial" w:cs="Arial" w:eastAsia="Arial" w:hAnsi="Arial"/>
                <w:sz w:val="16"/>
                <w:szCs w:val="16"/>
                <w:color w:val="auto"/>
              </w:rPr>
              <w:t>Net cash (used in) provided by financing activities</w:t>
            </w:r>
          </w:p>
        </w:tc>
        <w:tc>
          <w:tcPr>
            <w:tcW w:w="1120" w:type="dxa"/>
            <w:vAlign w:val="bottom"/>
            <w:tcBorders>
              <w:top w:val="single" w:sz="8" w:color="auto"/>
              <w:bottom w:val="single" w:sz="8" w:color="auto"/>
            </w:tcBorders>
            <w:shd w:val="clear" w:color="auto" w:fill="CFF0FC"/>
          </w:tcPr>
          <w:p>
            <w:pPr>
              <w:spacing w:after="0"/>
              <w:rPr>
                <w:sz w:val="17"/>
                <w:szCs w:val="17"/>
                <w:color w:val="auto"/>
              </w:rPr>
            </w:pP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(751.7</w:t>
            </w:r>
          </w:p>
        </w:tc>
        <w:tc>
          <w:tcPr>
            <w:tcW w:w="260" w:type="dxa"/>
            <w:vAlign w:val="bottom"/>
            <w:tcBorders>
              <w:bottom w:val="single" w:sz="8" w:color="CFF0FC"/>
            </w:tcBorders>
            <w:shd w:val="clear" w:color="auto" w:fill="CFF0FC"/>
          </w:tcPr>
          <w:p>
            <w:pPr>
              <w:jc w:val="right"/>
              <w:ind w:right="99"/>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bottom w:val="single" w:sz="8" w:color="auto"/>
            </w:tcBorders>
            <w:shd w:val="clear" w:color="auto" w:fill="CFF0FC"/>
          </w:tcPr>
          <w:p>
            <w:pPr>
              <w:spacing w:after="0"/>
              <w:rPr>
                <w:sz w:val="17"/>
                <w:szCs w:val="17"/>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483.5</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340" w:type="dxa"/>
            <w:vAlign w:val="bottom"/>
          </w:tcPr>
          <w:p>
            <w:pPr>
              <w:ind w:left="200"/>
              <w:spacing w:after="0"/>
              <w:rPr>
                <w:sz w:val="20"/>
                <w:szCs w:val="20"/>
                <w:color w:val="auto"/>
              </w:rPr>
            </w:pPr>
            <w:r>
              <w:rPr>
                <w:rFonts w:ascii="Arial" w:cs="Arial" w:eastAsia="Arial" w:hAnsi="Arial"/>
                <w:sz w:val="16"/>
                <w:szCs w:val="16"/>
                <w:color w:val="auto"/>
              </w:rPr>
              <w:t>Effect of exchange rate changes on cash, cash equivalents and restricted cash</w:t>
            </w:r>
          </w:p>
        </w:tc>
        <w:tc>
          <w:tcPr>
            <w:tcW w:w="1120" w:type="dxa"/>
            <w:vAlign w:val="bottom"/>
          </w:tcPr>
          <w:p>
            <w:pPr>
              <w:spacing w:after="0"/>
              <w:rPr>
                <w:sz w:val="17"/>
                <w:szCs w:val="17"/>
                <w:color w:val="auto"/>
              </w:rPr>
            </w:pPr>
          </w:p>
        </w:tc>
        <w:tc>
          <w:tcPr>
            <w:tcW w:w="900" w:type="dxa"/>
            <w:vAlign w:val="bottom"/>
            <w:gridSpan w:val="2"/>
          </w:tcPr>
          <w:p>
            <w:pPr>
              <w:jc w:val="right"/>
              <w:ind w:right="99"/>
              <w:spacing w:after="0"/>
              <w:rPr>
                <w:sz w:val="20"/>
                <w:szCs w:val="20"/>
                <w:color w:val="auto"/>
              </w:rPr>
            </w:pPr>
            <w:r>
              <w:rPr>
                <w:rFonts w:ascii="Arial" w:cs="Arial" w:eastAsia="Arial" w:hAnsi="Arial"/>
                <w:sz w:val="16"/>
                <w:szCs w:val="16"/>
                <w:color w:val="auto"/>
              </w:rPr>
              <w:t>(32.9 )</w:t>
            </w:r>
          </w:p>
        </w:tc>
        <w:tc>
          <w:tcPr>
            <w:tcW w:w="1160" w:type="dxa"/>
            <w:vAlign w:val="bottom"/>
          </w:tcPr>
          <w:p>
            <w:pPr>
              <w:spacing w:after="0"/>
              <w:rPr>
                <w:sz w:val="17"/>
                <w:szCs w:val="17"/>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6"/>
                <w:szCs w:val="16"/>
                <w:color w:val="auto"/>
              </w:rPr>
              <w:t>(4.2 )</w:t>
            </w:r>
          </w:p>
        </w:tc>
        <w:tc>
          <w:tcPr>
            <w:tcW w:w="0" w:type="dxa"/>
            <w:vAlign w:val="bottom"/>
          </w:tcPr>
          <w:p>
            <w:pPr>
              <w:spacing w:after="0"/>
              <w:rPr>
                <w:sz w:val="1"/>
                <w:szCs w:val="1"/>
                <w:color w:val="auto"/>
              </w:rPr>
            </w:pPr>
          </w:p>
        </w:tc>
      </w:tr>
      <w:tr>
        <w:trPr>
          <w:trHeight w:val="196"/>
        </w:trPr>
        <w:tc>
          <w:tcPr>
            <w:tcW w:w="7340" w:type="dxa"/>
            <w:vAlign w:val="bottom"/>
            <w:shd w:val="clear" w:color="auto" w:fill="CFF0FC"/>
          </w:tcPr>
          <w:p>
            <w:pPr>
              <w:ind w:left="20"/>
              <w:spacing w:after="0"/>
              <w:rPr>
                <w:sz w:val="20"/>
                <w:szCs w:val="20"/>
                <w:color w:val="auto"/>
              </w:rPr>
            </w:pPr>
            <w:r>
              <w:rPr>
                <w:rFonts w:ascii="Arial" w:cs="Arial" w:eastAsia="Arial" w:hAnsi="Arial"/>
                <w:sz w:val="16"/>
                <w:szCs w:val="16"/>
                <w:color w:val="auto"/>
              </w:rPr>
              <w:t>Net (decrease) increase in cash, cash equivalents and restricted cash</w:t>
            </w:r>
          </w:p>
        </w:tc>
        <w:tc>
          <w:tcPr>
            <w:tcW w:w="1120" w:type="dxa"/>
            <w:vAlign w:val="bottom"/>
            <w:tcBorders>
              <w:top w:val="single" w:sz="8" w:color="auto"/>
            </w:tcBorders>
            <w:shd w:val="clear" w:color="auto" w:fill="CFF0FC"/>
          </w:tcPr>
          <w:p>
            <w:pPr>
              <w:spacing w:after="0"/>
              <w:rPr>
                <w:sz w:val="17"/>
                <w:szCs w:val="17"/>
                <w:color w:val="auto"/>
              </w:rPr>
            </w:pP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(1,727.8</w:t>
            </w:r>
          </w:p>
        </w:tc>
        <w:tc>
          <w:tcPr>
            <w:tcW w:w="26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tcBorders>
            <w:shd w:val="clear" w:color="auto" w:fill="CFF0FC"/>
          </w:tcPr>
          <w:p>
            <w:pPr>
              <w:spacing w:after="0"/>
              <w:rPr>
                <w:sz w:val="17"/>
                <w:szCs w:val="17"/>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1,366.0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40" w:type="dxa"/>
            <w:vAlign w:val="bottom"/>
          </w:tcPr>
          <w:p>
            <w:pPr>
              <w:ind w:left="20"/>
              <w:spacing w:after="0"/>
              <w:rPr>
                <w:sz w:val="20"/>
                <w:szCs w:val="20"/>
                <w:color w:val="auto"/>
              </w:rPr>
            </w:pPr>
            <w:r>
              <w:rPr>
                <w:rFonts w:ascii="Arial" w:cs="Arial" w:eastAsia="Arial" w:hAnsi="Arial"/>
                <w:sz w:val="16"/>
                <w:szCs w:val="16"/>
                <w:color w:val="auto"/>
              </w:rPr>
              <w:t>Cash, cash equivalents and restricted cash, beginning of period</w:t>
            </w:r>
          </w:p>
        </w:tc>
        <w:tc>
          <w:tcPr>
            <w:tcW w:w="1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3,171.4</w:t>
            </w:r>
          </w:p>
        </w:tc>
        <w:tc>
          <w:tcPr>
            <w:tcW w:w="260" w:type="dxa"/>
            <w:vAlign w:val="bottom"/>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1,337.9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73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b w:val="1"/>
                <w:bCs w:val="1"/>
                <w:color w:val="auto"/>
              </w:rPr>
              <w:t>Cash, cash equivalents and restricted cash and cash equivalents, end of period</w:t>
            </w:r>
          </w:p>
        </w:tc>
        <w:tc>
          <w:tcPr>
            <w:tcW w:w="1120" w:type="dxa"/>
            <w:vAlign w:val="bottom"/>
            <w:tcBorders>
              <w:bottom w:val="single" w:sz="8" w:color="auto"/>
            </w:tcBorders>
            <w:shd w:val="clear" w:color="auto" w:fill="CFF0FC"/>
          </w:tcPr>
          <w:p>
            <w:pPr>
              <w:jc w:val="right"/>
              <w:ind w:right="942"/>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1,443.6</w:t>
            </w:r>
          </w:p>
        </w:tc>
        <w:tc>
          <w:tcPr>
            <w:tcW w:w="260" w:type="dxa"/>
            <w:vAlign w:val="bottom"/>
            <w:tcBorders>
              <w:bottom w:val="single" w:sz="8" w:color="CFF0FC"/>
            </w:tcBorders>
            <w:shd w:val="clear" w:color="auto" w:fill="CFF0FC"/>
          </w:tcPr>
          <w:p>
            <w:pPr>
              <w:spacing w:after="0"/>
              <w:rPr>
                <w:sz w:val="20"/>
                <w:szCs w:val="20"/>
                <w:color w:val="auto"/>
              </w:rPr>
            </w:pPr>
          </w:p>
        </w:tc>
        <w:tc>
          <w:tcPr>
            <w:tcW w:w="1160" w:type="dxa"/>
            <w:vAlign w:val="bottom"/>
            <w:tcBorders>
              <w:bottom w:val="single" w:sz="8" w:color="auto"/>
            </w:tcBorders>
            <w:shd w:val="clear" w:color="auto" w:fill="CFF0FC"/>
          </w:tcPr>
          <w:p>
            <w:pPr>
              <w:jc w:val="right"/>
              <w:ind w:right="981"/>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2,703.9</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406"/>
        </w:trPr>
        <w:tc>
          <w:tcPr>
            <w:tcW w:w="7340" w:type="dxa"/>
            <w:vAlign w:val="bottom"/>
          </w:tcPr>
          <w:p>
            <w:pPr>
              <w:ind w:left="20"/>
              <w:spacing w:after="0"/>
              <w:rPr>
                <w:sz w:val="20"/>
                <w:szCs w:val="20"/>
                <w:color w:val="auto"/>
              </w:rPr>
            </w:pPr>
            <w:r>
              <w:rPr>
                <w:rFonts w:ascii="Arial" w:cs="Arial" w:eastAsia="Arial" w:hAnsi="Arial"/>
                <w:sz w:val="16"/>
                <w:szCs w:val="16"/>
                <w:b w:val="1"/>
                <w:bCs w:val="1"/>
                <w:color w:val="auto"/>
              </w:rPr>
              <w:t>Reconciliation of cash, cash equivalents and restricted cash and cash equivalents:</w:t>
            </w:r>
          </w:p>
        </w:tc>
        <w:tc>
          <w:tcPr>
            <w:tcW w:w="1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7340" w:type="dxa"/>
            <w:vAlign w:val="bottom"/>
          </w:tcPr>
          <w:p>
            <w:pPr>
              <w:ind w:left="200"/>
              <w:spacing w:after="0"/>
              <w:rPr>
                <w:sz w:val="20"/>
                <w:szCs w:val="20"/>
                <w:color w:val="auto"/>
              </w:rPr>
            </w:pPr>
            <w:r>
              <w:rPr>
                <w:rFonts w:ascii="Arial" w:cs="Arial" w:eastAsia="Arial" w:hAnsi="Arial"/>
                <w:sz w:val="16"/>
                <w:szCs w:val="16"/>
                <w:color w:val="auto"/>
              </w:rPr>
              <w:t>Cash and cash equivalents</w:t>
            </w:r>
          </w:p>
        </w:tc>
        <w:tc>
          <w:tcPr>
            <w:tcW w:w="1120" w:type="dxa"/>
            <w:vAlign w:val="bottom"/>
          </w:tcPr>
          <w:p>
            <w:pPr>
              <w:jc w:val="right"/>
              <w:ind w:right="942"/>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401.9</w:t>
            </w:r>
          </w:p>
        </w:tc>
        <w:tc>
          <w:tcPr>
            <w:tcW w:w="260" w:type="dxa"/>
            <w:vAlign w:val="bottom"/>
          </w:tcPr>
          <w:p>
            <w:pPr>
              <w:spacing w:after="0"/>
              <w:rPr>
                <w:sz w:val="20"/>
                <w:szCs w:val="20"/>
                <w:color w:val="auto"/>
              </w:rPr>
            </w:pPr>
          </w:p>
        </w:tc>
        <w:tc>
          <w:tcPr>
            <w:tcW w:w="1160" w:type="dxa"/>
            <w:vAlign w:val="bottom"/>
          </w:tcPr>
          <w:p>
            <w:pPr>
              <w:jc w:val="right"/>
              <w:ind w:right="981"/>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351.1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73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Restricted cash and cash equivalents</w:t>
            </w:r>
          </w:p>
        </w:tc>
        <w:tc>
          <w:tcPr>
            <w:tcW w:w="112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w:t>
            </w:r>
          </w:p>
        </w:tc>
        <w:tc>
          <w:tcPr>
            <w:tcW w:w="26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340" w:type="dxa"/>
            <w:vAlign w:val="bottom"/>
          </w:tcPr>
          <w:p>
            <w:pPr>
              <w:ind w:left="200"/>
              <w:spacing w:after="0"/>
              <w:rPr>
                <w:sz w:val="20"/>
                <w:szCs w:val="20"/>
                <w:color w:val="auto"/>
              </w:rPr>
            </w:pPr>
            <w:r>
              <w:rPr>
                <w:rFonts w:ascii="Arial" w:cs="Arial" w:eastAsia="Arial" w:hAnsi="Arial"/>
                <w:sz w:val="16"/>
                <w:szCs w:val="16"/>
                <w:color w:val="auto"/>
                <w:w w:val="99"/>
              </w:rPr>
              <w:t>Restricted cash and cash equivalents included in funds receivable and funds held on behalf of clients</w:t>
            </w:r>
          </w:p>
        </w:tc>
        <w:tc>
          <w:tcPr>
            <w:tcW w:w="1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1,038.7</w:t>
            </w:r>
          </w:p>
        </w:tc>
        <w:tc>
          <w:tcPr>
            <w:tcW w:w="260" w:type="dxa"/>
            <w:vAlign w:val="bottom"/>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2,349.1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7340" w:type="dxa"/>
            <w:vAlign w:val="bottom"/>
            <w:tcBorders>
              <w:bottom w:val="single" w:sz="8" w:color="CFF0FC"/>
            </w:tcBorders>
            <w:shd w:val="clear" w:color="auto" w:fill="CFF0FC"/>
          </w:tcPr>
          <w:p>
            <w:pPr>
              <w:spacing w:after="0"/>
              <w:rPr>
                <w:sz w:val="20"/>
                <w:szCs w:val="20"/>
                <w:color w:val="auto"/>
              </w:rPr>
            </w:pPr>
          </w:p>
        </w:tc>
        <w:tc>
          <w:tcPr>
            <w:tcW w:w="1120" w:type="dxa"/>
            <w:vAlign w:val="bottom"/>
            <w:tcBorders>
              <w:bottom w:val="single" w:sz="8" w:color="auto"/>
            </w:tcBorders>
            <w:shd w:val="clear" w:color="auto" w:fill="CFF0FC"/>
          </w:tcPr>
          <w:p>
            <w:pPr>
              <w:jc w:val="right"/>
              <w:ind w:right="942"/>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1,443.6</w:t>
            </w:r>
          </w:p>
        </w:tc>
        <w:tc>
          <w:tcPr>
            <w:tcW w:w="260" w:type="dxa"/>
            <w:vAlign w:val="bottom"/>
            <w:tcBorders>
              <w:bottom w:val="single" w:sz="8" w:color="CFF0FC"/>
            </w:tcBorders>
            <w:shd w:val="clear" w:color="auto" w:fill="CFF0FC"/>
          </w:tcPr>
          <w:p>
            <w:pPr>
              <w:spacing w:after="0"/>
              <w:rPr>
                <w:sz w:val="20"/>
                <w:szCs w:val="20"/>
                <w:color w:val="auto"/>
              </w:rPr>
            </w:pPr>
          </w:p>
        </w:tc>
        <w:tc>
          <w:tcPr>
            <w:tcW w:w="1160" w:type="dxa"/>
            <w:vAlign w:val="bottom"/>
            <w:tcBorders>
              <w:bottom w:val="single" w:sz="8" w:color="auto"/>
            </w:tcBorders>
            <w:shd w:val="clear" w:color="auto" w:fill="CFF0FC"/>
          </w:tcPr>
          <w:p>
            <w:pPr>
              <w:jc w:val="right"/>
              <w:ind w:right="981"/>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2,703.9</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5782945</wp:posOffset>
            </wp:positionH>
            <wp:positionV relativeFrom="paragraph">
              <wp:posOffset>-4302760</wp:posOffset>
            </wp:positionV>
            <wp:extent cx="68580" cy="1454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-4302760</wp:posOffset>
            </wp:positionV>
            <wp:extent cx="68580" cy="1454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-2999740</wp:posOffset>
            </wp:positionV>
            <wp:extent cx="68580" cy="1454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-2999740</wp:posOffset>
            </wp:positionV>
            <wp:extent cx="68580" cy="1454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-1430655</wp:posOffset>
            </wp:positionV>
            <wp:extent cx="68580" cy="1460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-1430655</wp:posOffset>
            </wp:positionV>
            <wp:extent cx="68580" cy="1460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-890905</wp:posOffset>
            </wp:positionV>
            <wp:extent cx="1354455" cy="44577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354455" cy="44577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-24765</wp:posOffset>
            </wp:positionV>
            <wp:extent cx="6858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-7620</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SS&amp;C TECHNOLOGIES HOLDINGS, INC. AND SUBSIDIARIES</w:t>
      </w:r>
    </w:p>
    <w:p>
      <w:pPr>
        <w:spacing w:after="0" w:line="27" w:lineRule="exact"/>
        <w:rPr>
          <w:sz w:val="20"/>
          <w:szCs w:val="20"/>
          <w:color w:val="auto"/>
        </w:rPr>
      </w:pPr>
    </w:p>
    <w:p>
      <w:pPr>
        <w:ind w:right="3520"/>
        <w:spacing w:after="0" w:line="212" w:lineRule="auto"/>
        <w:rPr>
          <w:sz w:val="20"/>
          <w:szCs w:val="20"/>
          <w:color w:val="auto"/>
        </w:rPr>
      </w:pPr>
      <w:r>
        <w:rPr>
          <w:rFonts w:ascii="Arial" w:cs="Arial" w:eastAsia="Arial" w:hAnsi="Arial"/>
          <w:sz w:val="18"/>
          <w:szCs w:val="18"/>
          <w:b w:val="1"/>
          <w:bCs w:val="1"/>
          <w:color w:val="auto"/>
        </w:rPr>
        <w:t xml:space="preserve">CONDENSED CONSOLIDATED STATEMENTS OF CHANGES IN STOCKHOLDERS’ EQUITY </w:t>
      </w:r>
      <w:r>
        <w:rPr>
          <w:rFonts w:ascii="Arial" w:cs="Arial" w:eastAsia="Arial" w:hAnsi="Arial"/>
          <w:sz w:val="14"/>
          <w:szCs w:val="14"/>
          <w:b w:val="1"/>
          <w:bCs w:val="1"/>
          <w:color w:val="auto"/>
        </w:rPr>
        <w:t>(In millions) (Unaudited)</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68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8"/>
          </w:tcPr>
          <w:p>
            <w:pPr>
              <w:jc w:val="right"/>
              <w:spacing w:after="0"/>
              <w:rPr>
                <w:sz w:val="20"/>
                <w:szCs w:val="20"/>
                <w:color w:val="auto"/>
              </w:rPr>
            </w:pPr>
            <w:r>
              <w:rPr>
                <w:rFonts w:ascii="Arial" w:cs="Arial" w:eastAsia="Arial" w:hAnsi="Arial"/>
                <w:sz w:val="14"/>
                <w:szCs w:val="14"/>
                <w:b w:val="1"/>
                <w:bCs w:val="1"/>
                <w:color w:val="auto"/>
                <w:w w:val="96"/>
              </w:rPr>
              <w:t>Three Months Ended September 30, 2022</w:t>
            </w:r>
          </w:p>
        </w:tc>
        <w:tc>
          <w:tcPr>
            <w:tcW w:w="6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68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5"/>
          </w:tcPr>
          <w:p>
            <w:pPr>
              <w:jc w:val="right"/>
              <w:ind w:right="400"/>
              <w:spacing w:after="0"/>
              <w:rPr>
                <w:sz w:val="20"/>
                <w:szCs w:val="20"/>
                <w:color w:val="auto"/>
              </w:rPr>
            </w:pPr>
            <w:r>
              <w:rPr>
                <w:rFonts w:ascii="Arial" w:cs="Arial" w:eastAsia="Arial" w:hAnsi="Arial"/>
                <w:sz w:val="14"/>
                <w:szCs w:val="14"/>
                <w:b w:val="1"/>
                <w:bCs w:val="1"/>
                <w:color w:val="auto"/>
              </w:rPr>
              <w:t>SS&amp;C Stockholders</w:t>
            </w: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2680" w:type="dxa"/>
            <w:vAlign w:val="bottom"/>
          </w:tcPr>
          <w:p>
            <w:pPr>
              <w:spacing w:after="0"/>
              <w:rPr>
                <w:sz w:val="16"/>
                <w:szCs w:val="16"/>
                <w:color w:val="auto"/>
              </w:rPr>
            </w:pPr>
          </w:p>
        </w:tc>
        <w:tc>
          <w:tcPr>
            <w:tcW w:w="1520" w:type="dxa"/>
            <w:vAlign w:val="bottom"/>
            <w:gridSpan w:val="3"/>
          </w:tcPr>
          <w:p>
            <w:pPr>
              <w:jc w:val="right"/>
              <w:ind w:right="45"/>
              <w:spacing w:after="0"/>
              <w:rPr>
                <w:sz w:val="20"/>
                <w:szCs w:val="20"/>
                <w:color w:val="auto"/>
              </w:rPr>
            </w:pPr>
            <w:r>
              <w:rPr>
                <w:rFonts w:ascii="Arial" w:cs="Arial" w:eastAsia="Arial" w:hAnsi="Arial"/>
                <w:sz w:val="14"/>
                <w:szCs w:val="14"/>
                <w:b w:val="1"/>
                <w:bCs w:val="1"/>
                <w:color w:val="auto"/>
              </w:rPr>
              <w:t>Common Stock</w:t>
            </w:r>
          </w:p>
        </w:tc>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268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gridSpan w:val="2"/>
            <w:vMerge w:val="restart"/>
          </w:tcPr>
          <w:p>
            <w:pPr>
              <w:jc w:val="center"/>
              <w:ind w:right="279"/>
              <w:spacing w:after="0"/>
              <w:rPr>
                <w:sz w:val="20"/>
                <w:szCs w:val="20"/>
                <w:color w:val="auto"/>
              </w:rPr>
            </w:pPr>
            <w:r>
              <w:rPr>
                <w:rFonts w:ascii="Arial" w:cs="Arial" w:eastAsia="Arial" w:hAnsi="Arial"/>
                <w:sz w:val="14"/>
                <w:szCs w:val="14"/>
                <w:b w:val="1"/>
                <w:bCs w:val="1"/>
                <w:color w:val="auto"/>
                <w:w w:val="90"/>
              </w:rPr>
              <w:t>Accumulated</w:t>
            </w: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2680" w:type="dxa"/>
            <w:vAlign w:val="bottom"/>
          </w:tcPr>
          <w:p>
            <w:pPr>
              <w:spacing w:after="0"/>
              <w:rPr>
                <w:sz w:val="13"/>
                <w:szCs w:val="13"/>
                <w:color w:val="auto"/>
              </w:rPr>
            </w:pPr>
          </w:p>
        </w:tc>
        <w:tc>
          <w:tcPr>
            <w:tcW w:w="1000" w:type="dxa"/>
            <w:vAlign w:val="bottom"/>
          </w:tcPr>
          <w:p>
            <w:pPr>
              <w:jc w:val="center"/>
              <w:spacing w:after="0" w:line="160" w:lineRule="exact"/>
              <w:rPr>
                <w:sz w:val="20"/>
                <w:szCs w:val="20"/>
                <w:color w:val="auto"/>
              </w:rPr>
            </w:pPr>
            <w:r>
              <w:rPr>
                <w:rFonts w:ascii="Arial" w:cs="Arial" w:eastAsia="Arial" w:hAnsi="Arial"/>
                <w:sz w:val="14"/>
                <w:szCs w:val="14"/>
                <w:b w:val="1"/>
                <w:bCs w:val="1"/>
                <w:color w:val="auto"/>
                <w:w w:val="94"/>
              </w:rPr>
              <w:t>Number</w:t>
            </w: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268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0"/>
              </w:rPr>
              <w:t>of</w:t>
            </w: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Additional</w:t>
            </w: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tcPr>
          <w:p>
            <w:pPr>
              <w:jc w:val="center"/>
              <w:ind w:right="279"/>
              <w:spacing w:after="0"/>
              <w:rPr>
                <w:sz w:val="20"/>
                <w:szCs w:val="20"/>
                <w:color w:val="auto"/>
              </w:rPr>
            </w:pPr>
            <w:r>
              <w:rPr>
                <w:rFonts w:ascii="Arial" w:cs="Arial" w:eastAsia="Arial" w:hAnsi="Arial"/>
                <w:sz w:val="14"/>
                <w:szCs w:val="14"/>
                <w:b w:val="1"/>
                <w:bCs w:val="1"/>
                <w:color w:val="auto"/>
                <w:w w:val="96"/>
              </w:rPr>
              <w:t>Other</w:t>
            </w: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Noncontroll</w:t>
            </w:r>
          </w:p>
        </w:tc>
        <w:tc>
          <w:tcPr>
            <w:tcW w:w="180" w:type="dxa"/>
            <w:vAlign w:val="bottom"/>
          </w:tcPr>
          <w:p>
            <w:pPr>
              <w:spacing w:after="0"/>
              <w:rPr>
                <w:sz w:val="16"/>
                <w:szCs w:val="16"/>
                <w:color w:val="auto"/>
              </w:rPr>
            </w:pPr>
          </w:p>
        </w:tc>
        <w:tc>
          <w:tcPr>
            <w:tcW w:w="8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38"/>
        </w:trPr>
        <w:tc>
          <w:tcPr>
            <w:tcW w:w="2680" w:type="dxa"/>
            <w:vAlign w:val="bottom"/>
          </w:tcPr>
          <w:p>
            <w:pPr>
              <w:spacing w:after="0"/>
              <w:rPr>
                <w:sz w:val="11"/>
                <w:szCs w:val="11"/>
                <w:color w:val="auto"/>
              </w:rPr>
            </w:pPr>
          </w:p>
        </w:tc>
        <w:tc>
          <w:tcPr>
            <w:tcW w:w="10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5"/>
              </w:rPr>
              <w:t>Issued</w:t>
            </w: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restart"/>
          </w:tcPr>
          <w:p>
            <w:pPr>
              <w:jc w:val="center"/>
              <w:ind w:right="41"/>
              <w:spacing w:after="0"/>
              <w:rPr>
                <w:sz w:val="20"/>
                <w:szCs w:val="20"/>
                <w:color w:val="auto"/>
              </w:rPr>
            </w:pPr>
            <w:r>
              <w:rPr>
                <w:rFonts w:ascii="Arial" w:cs="Arial" w:eastAsia="Arial" w:hAnsi="Arial"/>
                <w:sz w:val="14"/>
                <w:szCs w:val="14"/>
                <w:b w:val="1"/>
                <w:bCs w:val="1"/>
                <w:color w:val="auto"/>
                <w:w w:val="94"/>
              </w:rPr>
              <w:t>Paid-in</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Retained</w:t>
            </w:r>
          </w:p>
        </w:tc>
        <w:tc>
          <w:tcPr>
            <w:tcW w:w="1340" w:type="dxa"/>
            <w:vAlign w:val="bottom"/>
            <w:gridSpan w:val="3"/>
            <w:vMerge w:val="restart"/>
          </w:tcPr>
          <w:p>
            <w:pPr>
              <w:jc w:val="center"/>
              <w:ind w:right="179"/>
              <w:spacing w:after="0"/>
              <w:rPr>
                <w:sz w:val="20"/>
                <w:szCs w:val="20"/>
                <w:color w:val="auto"/>
              </w:rPr>
            </w:pPr>
            <w:r>
              <w:rPr>
                <w:rFonts w:ascii="Arial" w:cs="Arial" w:eastAsia="Arial" w:hAnsi="Arial"/>
                <w:sz w:val="14"/>
                <w:szCs w:val="14"/>
                <w:b w:val="1"/>
                <w:bCs w:val="1"/>
                <w:color w:val="auto"/>
                <w:w w:val="91"/>
              </w:rPr>
              <w:t>Comprehensive</w:t>
            </w:r>
          </w:p>
        </w:tc>
        <w:tc>
          <w:tcPr>
            <w:tcW w:w="100" w:type="dxa"/>
            <w:vAlign w:val="bottom"/>
          </w:tcPr>
          <w:p>
            <w:pPr>
              <w:spacing w:after="0"/>
              <w:rPr>
                <w:sz w:val="11"/>
                <w:szCs w:val="11"/>
                <w:color w:val="auto"/>
              </w:rPr>
            </w:pPr>
          </w:p>
        </w:tc>
        <w:tc>
          <w:tcPr>
            <w:tcW w:w="920" w:type="dxa"/>
            <w:vAlign w:val="bottom"/>
            <w:gridSpan w:val="2"/>
            <w:vMerge w:val="restart"/>
          </w:tcPr>
          <w:p>
            <w:pPr>
              <w:jc w:val="center"/>
              <w:ind w:right="279"/>
              <w:spacing w:after="0"/>
              <w:rPr>
                <w:sz w:val="20"/>
                <w:szCs w:val="20"/>
                <w:color w:val="auto"/>
              </w:rPr>
            </w:pPr>
            <w:r>
              <w:rPr>
                <w:rFonts w:ascii="Arial" w:cs="Arial" w:eastAsia="Arial" w:hAnsi="Arial"/>
                <w:sz w:val="14"/>
                <w:szCs w:val="14"/>
                <w:b w:val="1"/>
                <w:bCs w:val="1"/>
                <w:color w:val="auto"/>
                <w:w w:val="94"/>
              </w:rPr>
              <w:t>Treasury</w:t>
            </w:r>
          </w:p>
        </w:tc>
        <w:tc>
          <w:tcPr>
            <w:tcW w:w="1020" w:type="dxa"/>
            <w:vAlign w:val="bottom"/>
            <w:gridSpan w:val="3"/>
            <w:vMerge w:val="continue"/>
          </w:tcPr>
          <w:p>
            <w:pPr>
              <w:spacing w:after="0"/>
              <w:rPr>
                <w:sz w:val="11"/>
                <w:szCs w:val="11"/>
                <w:color w:val="auto"/>
              </w:rPr>
            </w:pPr>
          </w:p>
        </w:tc>
        <w:tc>
          <w:tcPr>
            <w:tcW w:w="106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76"/>
        </w:trPr>
        <w:tc>
          <w:tcPr>
            <w:tcW w:w="268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134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5"/>
              </w:rPr>
              <w:t>ing</w:t>
            </w:r>
          </w:p>
        </w:tc>
        <w:tc>
          <w:tcPr>
            <w:tcW w:w="106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68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89"/>
              </w:rPr>
              <w:t>Shares</w:t>
            </w:r>
          </w:p>
        </w:tc>
        <w:tc>
          <w:tcPr>
            <w:tcW w:w="280" w:type="dxa"/>
            <w:vAlign w:val="bottom"/>
          </w:tcPr>
          <w:p>
            <w:pPr>
              <w:spacing w:after="0"/>
              <w:rPr>
                <w:sz w:val="16"/>
                <w:szCs w:val="16"/>
                <w:color w:val="auto"/>
              </w:rPr>
            </w:pPr>
          </w:p>
        </w:tc>
        <w:tc>
          <w:tcPr>
            <w:tcW w:w="820" w:type="dxa"/>
            <w:vAlign w:val="bottom"/>
            <w:gridSpan w:val="3"/>
          </w:tcPr>
          <w:p>
            <w:pPr>
              <w:ind w:left="2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6"/>
                <w:szCs w:val="16"/>
                <w:color w:val="auto"/>
              </w:rPr>
            </w:pPr>
          </w:p>
        </w:tc>
        <w:tc>
          <w:tcPr>
            <w:tcW w:w="640" w:type="dxa"/>
            <w:vAlign w:val="bottom"/>
          </w:tcPr>
          <w:p>
            <w:pPr>
              <w:jc w:val="center"/>
              <w:ind w:right="41"/>
              <w:spacing w:after="0"/>
              <w:rPr>
                <w:sz w:val="20"/>
                <w:szCs w:val="20"/>
                <w:color w:val="auto"/>
              </w:rPr>
            </w:pPr>
            <w:r>
              <w:rPr>
                <w:rFonts w:ascii="Arial" w:cs="Arial" w:eastAsia="Arial" w:hAnsi="Arial"/>
                <w:sz w:val="14"/>
                <w:szCs w:val="14"/>
                <w:b w:val="1"/>
                <w:bCs w:val="1"/>
                <w:color w:val="auto"/>
                <w:w w:val="94"/>
              </w:rPr>
              <w:t>Capital</w:t>
            </w: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gridSpan w:val="2"/>
          </w:tcPr>
          <w:p>
            <w:pPr>
              <w:ind w:left="20"/>
              <w:spacing w:after="0"/>
              <w:rPr>
                <w:sz w:val="20"/>
                <w:szCs w:val="20"/>
                <w:color w:val="auto"/>
              </w:rPr>
            </w:pPr>
            <w:r>
              <w:rPr>
                <w:rFonts w:ascii="Arial" w:cs="Arial" w:eastAsia="Arial" w:hAnsi="Arial"/>
                <w:sz w:val="14"/>
                <w:szCs w:val="14"/>
                <w:b w:val="1"/>
                <w:bCs w:val="1"/>
                <w:color w:val="auto"/>
              </w:rPr>
              <w:t>Earnings</w:t>
            </w:r>
          </w:p>
        </w:tc>
        <w:tc>
          <w:tcPr>
            <w:tcW w:w="100" w:type="dxa"/>
            <w:vAlign w:val="bottom"/>
          </w:tcPr>
          <w:p>
            <w:pPr>
              <w:spacing w:after="0"/>
              <w:rPr>
                <w:sz w:val="16"/>
                <w:szCs w:val="16"/>
                <w:color w:val="auto"/>
              </w:rPr>
            </w:pPr>
          </w:p>
        </w:tc>
        <w:tc>
          <w:tcPr>
            <w:tcW w:w="1240" w:type="dxa"/>
            <w:vAlign w:val="bottom"/>
            <w:gridSpan w:val="2"/>
          </w:tcPr>
          <w:p>
            <w:pPr>
              <w:jc w:val="center"/>
              <w:ind w:right="279"/>
              <w:spacing w:after="0"/>
              <w:rPr>
                <w:sz w:val="20"/>
                <w:szCs w:val="20"/>
                <w:color w:val="auto"/>
              </w:rPr>
            </w:pPr>
            <w:r>
              <w:rPr>
                <w:rFonts w:ascii="Arial" w:cs="Arial" w:eastAsia="Arial" w:hAnsi="Arial"/>
                <w:sz w:val="14"/>
                <w:szCs w:val="14"/>
                <w:b w:val="1"/>
                <w:bCs w:val="1"/>
                <w:color w:val="auto"/>
                <w:w w:val="92"/>
              </w:rPr>
              <w:t>(Loss) Income</w:t>
            </w:r>
          </w:p>
        </w:tc>
        <w:tc>
          <w:tcPr>
            <w:tcW w:w="100" w:type="dxa"/>
            <w:vAlign w:val="bottom"/>
          </w:tcPr>
          <w:p>
            <w:pPr>
              <w:spacing w:after="0"/>
              <w:rPr>
                <w:sz w:val="16"/>
                <w:szCs w:val="16"/>
                <w:color w:val="auto"/>
              </w:rPr>
            </w:pPr>
          </w:p>
        </w:tc>
        <w:tc>
          <w:tcPr>
            <w:tcW w:w="920" w:type="dxa"/>
            <w:vAlign w:val="bottom"/>
            <w:gridSpan w:val="2"/>
          </w:tcPr>
          <w:p>
            <w:pPr>
              <w:jc w:val="center"/>
              <w:ind w:right="279"/>
              <w:spacing w:after="0"/>
              <w:rPr>
                <w:sz w:val="20"/>
                <w:szCs w:val="20"/>
                <w:color w:val="auto"/>
              </w:rPr>
            </w:pPr>
            <w:r>
              <w:rPr>
                <w:rFonts w:ascii="Arial" w:cs="Arial" w:eastAsia="Arial" w:hAnsi="Arial"/>
                <w:sz w:val="14"/>
                <w:szCs w:val="14"/>
                <w:b w:val="1"/>
                <w:bCs w:val="1"/>
                <w:color w:val="auto"/>
                <w:w w:val="94"/>
              </w:rPr>
              <w:t>Stock</w:t>
            </w:r>
          </w:p>
        </w:tc>
        <w:tc>
          <w:tcPr>
            <w:tcW w:w="120" w:type="dxa"/>
            <w:vAlign w:val="bottom"/>
          </w:tcPr>
          <w:p>
            <w:pPr>
              <w:spacing w:after="0"/>
              <w:rPr>
                <w:sz w:val="16"/>
                <w:szCs w:val="16"/>
                <w:color w:val="auto"/>
              </w:rPr>
            </w:pPr>
          </w:p>
        </w:tc>
        <w:tc>
          <w:tcPr>
            <w:tcW w:w="9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Interest</w:t>
            </w:r>
          </w:p>
        </w:tc>
        <w:tc>
          <w:tcPr>
            <w:tcW w:w="180" w:type="dxa"/>
            <w:vAlign w:val="bottom"/>
          </w:tcPr>
          <w:p>
            <w:pPr>
              <w:spacing w:after="0"/>
              <w:rPr>
                <w:sz w:val="16"/>
                <w:szCs w:val="16"/>
                <w:color w:val="auto"/>
              </w:rPr>
            </w:pPr>
          </w:p>
        </w:tc>
        <w:tc>
          <w:tcPr>
            <w:tcW w:w="8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196"/>
        </w:trPr>
        <w:tc>
          <w:tcPr>
            <w:tcW w:w="2680" w:type="dxa"/>
            <w:vAlign w:val="bottom"/>
            <w:shd w:val="clear" w:color="auto" w:fill="CFF0FC"/>
          </w:tcPr>
          <w:p>
            <w:pPr>
              <w:ind w:left="20"/>
              <w:spacing w:after="0"/>
              <w:rPr>
                <w:sz w:val="20"/>
                <w:szCs w:val="20"/>
                <w:color w:val="auto"/>
              </w:rPr>
            </w:pPr>
            <w:r>
              <w:rPr>
                <w:rFonts w:ascii="Arial" w:cs="Arial" w:eastAsia="Arial" w:hAnsi="Arial"/>
                <w:sz w:val="16"/>
                <w:szCs w:val="16"/>
                <w:color w:val="auto"/>
              </w:rPr>
              <w:t>Balance, at June 30, 2022</w:t>
            </w:r>
          </w:p>
        </w:tc>
        <w:tc>
          <w:tcPr>
            <w:tcW w:w="1000" w:type="dxa"/>
            <w:vAlign w:val="bottom"/>
            <w:tcBorders>
              <w:top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270.3</w:t>
            </w:r>
          </w:p>
        </w:tc>
        <w:tc>
          <w:tcPr>
            <w:tcW w:w="280" w:type="dxa"/>
            <w:vAlign w:val="bottom"/>
            <w:tcBorders>
              <w:right w:val="single" w:sz="8" w:color="CFF0FC"/>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2.7</w:t>
            </w:r>
          </w:p>
        </w:tc>
        <w:tc>
          <w:tcPr>
            <w:tcW w:w="240" w:type="dxa"/>
            <w:vAlign w:val="bottom"/>
            <w:tcBorders>
              <w:right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5,039.3</w:t>
            </w:r>
          </w:p>
        </w:tc>
        <w:tc>
          <w:tcPr>
            <w:tcW w:w="260" w:type="dxa"/>
            <w:vAlign w:val="bottom"/>
            <w:tcBorders>
              <w:right w:val="single" w:sz="8" w:color="CFF0FC"/>
            </w:tcBorders>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2,473.3</w:t>
            </w:r>
          </w:p>
        </w:tc>
        <w:tc>
          <w:tcPr>
            <w:tcW w:w="240" w:type="dxa"/>
            <w:vAlign w:val="bottom"/>
            <w:tcBorders>
              <w:right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(505.0</w:t>
            </w:r>
          </w:p>
        </w:tc>
        <w:tc>
          <w:tcPr>
            <w:tcW w:w="24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(954.9</w:t>
            </w:r>
          </w:p>
        </w:tc>
        <w:tc>
          <w:tcPr>
            <w:tcW w:w="240" w:type="dxa"/>
            <w:vAlign w:val="bottom"/>
            <w:tcBorders>
              <w:right w:val="single" w:sz="8" w:color="CFF0FC"/>
            </w:tcBorders>
            <w:shd w:val="clear" w:color="auto" w:fill="CFF0FC"/>
          </w:tcPr>
          <w:p>
            <w:pPr>
              <w:jc w:val="right"/>
              <w:ind w:right="99"/>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6"/>
                <w:szCs w:val="16"/>
                <w:color w:val="auto"/>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56.7</w:t>
            </w:r>
          </w:p>
        </w:tc>
        <w:tc>
          <w:tcPr>
            <w:tcW w:w="240" w:type="dxa"/>
            <w:vAlign w:val="bottom"/>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jc w:val="right"/>
              <w:ind w:right="2"/>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6,112.1</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80" w:type="dxa"/>
            <w:vAlign w:val="bottom"/>
          </w:tcPr>
          <w:p>
            <w:pPr>
              <w:ind w:left="120"/>
              <w:spacing w:after="0"/>
              <w:rPr>
                <w:sz w:val="20"/>
                <w:szCs w:val="20"/>
                <w:color w:val="auto"/>
              </w:rPr>
            </w:pPr>
            <w:r>
              <w:rPr>
                <w:rFonts w:ascii="Arial" w:cs="Arial" w:eastAsia="Arial" w:hAnsi="Arial"/>
                <w:sz w:val="16"/>
                <w:szCs w:val="16"/>
                <w:color w:val="auto"/>
              </w:rPr>
              <w:t>Net income</w:t>
            </w: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160.0</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right"/>
              <w:ind w:right="17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920" w:type="dxa"/>
            <w:vAlign w:val="bottom"/>
            <w:gridSpan w:val="2"/>
          </w:tcPr>
          <w:p>
            <w:pPr>
              <w:jc w:val="right"/>
              <w:ind w:right="17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(0.2 )</w:t>
            </w: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159.8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2680" w:type="dxa"/>
            <w:vAlign w:val="bottom"/>
            <w:shd w:val="clear" w:color="auto" w:fill="CFF0FC"/>
          </w:tcPr>
          <w:p>
            <w:pPr>
              <w:ind w:left="120"/>
              <w:spacing w:after="0" w:line="152" w:lineRule="exact"/>
              <w:rPr>
                <w:sz w:val="20"/>
                <w:szCs w:val="20"/>
                <w:color w:val="auto"/>
              </w:rPr>
            </w:pPr>
            <w:r>
              <w:rPr>
                <w:rFonts w:ascii="Arial" w:cs="Arial" w:eastAsia="Arial" w:hAnsi="Arial"/>
                <w:sz w:val="16"/>
                <w:szCs w:val="16"/>
                <w:color w:val="auto"/>
              </w:rPr>
              <w:t>Foreign exchange translation</w:t>
            </w:r>
          </w:p>
        </w:tc>
        <w:tc>
          <w:tcPr>
            <w:tcW w:w="1000" w:type="dxa"/>
            <w:vAlign w:val="bottom"/>
            <w:tcBorders>
              <w:right w:val="single" w:sz="8" w:color="CFF0FC"/>
            </w:tcBorders>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right w:val="single" w:sz="8" w:color="CFF0FC"/>
            </w:tcBorders>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580" w:type="dxa"/>
            <w:vAlign w:val="bottom"/>
            <w:tcBorders>
              <w:right w:val="single" w:sz="8" w:color="CFF0FC"/>
            </w:tcBorders>
            <w:gridSpan w:val="2"/>
            <w:vMerge w:val="restart"/>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3"/>
                <w:szCs w:val="13"/>
                <w:color w:val="auto"/>
              </w:rPr>
            </w:pPr>
          </w:p>
        </w:tc>
        <w:tc>
          <w:tcPr>
            <w:tcW w:w="64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right w:val="single" w:sz="8" w:color="CFF0FC"/>
            </w:tcBorders>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40" w:type="dxa"/>
            <w:vAlign w:val="bottom"/>
            <w:tcBorders>
              <w:right w:val="single" w:sz="8" w:color="CFF0FC"/>
            </w:tcBorders>
            <w:gridSpan w:val="2"/>
            <w:vMerge w:val="restart"/>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3"/>
                <w:szCs w:val="13"/>
                <w:color w:val="auto"/>
              </w:rPr>
            </w:pPr>
          </w:p>
        </w:tc>
        <w:tc>
          <w:tcPr>
            <w:tcW w:w="1240" w:type="dxa"/>
            <w:vAlign w:val="bottom"/>
            <w:gridSpan w:val="2"/>
            <w:vMerge w:val="restart"/>
            <w:shd w:val="clear" w:color="auto" w:fill="CFF0FC"/>
          </w:tcPr>
          <w:p>
            <w:pPr>
              <w:jc w:val="right"/>
              <w:ind w:right="99"/>
              <w:spacing w:after="0"/>
              <w:rPr>
                <w:sz w:val="20"/>
                <w:szCs w:val="20"/>
                <w:color w:val="auto"/>
              </w:rPr>
            </w:pPr>
            <w:r>
              <w:rPr>
                <w:rFonts w:ascii="Arial" w:cs="Arial" w:eastAsia="Arial" w:hAnsi="Arial"/>
                <w:sz w:val="16"/>
                <w:szCs w:val="16"/>
                <w:color w:val="auto"/>
              </w:rPr>
              <w:t>(248.6 )</w:t>
            </w:r>
          </w:p>
        </w:tc>
        <w:tc>
          <w:tcPr>
            <w:tcW w:w="100" w:type="dxa"/>
            <w:vAlign w:val="bottom"/>
            <w:shd w:val="clear" w:color="auto" w:fill="CFF0FC"/>
          </w:tcPr>
          <w:p>
            <w:pPr>
              <w:spacing w:after="0"/>
              <w:rPr>
                <w:sz w:val="13"/>
                <w:szCs w:val="13"/>
                <w:color w:val="auto"/>
              </w:rPr>
            </w:pPr>
          </w:p>
        </w:tc>
        <w:tc>
          <w:tcPr>
            <w:tcW w:w="920" w:type="dxa"/>
            <w:vAlign w:val="bottom"/>
            <w:tcBorders>
              <w:right w:val="single" w:sz="8" w:color="CFF0FC"/>
            </w:tcBorders>
            <w:gridSpan w:val="2"/>
            <w:vMerge w:val="restart"/>
            <w:shd w:val="clear" w:color="auto" w:fill="CFF0FC"/>
          </w:tcPr>
          <w:p>
            <w:pPr>
              <w:jc w:val="right"/>
              <w:ind w:right="179"/>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3"/>
                <w:szCs w:val="13"/>
                <w:color w:val="auto"/>
              </w:rPr>
            </w:pPr>
          </w:p>
        </w:tc>
        <w:tc>
          <w:tcPr>
            <w:tcW w:w="900" w:type="dxa"/>
            <w:vAlign w:val="bottom"/>
            <w:gridSpan w:val="2"/>
            <w:vMerge w:val="restart"/>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3"/>
                <w:szCs w:val="13"/>
                <w:color w:val="auto"/>
              </w:rPr>
            </w:pPr>
          </w:p>
        </w:tc>
        <w:tc>
          <w:tcPr>
            <w:tcW w:w="880" w:type="dxa"/>
            <w:vAlign w:val="bottom"/>
            <w:gridSpan w:val="2"/>
            <w:vMerge w:val="restart"/>
            <w:shd w:val="clear" w:color="auto" w:fill="CFF0FC"/>
          </w:tcPr>
          <w:p>
            <w:pPr>
              <w:jc w:val="right"/>
              <w:ind w:right="40"/>
              <w:spacing w:after="0"/>
              <w:rPr>
                <w:sz w:val="20"/>
                <w:szCs w:val="20"/>
                <w:color w:val="auto"/>
              </w:rPr>
            </w:pPr>
            <w:r>
              <w:rPr>
                <w:rFonts w:ascii="Arial" w:cs="Arial" w:eastAsia="Arial" w:hAnsi="Arial"/>
                <w:sz w:val="16"/>
                <w:szCs w:val="16"/>
                <w:color w:val="auto"/>
              </w:rPr>
              <w:t>(248.6 )</w:t>
            </w:r>
          </w:p>
        </w:tc>
        <w:tc>
          <w:tcPr>
            <w:tcW w:w="0" w:type="dxa"/>
            <w:vAlign w:val="bottom"/>
          </w:tcPr>
          <w:p>
            <w:pPr>
              <w:spacing w:after="0"/>
              <w:rPr>
                <w:sz w:val="1"/>
                <w:szCs w:val="1"/>
                <w:color w:val="auto"/>
              </w:rPr>
            </w:pPr>
          </w:p>
        </w:tc>
      </w:tr>
      <w:tr>
        <w:trPr>
          <w:trHeight w:val="212"/>
        </w:trPr>
        <w:tc>
          <w:tcPr>
            <w:tcW w:w="2680" w:type="dxa"/>
            <w:vAlign w:val="bottom"/>
            <w:shd w:val="clear" w:color="auto" w:fill="CFF0FC"/>
          </w:tcPr>
          <w:p>
            <w:pPr>
              <w:ind w:left="120"/>
              <w:spacing w:after="0"/>
              <w:rPr>
                <w:sz w:val="20"/>
                <w:szCs w:val="20"/>
                <w:color w:val="auto"/>
              </w:rPr>
            </w:pPr>
            <w:r>
              <w:rPr>
                <w:rFonts w:ascii="Arial" w:cs="Arial" w:eastAsia="Arial" w:hAnsi="Arial"/>
                <w:sz w:val="16"/>
                <w:szCs w:val="16"/>
                <w:color w:val="auto"/>
              </w:rPr>
              <w:t>adjustment</w:t>
            </w:r>
          </w:p>
        </w:tc>
        <w:tc>
          <w:tcPr>
            <w:tcW w:w="1000" w:type="dxa"/>
            <w:vAlign w:val="bottom"/>
            <w:tcBorders>
              <w:right w:val="single" w:sz="8" w:color="CFF0FC"/>
            </w:tcBorders>
            <w:vMerge w:val="continue"/>
            <w:shd w:val="clear" w:color="auto" w:fill="CFF0FC"/>
          </w:tcPr>
          <w:p>
            <w:pPr>
              <w:spacing w:after="0"/>
              <w:rPr>
                <w:sz w:val="18"/>
                <w:szCs w:val="18"/>
                <w:color w:val="auto"/>
              </w:rPr>
            </w:pPr>
          </w:p>
        </w:tc>
        <w:tc>
          <w:tcPr>
            <w:tcW w:w="280" w:type="dxa"/>
            <w:vAlign w:val="bottom"/>
            <w:tcBorders>
              <w:right w:val="single" w:sz="8" w:color="CFF0FC"/>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80" w:type="dxa"/>
            <w:vAlign w:val="bottom"/>
            <w:tcBorders>
              <w:right w:val="single" w:sz="8" w:color="CFF0FC"/>
            </w:tcBorders>
            <w:gridSpan w:val="2"/>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40" w:type="dxa"/>
            <w:vAlign w:val="bottom"/>
            <w:vMerge w:val="continue"/>
            <w:shd w:val="clear" w:color="auto" w:fill="CFF0FC"/>
          </w:tcPr>
          <w:p>
            <w:pPr>
              <w:spacing w:after="0"/>
              <w:rPr>
                <w:sz w:val="18"/>
                <w:szCs w:val="18"/>
                <w:color w:val="auto"/>
              </w:rPr>
            </w:pPr>
          </w:p>
        </w:tc>
        <w:tc>
          <w:tcPr>
            <w:tcW w:w="260" w:type="dxa"/>
            <w:vAlign w:val="bottom"/>
            <w:tcBorders>
              <w:right w:val="single" w:sz="8" w:color="CFF0FC"/>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40" w:type="dxa"/>
            <w:vAlign w:val="bottom"/>
            <w:tcBorders>
              <w:right w:val="single" w:sz="8" w:color="CFF0FC"/>
            </w:tcBorders>
            <w:gridSpan w:val="2"/>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40" w:type="dxa"/>
            <w:vAlign w:val="bottom"/>
            <w:gridSpan w:val="2"/>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tcBorders>
              <w:right w:val="single" w:sz="8" w:color="CFF0FC"/>
            </w:tcBorders>
            <w:gridSpan w:val="2"/>
            <w:vMerge w:val="continue"/>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gridSpan w:val="2"/>
            <w:vMerge w:val="continue"/>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680" w:type="dxa"/>
            <w:vAlign w:val="bottom"/>
          </w:tcPr>
          <w:p>
            <w:pPr>
              <w:ind w:left="120"/>
              <w:spacing w:after="0"/>
              <w:rPr>
                <w:sz w:val="20"/>
                <w:szCs w:val="20"/>
                <w:color w:val="auto"/>
              </w:rPr>
            </w:pPr>
            <w:r>
              <w:rPr>
                <w:rFonts w:ascii="Arial" w:cs="Arial" w:eastAsia="Arial" w:hAnsi="Arial"/>
                <w:sz w:val="16"/>
                <w:szCs w:val="16"/>
                <w:color w:val="auto"/>
              </w:rPr>
              <w:t>Net change in interest rate swaps</w:t>
            </w: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3.3</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17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2680" w:type="dxa"/>
            <w:vAlign w:val="bottom"/>
            <w:shd w:val="clear" w:color="auto" w:fill="CFF0FC"/>
          </w:tcPr>
          <w:p>
            <w:pPr>
              <w:ind w:left="120"/>
              <w:spacing w:after="0" w:line="152" w:lineRule="exact"/>
              <w:rPr>
                <w:sz w:val="20"/>
                <w:szCs w:val="20"/>
                <w:color w:val="auto"/>
              </w:rPr>
            </w:pPr>
            <w:r>
              <w:rPr>
                <w:rFonts w:ascii="Arial" w:cs="Arial" w:eastAsia="Arial" w:hAnsi="Arial"/>
                <w:sz w:val="16"/>
                <w:szCs w:val="16"/>
                <w:color w:val="auto"/>
              </w:rPr>
              <w:t>Change in defined benefit plan</w:t>
            </w:r>
          </w:p>
        </w:tc>
        <w:tc>
          <w:tcPr>
            <w:tcW w:w="1000" w:type="dxa"/>
            <w:vAlign w:val="bottom"/>
            <w:tcBorders>
              <w:right w:val="single" w:sz="8" w:color="CFF0FC"/>
            </w:tcBorders>
            <w:shd w:val="clear" w:color="auto" w:fill="CFF0FC"/>
          </w:tcPr>
          <w:p>
            <w:pPr>
              <w:spacing w:after="0"/>
              <w:rPr>
                <w:sz w:val="13"/>
                <w:szCs w:val="13"/>
                <w:color w:val="auto"/>
              </w:rPr>
            </w:pPr>
          </w:p>
        </w:tc>
        <w:tc>
          <w:tcPr>
            <w:tcW w:w="280" w:type="dxa"/>
            <w:vAlign w:val="bottom"/>
            <w:tcBorders>
              <w:right w:val="single" w:sz="8" w:color="CFF0FC"/>
            </w:tcBorders>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340" w:type="dxa"/>
            <w:vAlign w:val="bottom"/>
            <w:tcBorders>
              <w:right w:val="single" w:sz="8" w:color="CFF0FC"/>
            </w:tcBorders>
            <w:shd w:val="clear" w:color="auto" w:fill="CFF0FC"/>
          </w:tcPr>
          <w:p>
            <w:pPr>
              <w:spacing w:after="0"/>
              <w:rPr>
                <w:sz w:val="13"/>
                <w:szCs w:val="13"/>
                <w:color w:val="auto"/>
              </w:rPr>
            </w:pPr>
          </w:p>
        </w:tc>
        <w:tc>
          <w:tcPr>
            <w:tcW w:w="240" w:type="dxa"/>
            <w:vAlign w:val="bottom"/>
            <w:tcBorders>
              <w:right w:val="single" w:sz="8" w:color="CFF0FC"/>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260" w:type="dxa"/>
            <w:vAlign w:val="bottom"/>
            <w:tcBorders>
              <w:right w:val="single" w:sz="8" w:color="CFF0FC"/>
            </w:tcBorders>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00" w:type="dxa"/>
            <w:vAlign w:val="bottom"/>
            <w:tcBorders>
              <w:right w:val="single" w:sz="8" w:color="CFF0FC"/>
            </w:tcBorders>
            <w:shd w:val="clear" w:color="auto" w:fill="CFF0FC"/>
          </w:tcPr>
          <w:p>
            <w:pPr>
              <w:spacing w:after="0"/>
              <w:rPr>
                <w:sz w:val="13"/>
                <w:szCs w:val="13"/>
                <w:color w:val="auto"/>
              </w:rPr>
            </w:pPr>
          </w:p>
        </w:tc>
        <w:tc>
          <w:tcPr>
            <w:tcW w:w="240" w:type="dxa"/>
            <w:vAlign w:val="bottom"/>
            <w:tcBorders>
              <w:right w:val="single" w:sz="8" w:color="CFF0FC"/>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80" w:type="dxa"/>
            <w:vAlign w:val="bottom"/>
            <w:tcBorders>
              <w:right w:val="single" w:sz="8" w:color="CFF0FC"/>
            </w:tcBorders>
            <w:shd w:val="clear" w:color="auto" w:fill="CFF0FC"/>
          </w:tcPr>
          <w:p>
            <w:pPr>
              <w:spacing w:after="0"/>
              <w:rPr>
                <w:sz w:val="13"/>
                <w:szCs w:val="13"/>
                <w:color w:val="auto"/>
              </w:rPr>
            </w:pPr>
          </w:p>
        </w:tc>
        <w:tc>
          <w:tcPr>
            <w:tcW w:w="240" w:type="dxa"/>
            <w:vAlign w:val="bottom"/>
            <w:tcBorders>
              <w:right w:val="single" w:sz="8" w:color="CFF0FC"/>
            </w:tcBorders>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2680" w:type="dxa"/>
            <w:vAlign w:val="bottom"/>
            <w:shd w:val="clear" w:color="auto" w:fill="CFF0FC"/>
          </w:tcPr>
          <w:p>
            <w:pPr>
              <w:ind w:left="120"/>
              <w:spacing w:after="0"/>
              <w:rPr>
                <w:sz w:val="20"/>
                <w:szCs w:val="20"/>
                <w:color w:val="auto"/>
              </w:rPr>
            </w:pPr>
            <w:r>
              <w:rPr>
                <w:rFonts w:ascii="Arial" w:cs="Arial" w:eastAsia="Arial" w:hAnsi="Arial"/>
                <w:sz w:val="16"/>
                <w:szCs w:val="16"/>
                <w:color w:val="auto"/>
              </w:rPr>
              <w:t>obligation</w:t>
            </w:r>
          </w:p>
        </w:tc>
        <w:tc>
          <w:tcPr>
            <w:tcW w:w="10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right w:val="single" w:sz="8" w:color="CFF0FC"/>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80" w:type="dxa"/>
            <w:vAlign w:val="bottom"/>
            <w:tcBorders>
              <w:right w:val="single" w:sz="8" w:color="CFF0FC"/>
            </w:tcBorders>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right w:val="single" w:sz="8" w:color="CFF0FC"/>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40" w:type="dxa"/>
            <w:vAlign w:val="bottom"/>
            <w:tcBorders>
              <w:right w:val="single" w:sz="8" w:color="CFF0FC"/>
            </w:tcBorders>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79"/>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c>
          <w:tcPr>
            <w:tcW w:w="920" w:type="dxa"/>
            <w:vAlign w:val="bottom"/>
            <w:tcBorders>
              <w:right w:val="single" w:sz="8" w:color="CFF0FC"/>
            </w:tcBorders>
            <w:gridSpan w:val="2"/>
            <w:shd w:val="clear" w:color="auto" w:fill="CFF0FC"/>
          </w:tcPr>
          <w:p>
            <w:pPr>
              <w:jc w:val="right"/>
              <w:ind w:right="179"/>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2680" w:type="dxa"/>
            <w:vAlign w:val="bottom"/>
          </w:tcPr>
          <w:p>
            <w:pPr>
              <w:ind w:left="120"/>
              <w:spacing w:after="0"/>
              <w:rPr>
                <w:sz w:val="20"/>
                <w:szCs w:val="20"/>
                <w:color w:val="auto"/>
              </w:rPr>
            </w:pPr>
            <w:r>
              <w:rPr>
                <w:rFonts w:ascii="Arial" w:cs="Arial" w:eastAsia="Arial" w:hAnsi="Arial"/>
                <w:sz w:val="16"/>
                <w:szCs w:val="16"/>
                <w:color w:val="auto"/>
                <w:w w:val="98"/>
              </w:rPr>
              <w:t>Stock-based compensation expense</w:t>
            </w: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7.4</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240" w:type="dxa"/>
            <w:vAlign w:val="bottom"/>
            <w:gridSpan w:val="2"/>
          </w:tcPr>
          <w:p>
            <w:pPr>
              <w:jc w:val="right"/>
              <w:ind w:right="17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920" w:type="dxa"/>
            <w:vAlign w:val="bottom"/>
            <w:gridSpan w:val="2"/>
          </w:tcPr>
          <w:p>
            <w:pPr>
              <w:jc w:val="right"/>
              <w:ind w:right="17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2680" w:type="dxa"/>
            <w:vAlign w:val="bottom"/>
            <w:shd w:val="clear" w:color="auto" w:fill="CFF0FC"/>
          </w:tcPr>
          <w:p>
            <w:pPr>
              <w:ind w:left="120"/>
              <w:spacing w:after="0" w:line="152" w:lineRule="exact"/>
              <w:rPr>
                <w:sz w:val="20"/>
                <w:szCs w:val="20"/>
                <w:color w:val="auto"/>
              </w:rPr>
            </w:pPr>
            <w:r>
              <w:rPr>
                <w:rFonts w:ascii="Arial" w:cs="Arial" w:eastAsia="Arial" w:hAnsi="Arial"/>
                <w:sz w:val="16"/>
                <w:szCs w:val="16"/>
                <w:color w:val="auto"/>
              </w:rPr>
              <w:t>Exercise of options, net of</w:t>
            </w:r>
          </w:p>
        </w:tc>
        <w:tc>
          <w:tcPr>
            <w:tcW w:w="1000" w:type="dxa"/>
            <w:vAlign w:val="bottom"/>
            <w:tcBorders>
              <w:right w:val="single" w:sz="8" w:color="CFF0FC"/>
            </w:tcBorders>
            <w:vMerge w:val="restart"/>
            <w:shd w:val="clear" w:color="auto" w:fill="CFF0FC"/>
          </w:tcPr>
          <w:p>
            <w:pPr>
              <w:jc w:val="right"/>
              <w:spacing w:after="0"/>
              <w:rPr>
                <w:sz w:val="20"/>
                <w:szCs w:val="20"/>
                <w:color w:val="auto"/>
              </w:rPr>
            </w:pPr>
            <w:r>
              <w:rPr>
                <w:rFonts w:ascii="Arial" w:cs="Arial" w:eastAsia="Arial" w:hAnsi="Arial"/>
                <w:sz w:val="16"/>
                <w:szCs w:val="16"/>
                <w:color w:val="auto"/>
              </w:rPr>
              <w:t>0.7</w:t>
            </w:r>
          </w:p>
        </w:tc>
        <w:tc>
          <w:tcPr>
            <w:tcW w:w="280" w:type="dxa"/>
            <w:vAlign w:val="bottom"/>
            <w:tcBorders>
              <w:right w:val="single" w:sz="8" w:color="CFF0FC"/>
            </w:tcBorders>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580" w:type="dxa"/>
            <w:vAlign w:val="bottom"/>
            <w:tcBorders>
              <w:right w:val="single" w:sz="8" w:color="CFF0FC"/>
            </w:tcBorders>
            <w:gridSpan w:val="2"/>
            <w:vMerge w:val="restart"/>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3"/>
                <w:szCs w:val="13"/>
                <w:color w:val="auto"/>
              </w:rPr>
            </w:pPr>
          </w:p>
        </w:tc>
        <w:tc>
          <w:tcPr>
            <w:tcW w:w="64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15.0</w:t>
            </w:r>
          </w:p>
        </w:tc>
        <w:tc>
          <w:tcPr>
            <w:tcW w:w="260" w:type="dxa"/>
            <w:vAlign w:val="bottom"/>
            <w:tcBorders>
              <w:right w:val="single" w:sz="8" w:color="CFF0FC"/>
            </w:tcBorders>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40" w:type="dxa"/>
            <w:vAlign w:val="bottom"/>
            <w:tcBorders>
              <w:right w:val="single" w:sz="8" w:color="CFF0FC"/>
            </w:tcBorders>
            <w:gridSpan w:val="2"/>
            <w:vMerge w:val="restart"/>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3"/>
                <w:szCs w:val="13"/>
                <w:color w:val="auto"/>
              </w:rPr>
            </w:pPr>
          </w:p>
        </w:tc>
        <w:tc>
          <w:tcPr>
            <w:tcW w:w="1240" w:type="dxa"/>
            <w:vAlign w:val="bottom"/>
            <w:gridSpan w:val="2"/>
            <w:vMerge w:val="restart"/>
            <w:shd w:val="clear" w:color="auto" w:fill="CFF0FC"/>
          </w:tcPr>
          <w:p>
            <w:pPr>
              <w:jc w:val="right"/>
              <w:ind w:right="179"/>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3"/>
                <w:szCs w:val="13"/>
                <w:color w:val="auto"/>
              </w:rPr>
            </w:pPr>
          </w:p>
        </w:tc>
        <w:tc>
          <w:tcPr>
            <w:tcW w:w="920" w:type="dxa"/>
            <w:vAlign w:val="bottom"/>
            <w:tcBorders>
              <w:right w:val="single" w:sz="8" w:color="CFF0FC"/>
            </w:tcBorders>
            <w:gridSpan w:val="2"/>
            <w:vMerge w:val="restart"/>
            <w:shd w:val="clear" w:color="auto" w:fill="CFF0FC"/>
          </w:tcPr>
          <w:p>
            <w:pPr>
              <w:jc w:val="right"/>
              <w:ind w:right="179"/>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3"/>
                <w:szCs w:val="13"/>
                <w:color w:val="auto"/>
              </w:rPr>
            </w:pPr>
          </w:p>
        </w:tc>
        <w:tc>
          <w:tcPr>
            <w:tcW w:w="900" w:type="dxa"/>
            <w:vAlign w:val="bottom"/>
            <w:gridSpan w:val="2"/>
            <w:vMerge w:val="restart"/>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3"/>
                <w:szCs w:val="13"/>
                <w:color w:val="auto"/>
              </w:rPr>
            </w:pPr>
          </w:p>
        </w:tc>
        <w:tc>
          <w:tcPr>
            <w:tcW w:w="78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15.0</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2680" w:type="dxa"/>
            <w:vAlign w:val="bottom"/>
            <w:shd w:val="clear" w:color="auto" w:fill="CFF0FC"/>
          </w:tcPr>
          <w:p>
            <w:pPr>
              <w:ind w:left="120"/>
              <w:spacing w:after="0"/>
              <w:rPr>
                <w:sz w:val="20"/>
                <w:szCs w:val="20"/>
                <w:color w:val="auto"/>
              </w:rPr>
            </w:pPr>
            <w:r>
              <w:rPr>
                <w:rFonts w:ascii="Arial" w:cs="Arial" w:eastAsia="Arial" w:hAnsi="Arial"/>
                <w:sz w:val="16"/>
                <w:szCs w:val="16"/>
                <w:color w:val="auto"/>
              </w:rPr>
              <w:t>withholding taxes</w:t>
            </w:r>
          </w:p>
        </w:tc>
        <w:tc>
          <w:tcPr>
            <w:tcW w:w="1000" w:type="dxa"/>
            <w:vAlign w:val="bottom"/>
            <w:tcBorders>
              <w:right w:val="single" w:sz="8" w:color="CFF0FC"/>
            </w:tcBorders>
            <w:vMerge w:val="continue"/>
            <w:shd w:val="clear" w:color="auto" w:fill="CFF0FC"/>
          </w:tcPr>
          <w:p>
            <w:pPr>
              <w:spacing w:after="0"/>
              <w:rPr>
                <w:sz w:val="18"/>
                <w:szCs w:val="18"/>
                <w:color w:val="auto"/>
              </w:rPr>
            </w:pPr>
          </w:p>
        </w:tc>
        <w:tc>
          <w:tcPr>
            <w:tcW w:w="280" w:type="dxa"/>
            <w:vAlign w:val="bottom"/>
            <w:tcBorders>
              <w:right w:val="single" w:sz="8" w:color="CFF0FC"/>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80" w:type="dxa"/>
            <w:vAlign w:val="bottom"/>
            <w:tcBorders>
              <w:right w:val="single" w:sz="8" w:color="CFF0FC"/>
            </w:tcBorders>
            <w:gridSpan w:val="2"/>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40" w:type="dxa"/>
            <w:vAlign w:val="bottom"/>
            <w:vMerge w:val="continue"/>
            <w:shd w:val="clear" w:color="auto" w:fill="CFF0FC"/>
          </w:tcPr>
          <w:p>
            <w:pPr>
              <w:spacing w:after="0"/>
              <w:rPr>
                <w:sz w:val="18"/>
                <w:szCs w:val="18"/>
                <w:color w:val="auto"/>
              </w:rPr>
            </w:pPr>
          </w:p>
        </w:tc>
        <w:tc>
          <w:tcPr>
            <w:tcW w:w="260" w:type="dxa"/>
            <w:vAlign w:val="bottom"/>
            <w:tcBorders>
              <w:right w:val="single" w:sz="8" w:color="CFF0FC"/>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40" w:type="dxa"/>
            <w:vAlign w:val="bottom"/>
            <w:tcBorders>
              <w:right w:val="single" w:sz="8" w:color="CFF0FC"/>
            </w:tcBorders>
            <w:gridSpan w:val="2"/>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40" w:type="dxa"/>
            <w:vAlign w:val="bottom"/>
            <w:gridSpan w:val="2"/>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tcBorders>
              <w:right w:val="single" w:sz="8" w:color="CFF0FC"/>
            </w:tcBorders>
            <w:gridSpan w:val="2"/>
            <w:vMerge w:val="continue"/>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gridSpan w:val="2"/>
            <w:vMerge w:val="continue"/>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680" w:type="dxa"/>
            <w:vAlign w:val="bottom"/>
          </w:tcPr>
          <w:p>
            <w:pPr>
              <w:ind w:left="120"/>
              <w:spacing w:after="0"/>
              <w:rPr>
                <w:sz w:val="20"/>
                <w:szCs w:val="20"/>
                <w:color w:val="auto"/>
              </w:rPr>
            </w:pPr>
            <w:r>
              <w:rPr>
                <w:rFonts w:ascii="Arial" w:cs="Arial" w:eastAsia="Arial" w:hAnsi="Arial"/>
                <w:sz w:val="16"/>
                <w:szCs w:val="16"/>
                <w:color w:val="auto"/>
              </w:rPr>
              <w:t>Purchases of common stock</w:t>
            </w: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240" w:type="dxa"/>
            <w:vAlign w:val="bottom"/>
            <w:gridSpan w:val="2"/>
          </w:tcPr>
          <w:p>
            <w:pPr>
              <w:jc w:val="right"/>
              <w:ind w:right="17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920" w:type="dxa"/>
            <w:vAlign w:val="bottom"/>
            <w:gridSpan w:val="2"/>
          </w:tcPr>
          <w:p>
            <w:pPr>
              <w:jc w:val="right"/>
              <w:ind w:right="99"/>
              <w:spacing w:after="0"/>
              <w:rPr>
                <w:sz w:val="20"/>
                <w:szCs w:val="20"/>
                <w:color w:val="auto"/>
              </w:rPr>
            </w:pPr>
            <w:r>
              <w:rPr>
                <w:rFonts w:ascii="Arial" w:cs="Arial" w:eastAsia="Arial" w:hAnsi="Arial"/>
                <w:sz w:val="16"/>
                <w:szCs w:val="16"/>
                <w:color w:val="auto"/>
              </w:rPr>
              <w:t>(214.5 )</w:t>
            </w:r>
          </w:p>
        </w:tc>
        <w:tc>
          <w:tcPr>
            <w:tcW w:w="120" w:type="dxa"/>
            <w:vAlign w:val="bottom"/>
          </w:tcPr>
          <w:p>
            <w:pPr>
              <w:spacing w:after="0"/>
              <w:rPr>
                <w:sz w:val="17"/>
                <w:szCs w:val="17"/>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6"/>
                <w:szCs w:val="16"/>
                <w:color w:val="auto"/>
              </w:rPr>
              <w:t>(214.5 )</w:t>
            </w:r>
          </w:p>
        </w:tc>
        <w:tc>
          <w:tcPr>
            <w:tcW w:w="0" w:type="dxa"/>
            <w:vAlign w:val="bottom"/>
          </w:tcPr>
          <w:p>
            <w:pPr>
              <w:spacing w:after="0"/>
              <w:rPr>
                <w:sz w:val="1"/>
                <w:szCs w:val="1"/>
                <w:color w:val="auto"/>
              </w:rPr>
            </w:pPr>
          </w:p>
        </w:tc>
      </w:tr>
      <w:tr>
        <w:trPr>
          <w:trHeight w:val="152"/>
        </w:trPr>
        <w:tc>
          <w:tcPr>
            <w:tcW w:w="2680" w:type="dxa"/>
            <w:vAlign w:val="bottom"/>
            <w:shd w:val="clear" w:color="auto" w:fill="CFF0FC"/>
          </w:tcPr>
          <w:p>
            <w:pPr>
              <w:ind w:left="120"/>
              <w:spacing w:after="0" w:line="152" w:lineRule="exact"/>
              <w:rPr>
                <w:sz w:val="20"/>
                <w:szCs w:val="20"/>
                <w:color w:val="auto"/>
              </w:rPr>
            </w:pPr>
            <w:r>
              <w:rPr>
                <w:rFonts w:ascii="Arial" w:cs="Arial" w:eastAsia="Arial" w:hAnsi="Arial"/>
                <w:sz w:val="16"/>
                <w:szCs w:val="16"/>
                <w:color w:val="auto"/>
                <w:w w:val="98"/>
              </w:rPr>
              <w:t>Cash dividends declared - $0.20 per</w:t>
            </w:r>
          </w:p>
        </w:tc>
        <w:tc>
          <w:tcPr>
            <w:tcW w:w="1000" w:type="dxa"/>
            <w:vAlign w:val="bottom"/>
            <w:tcBorders>
              <w:right w:val="single" w:sz="8" w:color="CFF0FC"/>
            </w:tcBorders>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right w:val="single" w:sz="8" w:color="CFF0FC"/>
            </w:tcBorders>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340" w:type="dxa"/>
            <w:vAlign w:val="bottom"/>
            <w:tcBorders>
              <w:right w:val="single" w:sz="8" w:color="CFF0FC"/>
            </w:tcBorders>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right w:val="single" w:sz="8" w:color="CFF0FC"/>
            </w:tcBorders>
            <w:vMerge w:val="restart"/>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4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right w:val="single" w:sz="8" w:color="CFF0FC"/>
            </w:tcBorders>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40" w:type="dxa"/>
            <w:vAlign w:val="bottom"/>
            <w:tcBorders>
              <w:right w:val="single" w:sz="8" w:color="CFF0FC"/>
            </w:tcBorders>
            <w:gridSpan w:val="2"/>
            <w:vMerge w:val="restart"/>
            <w:shd w:val="clear" w:color="auto" w:fill="CFF0FC"/>
          </w:tcPr>
          <w:p>
            <w:pPr>
              <w:jc w:val="right"/>
              <w:ind w:right="200"/>
              <w:spacing w:after="0"/>
              <w:rPr>
                <w:sz w:val="20"/>
                <w:szCs w:val="20"/>
                <w:color w:val="auto"/>
              </w:rPr>
            </w:pPr>
            <w:r>
              <w:rPr>
                <w:rFonts w:ascii="Arial" w:cs="Arial" w:eastAsia="Arial" w:hAnsi="Arial"/>
                <w:sz w:val="16"/>
                <w:szCs w:val="16"/>
                <w:color w:val="auto"/>
              </w:rPr>
              <w:t>(51.0 )</w:t>
            </w:r>
          </w:p>
        </w:tc>
        <w:tc>
          <w:tcPr>
            <w:tcW w:w="100" w:type="dxa"/>
            <w:vAlign w:val="bottom"/>
            <w:shd w:val="clear" w:color="auto" w:fill="CFF0FC"/>
          </w:tcPr>
          <w:p>
            <w:pPr>
              <w:spacing w:after="0"/>
              <w:rPr>
                <w:sz w:val="13"/>
                <w:szCs w:val="13"/>
                <w:color w:val="auto"/>
              </w:rPr>
            </w:pPr>
          </w:p>
        </w:tc>
        <w:tc>
          <w:tcPr>
            <w:tcW w:w="1240" w:type="dxa"/>
            <w:vAlign w:val="bottom"/>
            <w:gridSpan w:val="2"/>
            <w:vMerge w:val="restart"/>
            <w:shd w:val="clear" w:color="auto" w:fill="CFF0FC"/>
          </w:tcPr>
          <w:p>
            <w:pPr>
              <w:jc w:val="right"/>
              <w:ind w:right="179"/>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3"/>
                <w:szCs w:val="13"/>
                <w:color w:val="auto"/>
              </w:rPr>
            </w:pPr>
          </w:p>
        </w:tc>
        <w:tc>
          <w:tcPr>
            <w:tcW w:w="920" w:type="dxa"/>
            <w:vAlign w:val="bottom"/>
            <w:tcBorders>
              <w:right w:val="single" w:sz="8" w:color="CFF0FC"/>
            </w:tcBorders>
            <w:gridSpan w:val="2"/>
            <w:vMerge w:val="restart"/>
            <w:shd w:val="clear" w:color="auto" w:fill="CFF0FC"/>
          </w:tcPr>
          <w:p>
            <w:pPr>
              <w:jc w:val="right"/>
              <w:ind w:right="179"/>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3"/>
                <w:szCs w:val="13"/>
                <w:color w:val="auto"/>
              </w:rPr>
            </w:pPr>
          </w:p>
        </w:tc>
        <w:tc>
          <w:tcPr>
            <w:tcW w:w="900" w:type="dxa"/>
            <w:vAlign w:val="bottom"/>
            <w:gridSpan w:val="2"/>
            <w:vMerge w:val="restart"/>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3"/>
                <w:szCs w:val="13"/>
                <w:color w:val="auto"/>
              </w:rPr>
            </w:pPr>
          </w:p>
        </w:tc>
        <w:tc>
          <w:tcPr>
            <w:tcW w:w="880" w:type="dxa"/>
            <w:vAlign w:val="bottom"/>
            <w:gridSpan w:val="2"/>
            <w:vMerge w:val="restart"/>
            <w:shd w:val="clear" w:color="auto" w:fill="CFF0FC"/>
          </w:tcPr>
          <w:p>
            <w:pPr>
              <w:jc w:val="right"/>
              <w:ind w:right="40"/>
              <w:spacing w:after="0"/>
              <w:rPr>
                <w:sz w:val="20"/>
                <w:szCs w:val="20"/>
                <w:color w:val="auto"/>
              </w:rPr>
            </w:pPr>
            <w:r>
              <w:rPr>
                <w:rFonts w:ascii="Arial" w:cs="Arial" w:eastAsia="Arial" w:hAnsi="Arial"/>
                <w:sz w:val="16"/>
                <w:szCs w:val="16"/>
                <w:color w:val="auto"/>
              </w:rPr>
              <w:t>(51.0 )</w:t>
            </w:r>
          </w:p>
        </w:tc>
        <w:tc>
          <w:tcPr>
            <w:tcW w:w="0" w:type="dxa"/>
            <w:vAlign w:val="bottom"/>
          </w:tcPr>
          <w:p>
            <w:pPr>
              <w:spacing w:after="0"/>
              <w:rPr>
                <w:sz w:val="1"/>
                <w:szCs w:val="1"/>
                <w:color w:val="auto"/>
              </w:rPr>
            </w:pPr>
          </w:p>
        </w:tc>
      </w:tr>
      <w:tr>
        <w:trPr>
          <w:trHeight w:val="199"/>
        </w:trPr>
        <w:tc>
          <w:tcPr>
            <w:tcW w:w="2680" w:type="dxa"/>
            <w:vAlign w:val="bottom"/>
            <w:shd w:val="clear" w:color="auto" w:fill="CFF0FC"/>
          </w:tcPr>
          <w:p>
            <w:pPr>
              <w:ind w:left="120"/>
              <w:spacing w:after="0"/>
              <w:rPr>
                <w:sz w:val="20"/>
                <w:szCs w:val="20"/>
                <w:color w:val="auto"/>
              </w:rPr>
            </w:pPr>
            <w:r>
              <w:rPr>
                <w:rFonts w:ascii="Arial" w:cs="Arial" w:eastAsia="Arial" w:hAnsi="Arial"/>
                <w:sz w:val="16"/>
                <w:szCs w:val="16"/>
                <w:color w:val="auto"/>
              </w:rPr>
              <w:t>share</w:t>
            </w:r>
          </w:p>
        </w:tc>
        <w:tc>
          <w:tcPr>
            <w:tcW w:w="1000" w:type="dxa"/>
            <w:vAlign w:val="bottom"/>
            <w:tcBorders>
              <w:right w:val="single" w:sz="8" w:color="CFF0FC"/>
            </w:tcBorders>
            <w:vMerge w:val="continue"/>
            <w:shd w:val="clear" w:color="auto" w:fill="CFF0FC"/>
          </w:tcPr>
          <w:p>
            <w:pPr>
              <w:spacing w:after="0"/>
              <w:rPr>
                <w:sz w:val="17"/>
                <w:szCs w:val="17"/>
                <w:color w:val="auto"/>
              </w:rPr>
            </w:pPr>
          </w:p>
        </w:tc>
        <w:tc>
          <w:tcPr>
            <w:tcW w:w="280" w:type="dxa"/>
            <w:vAlign w:val="bottom"/>
            <w:tcBorders>
              <w:right w:val="single" w:sz="8" w:color="CFF0FC"/>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40" w:type="dxa"/>
            <w:vAlign w:val="bottom"/>
            <w:tcBorders>
              <w:right w:val="single" w:sz="8" w:color="CFF0FC"/>
            </w:tcBorders>
            <w:vMerge w:val="continue"/>
            <w:shd w:val="clear" w:color="auto" w:fill="CFF0FC"/>
          </w:tcPr>
          <w:p>
            <w:pPr>
              <w:spacing w:after="0"/>
              <w:rPr>
                <w:sz w:val="17"/>
                <w:szCs w:val="17"/>
                <w:color w:val="auto"/>
              </w:rPr>
            </w:pPr>
          </w:p>
        </w:tc>
        <w:tc>
          <w:tcPr>
            <w:tcW w:w="240" w:type="dxa"/>
            <w:vAlign w:val="bottom"/>
            <w:tcBorders>
              <w:right w:val="single" w:sz="8" w:color="CFF0FC"/>
            </w:tcBorders>
            <w:vMerge w:val="continue"/>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40" w:type="dxa"/>
            <w:vAlign w:val="bottom"/>
            <w:vMerge w:val="continue"/>
            <w:shd w:val="clear" w:color="auto" w:fill="CFF0FC"/>
          </w:tcPr>
          <w:p>
            <w:pPr>
              <w:spacing w:after="0"/>
              <w:rPr>
                <w:sz w:val="17"/>
                <w:szCs w:val="17"/>
                <w:color w:val="auto"/>
              </w:rPr>
            </w:pPr>
          </w:p>
        </w:tc>
        <w:tc>
          <w:tcPr>
            <w:tcW w:w="260" w:type="dxa"/>
            <w:vAlign w:val="bottom"/>
            <w:tcBorders>
              <w:right w:val="single" w:sz="8" w:color="CFF0FC"/>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40" w:type="dxa"/>
            <w:vAlign w:val="bottom"/>
            <w:tcBorders>
              <w:right w:val="single" w:sz="8" w:color="CFF0FC"/>
            </w:tcBorders>
            <w:gridSpan w:val="2"/>
            <w:vMerge w:val="continue"/>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40" w:type="dxa"/>
            <w:vAlign w:val="bottom"/>
            <w:gridSpan w:val="2"/>
            <w:vMerge w:val="continue"/>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20" w:type="dxa"/>
            <w:vAlign w:val="bottom"/>
            <w:tcBorders>
              <w:right w:val="single" w:sz="8" w:color="CFF0FC"/>
            </w:tcBorders>
            <w:gridSpan w:val="2"/>
            <w:vMerge w:val="continue"/>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00" w:type="dxa"/>
            <w:vAlign w:val="bottom"/>
            <w:gridSpan w:val="2"/>
            <w:vMerge w:val="continue"/>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80" w:type="dxa"/>
            <w:vAlign w:val="bottom"/>
            <w:gridSpan w:val="2"/>
            <w:vMerge w:val="continue"/>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680" w:type="dxa"/>
            <w:vAlign w:val="bottom"/>
            <w:shd w:val="clear" w:color="auto" w:fill="CFF0FC"/>
          </w:tcPr>
          <w:p>
            <w:pPr>
              <w:spacing w:after="0" w:line="20" w:lineRule="exact"/>
              <w:rPr>
                <w:sz w:val="1"/>
                <w:szCs w:val="1"/>
                <w:color w:val="auto"/>
              </w:rPr>
            </w:pPr>
          </w:p>
        </w:tc>
        <w:tc>
          <w:tcPr>
            <w:tcW w:w="1000" w:type="dxa"/>
            <w:vAlign w:val="bottom"/>
            <w:tcBorders>
              <w:right w:val="single" w:sz="8" w:color="CFF0FC"/>
            </w:tcBorders>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40" w:type="dxa"/>
            <w:vAlign w:val="bottom"/>
            <w:tcBorders>
              <w:right w:val="single" w:sz="8" w:color="CFF0FC"/>
            </w:tcBorders>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tcBorders>
              <w:right w:val="single" w:sz="8" w:color="CFF0FC"/>
            </w:tcBorders>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tcBorders>
              <w:right w:val="single" w:sz="8" w:color="CFF0FC"/>
            </w:tcBorders>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680" w:type="dxa"/>
            <w:vAlign w:val="bottom"/>
          </w:tcPr>
          <w:p>
            <w:pPr>
              <w:ind w:left="20"/>
              <w:spacing w:after="0"/>
              <w:rPr>
                <w:sz w:val="20"/>
                <w:szCs w:val="20"/>
                <w:color w:val="auto"/>
              </w:rPr>
            </w:pPr>
            <w:r>
              <w:rPr>
                <w:rFonts w:ascii="Arial" w:cs="Arial" w:eastAsia="Arial" w:hAnsi="Arial"/>
                <w:sz w:val="16"/>
                <w:szCs w:val="16"/>
                <w:color w:val="auto"/>
              </w:rPr>
              <w:t>Balance, at September 30, 2022</w:t>
            </w:r>
          </w:p>
        </w:tc>
        <w:tc>
          <w:tcPr>
            <w:tcW w:w="1000" w:type="dxa"/>
            <w:vAlign w:val="bottom"/>
          </w:tcPr>
          <w:p>
            <w:pPr>
              <w:jc w:val="right"/>
              <w:spacing w:after="0"/>
              <w:rPr>
                <w:sz w:val="20"/>
                <w:szCs w:val="20"/>
                <w:color w:val="auto"/>
              </w:rPr>
            </w:pPr>
            <w:r>
              <w:rPr>
                <w:rFonts w:ascii="Arial" w:cs="Arial" w:eastAsia="Arial" w:hAnsi="Arial"/>
                <w:sz w:val="16"/>
                <w:szCs w:val="16"/>
                <w:color w:val="auto"/>
              </w:rPr>
              <w:t>271.0</w:t>
            </w:r>
          </w:p>
        </w:tc>
        <w:tc>
          <w:tcPr>
            <w:tcW w:w="280" w:type="dxa"/>
            <w:vAlign w:val="bottom"/>
          </w:tcPr>
          <w:p>
            <w:pPr>
              <w:spacing w:after="0"/>
              <w:rPr>
                <w:sz w:val="17"/>
                <w:szCs w:val="17"/>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340" w:type="dxa"/>
            <w:vAlign w:val="bottom"/>
          </w:tcPr>
          <w:p>
            <w:pPr>
              <w:jc w:val="right"/>
              <w:spacing w:after="0"/>
              <w:rPr>
                <w:sz w:val="20"/>
                <w:szCs w:val="20"/>
                <w:color w:val="auto"/>
              </w:rPr>
            </w:pPr>
            <w:r>
              <w:rPr>
                <w:rFonts w:ascii="Arial" w:cs="Arial" w:eastAsia="Arial" w:hAnsi="Arial"/>
                <w:sz w:val="16"/>
                <w:szCs w:val="16"/>
                <w:color w:val="auto"/>
              </w:rPr>
              <w:t>2.7</w:t>
            </w:r>
          </w:p>
        </w:tc>
        <w:tc>
          <w:tcPr>
            <w:tcW w:w="24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5,061.7</w:t>
            </w:r>
          </w:p>
        </w:tc>
        <w:tc>
          <w:tcPr>
            <w:tcW w:w="26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2,582.3</w:t>
            </w:r>
          </w:p>
        </w:tc>
        <w:tc>
          <w:tcPr>
            <w:tcW w:w="24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99"/>
              <w:spacing w:after="0"/>
              <w:rPr>
                <w:sz w:val="20"/>
                <w:szCs w:val="20"/>
                <w:color w:val="auto"/>
              </w:rPr>
            </w:pPr>
            <w:r>
              <w:rPr>
                <w:rFonts w:ascii="Arial" w:cs="Arial" w:eastAsia="Arial" w:hAnsi="Arial"/>
                <w:sz w:val="16"/>
                <w:szCs w:val="16"/>
                <w:color w:val="auto"/>
              </w:rPr>
              <w:t>(750.3 )</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99"/>
              <w:spacing w:after="0"/>
              <w:rPr>
                <w:sz w:val="20"/>
                <w:szCs w:val="20"/>
                <w:color w:val="auto"/>
              </w:rPr>
            </w:pPr>
            <w:r>
              <w:rPr>
                <w:rFonts w:ascii="Arial" w:cs="Arial" w:eastAsia="Arial" w:hAnsi="Arial"/>
                <w:sz w:val="16"/>
                <w:szCs w:val="16"/>
                <w:color w:val="auto"/>
              </w:rPr>
              <w:t>(1,169.4 )</w:t>
            </w: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56.5</w:t>
            </w:r>
          </w:p>
        </w:tc>
        <w:tc>
          <w:tcPr>
            <w:tcW w:w="240" w:type="dxa"/>
            <w:vAlign w:val="bottom"/>
          </w:tcPr>
          <w:p>
            <w:pPr>
              <w:spacing w:after="0"/>
              <w:rPr>
                <w:sz w:val="17"/>
                <w:szCs w:val="17"/>
                <w:color w:val="auto"/>
              </w:rPr>
            </w:pPr>
          </w:p>
        </w:tc>
        <w:tc>
          <w:tcPr>
            <w:tcW w:w="180" w:type="dxa"/>
            <w:vAlign w:val="bottom"/>
          </w:tcPr>
          <w:p>
            <w:pPr>
              <w:jc w:val="right"/>
              <w:ind w:right="2"/>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5,783.5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6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1"/>
        </w:trPr>
        <w:tc>
          <w:tcPr>
            <w:tcW w:w="2680" w:type="dxa"/>
            <w:vAlign w:val="bottom"/>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8"/>
          </w:tcPr>
          <w:p>
            <w:pPr>
              <w:jc w:val="right"/>
              <w:spacing w:after="0"/>
              <w:rPr>
                <w:sz w:val="20"/>
                <w:szCs w:val="20"/>
                <w:color w:val="auto"/>
              </w:rPr>
            </w:pPr>
            <w:r>
              <w:rPr>
                <w:rFonts w:ascii="Arial" w:cs="Arial" w:eastAsia="Arial" w:hAnsi="Arial"/>
                <w:sz w:val="14"/>
                <w:szCs w:val="14"/>
                <w:b w:val="1"/>
                <w:bCs w:val="1"/>
                <w:color w:val="auto"/>
                <w:w w:val="96"/>
              </w:rPr>
              <w:t>Three Months Ended September 30, 2021</w:t>
            </w:r>
          </w:p>
        </w:tc>
        <w:tc>
          <w:tcPr>
            <w:tcW w:w="6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68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5"/>
          </w:tcPr>
          <w:p>
            <w:pPr>
              <w:jc w:val="right"/>
              <w:ind w:right="400"/>
              <w:spacing w:after="0"/>
              <w:rPr>
                <w:sz w:val="20"/>
                <w:szCs w:val="20"/>
                <w:color w:val="auto"/>
              </w:rPr>
            </w:pPr>
            <w:r>
              <w:rPr>
                <w:rFonts w:ascii="Arial" w:cs="Arial" w:eastAsia="Arial" w:hAnsi="Arial"/>
                <w:sz w:val="14"/>
                <w:szCs w:val="14"/>
                <w:b w:val="1"/>
                <w:bCs w:val="1"/>
                <w:color w:val="auto"/>
              </w:rPr>
              <w:t>SS&amp;C Stockholders</w:t>
            </w: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2680" w:type="dxa"/>
            <w:vAlign w:val="bottom"/>
          </w:tcPr>
          <w:p>
            <w:pPr>
              <w:spacing w:after="0"/>
              <w:rPr>
                <w:sz w:val="16"/>
                <w:szCs w:val="16"/>
                <w:color w:val="auto"/>
              </w:rPr>
            </w:pPr>
          </w:p>
        </w:tc>
        <w:tc>
          <w:tcPr>
            <w:tcW w:w="1520" w:type="dxa"/>
            <w:vAlign w:val="bottom"/>
            <w:gridSpan w:val="3"/>
          </w:tcPr>
          <w:p>
            <w:pPr>
              <w:jc w:val="right"/>
              <w:ind w:right="45"/>
              <w:spacing w:after="0"/>
              <w:rPr>
                <w:sz w:val="20"/>
                <w:szCs w:val="20"/>
                <w:color w:val="auto"/>
              </w:rPr>
            </w:pPr>
            <w:r>
              <w:rPr>
                <w:rFonts w:ascii="Arial" w:cs="Arial" w:eastAsia="Arial" w:hAnsi="Arial"/>
                <w:sz w:val="14"/>
                <w:szCs w:val="14"/>
                <w:b w:val="1"/>
                <w:bCs w:val="1"/>
                <w:color w:val="auto"/>
              </w:rPr>
              <w:t>Common Stock</w:t>
            </w:r>
          </w:p>
        </w:tc>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268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gridSpan w:val="2"/>
            <w:vMerge w:val="restart"/>
          </w:tcPr>
          <w:p>
            <w:pPr>
              <w:jc w:val="center"/>
              <w:ind w:right="259"/>
              <w:spacing w:after="0"/>
              <w:rPr>
                <w:sz w:val="20"/>
                <w:szCs w:val="20"/>
                <w:color w:val="auto"/>
              </w:rPr>
            </w:pPr>
            <w:r>
              <w:rPr>
                <w:rFonts w:ascii="Arial" w:cs="Arial" w:eastAsia="Arial" w:hAnsi="Arial"/>
                <w:sz w:val="14"/>
                <w:szCs w:val="14"/>
                <w:b w:val="1"/>
                <w:bCs w:val="1"/>
                <w:color w:val="auto"/>
                <w:w w:val="93"/>
              </w:rPr>
              <w:t>Accumulated</w:t>
            </w: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2680" w:type="dxa"/>
            <w:vAlign w:val="bottom"/>
          </w:tcPr>
          <w:p>
            <w:pPr>
              <w:spacing w:after="0"/>
              <w:rPr>
                <w:sz w:val="13"/>
                <w:szCs w:val="13"/>
                <w:color w:val="auto"/>
              </w:rPr>
            </w:pPr>
          </w:p>
        </w:tc>
        <w:tc>
          <w:tcPr>
            <w:tcW w:w="1000" w:type="dxa"/>
            <w:vAlign w:val="bottom"/>
          </w:tcPr>
          <w:p>
            <w:pPr>
              <w:jc w:val="center"/>
              <w:spacing w:after="0" w:line="160" w:lineRule="exact"/>
              <w:rPr>
                <w:sz w:val="20"/>
                <w:szCs w:val="20"/>
                <w:color w:val="auto"/>
              </w:rPr>
            </w:pPr>
            <w:r>
              <w:rPr>
                <w:rFonts w:ascii="Arial" w:cs="Arial" w:eastAsia="Arial" w:hAnsi="Arial"/>
                <w:sz w:val="14"/>
                <w:szCs w:val="14"/>
                <w:b w:val="1"/>
                <w:bCs w:val="1"/>
                <w:color w:val="auto"/>
                <w:w w:val="98"/>
              </w:rPr>
              <w:t>Number</w:t>
            </w: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268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0"/>
              </w:rPr>
              <w:t>of</w:t>
            </w: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6"/>
              </w:rPr>
              <w:t>Additional</w:t>
            </w: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tcPr>
          <w:p>
            <w:pPr>
              <w:jc w:val="center"/>
              <w:ind w:right="259"/>
              <w:spacing w:after="0"/>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Noncontroll</w:t>
            </w:r>
          </w:p>
        </w:tc>
        <w:tc>
          <w:tcPr>
            <w:tcW w:w="180" w:type="dxa"/>
            <w:vAlign w:val="bottom"/>
          </w:tcPr>
          <w:p>
            <w:pPr>
              <w:spacing w:after="0"/>
              <w:rPr>
                <w:sz w:val="16"/>
                <w:szCs w:val="16"/>
                <w:color w:val="auto"/>
              </w:rPr>
            </w:pPr>
          </w:p>
        </w:tc>
        <w:tc>
          <w:tcPr>
            <w:tcW w:w="8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51"/>
        </w:trPr>
        <w:tc>
          <w:tcPr>
            <w:tcW w:w="2680" w:type="dxa"/>
            <w:vAlign w:val="bottom"/>
          </w:tcPr>
          <w:p>
            <w:pPr>
              <w:spacing w:after="0"/>
              <w:rPr>
                <w:sz w:val="13"/>
                <w:szCs w:val="13"/>
                <w:color w:val="auto"/>
              </w:rPr>
            </w:pPr>
          </w:p>
        </w:tc>
        <w:tc>
          <w:tcPr>
            <w:tcW w:w="10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Issued</w:t>
            </w: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vMerge w:val="restart"/>
          </w:tcPr>
          <w:p>
            <w:pPr>
              <w:jc w:val="center"/>
              <w:ind w:right="21"/>
              <w:spacing w:after="0"/>
              <w:rPr>
                <w:sz w:val="20"/>
                <w:szCs w:val="20"/>
                <w:color w:val="auto"/>
              </w:rPr>
            </w:pPr>
            <w:r>
              <w:rPr>
                <w:rFonts w:ascii="Arial" w:cs="Arial" w:eastAsia="Arial" w:hAnsi="Arial"/>
                <w:sz w:val="14"/>
                <w:szCs w:val="14"/>
                <w:b w:val="1"/>
                <w:bCs w:val="1"/>
                <w:color w:val="auto"/>
                <w:w w:val="98"/>
              </w:rPr>
              <w:t>Paid-in</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Retained</w:t>
            </w:r>
          </w:p>
        </w:tc>
        <w:tc>
          <w:tcPr>
            <w:tcW w:w="1340" w:type="dxa"/>
            <w:vAlign w:val="bottom"/>
            <w:gridSpan w:val="3"/>
            <w:vMerge w:val="restart"/>
          </w:tcPr>
          <w:p>
            <w:pPr>
              <w:jc w:val="center"/>
              <w:ind w:right="139"/>
              <w:spacing w:after="0"/>
              <w:rPr>
                <w:sz w:val="20"/>
                <w:szCs w:val="20"/>
                <w:color w:val="auto"/>
              </w:rPr>
            </w:pPr>
            <w:r>
              <w:rPr>
                <w:rFonts w:ascii="Arial" w:cs="Arial" w:eastAsia="Arial" w:hAnsi="Arial"/>
                <w:sz w:val="14"/>
                <w:szCs w:val="14"/>
                <w:b w:val="1"/>
                <w:bCs w:val="1"/>
                <w:color w:val="auto"/>
                <w:w w:val="91"/>
              </w:rPr>
              <w:t>Comprehensive</w:t>
            </w:r>
          </w:p>
        </w:tc>
        <w:tc>
          <w:tcPr>
            <w:tcW w:w="100" w:type="dxa"/>
            <w:vAlign w:val="bottom"/>
          </w:tcPr>
          <w:p>
            <w:pPr>
              <w:spacing w:after="0"/>
              <w:rPr>
                <w:sz w:val="13"/>
                <w:szCs w:val="13"/>
                <w:color w:val="auto"/>
              </w:rPr>
            </w:pPr>
          </w:p>
        </w:tc>
        <w:tc>
          <w:tcPr>
            <w:tcW w:w="920" w:type="dxa"/>
            <w:vAlign w:val="bottom"/>
            <w:gridSpan w:val="2"/>
            <w:vMerge w:val="restart"/>
          </w:tcPr>
          <w:p>
            <w:pPr>
              <w:jc w:val="center"/>
              <w:ind w:right="239"/>
              <w:spacing w:after="0"/>
              <w:rPr>
                <w:sz w:val="20"/>
                <w:szCs w:val="20"/>
                <w:color w:val="auto"/>
              </w:rPr>
            </w:pPr>
            <w:r>
              <w:rPr>
                <w:rFonts w:ascii="Arial" w:cs="Arial" w:eastAsia="Arial" w:hAnsi="Arial"/>
                <w:sz w:val="14"/>
                <w:szCs w:val="14"/>
                <w:b w:val="1"/>
                <w:bCs w:val="1"/>
                <w:color w:val="auto"/>
                <w:w w:val="94"/>
              </w:rPr>
              <w:t>Treasury</w:t>
            </w:r>
          </w:p>
        </w:tc>
        <w:tc>
          <w:tcPr>
            <w:tcW w:w="1020" w:type="dxa"/>
            <w:vAlign w:val="bottom"/>
            <w:gridSpan w:val="3"/>
            <w:vMerge w:val="continue"/>
          </w:tcPr>
          <w:p>
            <w:pPr>
              <w:spacing w:after="0"/>
              <w:rPr>
                <w:sz w:val="13"/>
                <w:szCs w:val="13"/>
                <w:color w:val="auto"/>
              </w:rPr>
            </w:pPr>
          </w:p>
        </w:tc>
        <w:tc>
          <w:tcPr>
            <w:tcW w:w="106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62"/>
        </w:trPr>
        <w:tc>
          <w:tcPr>
            <w:tcW w:w="268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34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5"/>
              </w:rPr>
              <w:t>ing</w:t>
            </w:r>
          </w:p>
        </w:tc>
        <w:tc>
          <w:tcPr>
            <w:tcW w:w="10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268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85"/>
              </w:rPr>
              <w:t>Shares</w:t>
            </w:r>
          </w:p>
        </w:tc>
        <w:tc>
          <w:tcPr>
            <w:tcW w:w="280" w:type="dxa"/>
            <w:vAlign w:val="bottom"/>
          </w:tcPr>
          <w:p>
            <w:pPr>
              <w:spacing w:after="0"/>
              <w:rPr>
                <w:sz w:val="16"/>
                <w:szCs w:val="16"/>
                <w:color w:val="auto"/>
              </w:rPr>
            </w:pPr>
          </w:p>
        </w:tc>
        <w:tc>
          <w:tcPr>
            <w:tcW w:w="820" w:type="dxa"/>
            <w:vAlign w:val="bottom"/>
            <w:gridSpan w:val="3"/>
          </w:tcPr>
          <w:p>
            <w:pPr>
              <w:ind w:left="2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6"/>
                <w:szCs w:val="16"/>
                <w:color w:val="auto"/>
              </w:rPr>
            </w:pPr>
          </w:p>
        </w:tc>
        <w:tc>
          <w:tcPr>
            <w:tcW w:w="640" w:type="dxa"/>
            <w:vAlign w:val="bottom"/>
          </w:tcPr>
          <w:p>
            <w:pPr>
              <w:jc w:val="center"/>
              <w:ind w:right="21"/>
              <w:spacing w:after="0"/>
              <w:rPr>
                <w:sz w:val="20"/>
                <w:szCs w:val="20"/>
                <w:color w:val="auto"/>
              </w:rPr>
            </w:pPr>
            <w:r>
              <w:rPr>
                <w:rFonts w:ascii="Arial" w:cs="Arial" w:eastAsia="Arial" w:hAnsi="Arial"/>
                <w:sz w:val="14"/>
                <w:szCs w:val="14"/>
                <w:b w:val="1"/>
                <w:bCs w:val="1"/>
                <w:color w:val="auto"/>
                <w:w w:val="98"/>
              </w:rPr>
              <w:t>Capital</w:t>
            </w: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gridSpan w:val="2"/>
          </w:tcPr>
          <w:p>
            <w:pPr>
              <w:ind w:left="20"/>
              <w:spacing w:after="0"/>
              <w:rPr>
                <w:sz w:val="20"/>
                <w:szCs w:val="20"/>
                <w:color w:val="auto"/>
              </w:rPr>
            </w:pPr>
            <w:r>
              <w:rPr>
                <w:rFonts w:ascii="Arial" w:cs="Arial" w:eastAsia="Arial" w:hAnsi="Arial"/>
                <w:sz w:val="14"/>
                <w:szCs w:val="14"/>
                <w:b w:val="1"/>
                <w:bCs w:val="1"/>
                <w:color w:val="auto"/>
              </w:rPr>
              <w:t>Earnings</w:t>
            </w:r>
          </w:p>
        </w:tc>
        <w:tc>
          <w:tcPr>
            <w:tcW w:w="100" w:type="dxa"/>
            <w:vAlign w:val="bottom"/>
          </w:tcPr>
          <w:p>
            <w:pPr>
              <w:spacing w:after="0"/>
              <w:rPr>
                <w:sz w:val="16"/>
                <w:szCs w:val="16"/>
                <w:color w:val="auto"/>
              </w:rPr>
            </w:pPr>
          </w:p>
        </w:tc>
        <w:tc>
          <w:tcPr>
            <w:tcW w:w="1240" w:type="dxa"/>
            <w:vAlign w:val="bottom"/>
            <w:gridSpan w:val="2"/>
          </w:tcPr>
          <w:p>
            <w:pPr>
              <w:jc w:val="center"/>
              <w:ind w:right="259"/>
              <w:spacing w:after="0"/>
              <w:rPr>
                <w:sz w:val="20"/>
                <w:szCs w:val="20"/>
                <w:color w:val="auto"/>
              </w:rPr>
            </w:pPr>
            <w:r>
              <w:rPr>
                <w:rFonts w:ascii="Arial" w:cs="Arial" w:eastAsia="Arial" w:hAnsi="Arial"/>
                <w:sz w:val="14"/>
                <w:szCs w:val="14"/>
                <w:b w:val="1"/>
                <w:bCs w:val="1"/>
                <w:color w:val="auto"/>
                <w:w w:val="90"/>
              </w:rPr>
              <w:t>(Loss) Income</w:t>
            </w:r>
          </w:p>
        </w:tc>
        <w:tc>
          <w:tcPr>
            <w:tcW w:w="100" w:type="dxa"/>
            <w:vAlign w:val="bottom"/>
          </w:tcPr>
          <w:p>
            <w:pPr>
              <w:spacing w:after="0"/>
              <w:rPr>
                <w:sz w:val="16"/>
                <w:szCs w:val="16"/>
                <w:color w:val="auto"/>
              </w:rPr>
            </w:pPr>
          </w:p>
        </w:tc>
        <w:tc>
          <w:tcPr>
            <w:tcW w:w="920" w:type="dxa"/>
            <w:vAlign w:val="bottom"/>
            <w:gridSpan w:val="2"/>
          </w:tcPr>
          <w:p>
            <w:pPr>
              <w:jc w:val="center"/>
              <w:ind w:right="259"/>
              <w:spacing w:after="0"/>
              <w:rPr>
                <w:sz w:val="20"/>
                <w:szCs w:val="20"/>
                <w:color w:val="auto"/>
              </w:rPr>
            </w:pPr>
            <w:r>
              <w:rPr>
                <w:rFonts w:ascii="Arial" w:cs="Arial" w:eastAsia="Arial" w:hAnsi="Arial"/>
                <w:sz w:val="14"/>
                <w:szCs w:val="14"/>
                <w:b w:val="1"/>
                <w:bCs w:val="1"/>
                <w:color w:val="auto"/>
                <w:w w:val="89"/>
              </w:rPr>
              <w:t>Stock</w:t>
            </w:r>
          </w:p>
        </w:tc>
        <w:tc>
          <w:tcPr>
            <w:tcW w:w="120" w:type="dxa"/>
            <w:vAlign w:val="bottom"/>
          </w:tcPr>
          <w:p>
            <w:pPr>
              <w:spacing w:after="0"/>
              <w:rPr>
                <w:sz w:val="16"/>
                <w:szCs w:val="16"/>
                <w:color w:val="auto"/>
              </w:rPr>
            </w:pPr>
          </w:p>
        </w:tc>
        <w:tc>
          <w:tcPr>
            <w:tcW w:w="9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Interest</w:t>
            </w:r>
          </w:p>
        </w:tc>
        <w:tc>
          <w:tcPr>
            <w:tcW w:w="180" w:type="dxa"/>
            <w:vAlign w:val="bottom"/>
          </w:tcPr>
          <w:p>
            <w:pPr>
              <w:spacing w:after="0"/>
              <w:rPr>
                <w:sz w:val="16"/>
                <w:szCs w:val="16"/>
                <w:color w:val="auto"/>
              </w:rPr>
            </w:pPr>
          </w:p>
        </w:tc>
        <w:tc>
          <w:tcPr>
            <w:tcW w:w="8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196"/>
        </w:trPr>
        <w:tc>
          <w:tcPr>
            <w:tcW w:w="2680" w:type="dxa"/>
            <w:vAlign w:val="bottom"/>
            <w:shd w:val="clear" w:color="auto" w:fill="CFF0FC"/>
          </w:tcPr>
          <w:p>
            <w:pPr>
              <w:ind w:left="20"/>
              <w:spacing w:after="0"/>
              <w:rPr>
                <w:sz w:val="20"/>
                <w:szCs w:val="20"/>
                <w:color w:val="auto"/>
              </w:rPr>
            </w:pPr>
            <w:r>
              <w:rPr>
                <w:rFonts w:ascii="Arial" w:cs="Arial" w:eastAsia="Arial" w:hAnsi="Arial"/>
                <w:sz w:val="16"/>
                <w:szCs w:val="16"/>
                <w:color w:val="auto"/>
              </w:rPr>
              <w:t>Balance, at June 30, 2021</w:t>
            </w:r>
          </w:p>
        </w:tc>
        <w:tc>
          <w:tcPr>
            <w:tcW w:w="1000" w:type="dxa"/>
            <w:vAlign w:val="bottom"/>
            <w:tcBorders>
              <w:top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266.2</w:t>
            </w:r>
          </w:p>
        </w:tc>
        <w:tc>
          <w:tcPr>
            <w:tcW w:w="280" w:type="dxa"/>
            <w:vAlign w:val="bottom"/>
            <w:tcBorders>
              <w:right w:val="single" w:sz="8" w:color="CFF0FC"/>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2.7</w:t>
            </w:r>
          </w:p>
        </w:tc>
        <w:tc>
          <w:tcPr>
            <w:tcW w:w="240" w:type="dxa"/>
            <w:vAlign w:val="bottom"/>
            <w:tcBorders>
              <w:right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4,682.8</w:t>
            </w:r>
          </w:p>
        </w:tc>
        <w:tc>
          <w:tcPr>
            <w:tcW w:w="260" w:type="dxa"/>
            <w:vAlign w:val="bottom"/>
            <w:tcBorders>
              <w:right w:val="single" w:sz="8" w:color="CFF0FC"/>
            </w:tcBorders>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1,949.6</w:t>
            </w:r>
          </w:p>
        </w:tc>
        <w:tc>
          <w:tcPr>
            <w:tcW w:w="240" w:type="dxa"/>
            <w:vAlign w:val="bottom"/>
            <w:tcBorders>
              <w:right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(190.3</w:t>
            </w:r>
          </w:p>
        </w:tc>
        <w:tc>
          <w:tcPr>
            <w:tcW w:w="24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(621.1</w:t>
            </w:r>
          </w:p>
        </w:tc>
        <w:tc>
          <w:tcPr>
            <w:tcW w:w="240" w:type="dxa"/>
            <w:vAlign w:val="bottom"/>
            <w:tcBorders>
              <w:right w:val="single" w:sz="8" w:color="CFF0FC"/>
            </w:tcBorders>
            <w:shd w:val="clear" w:color="auto" w:fill="CFF0FC"/>
          </w:tcPr>
          <w:p>
            <w:pPr>
              <w:jc w:val="right"/>
              <w:ind w:right="99"/>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jc w:val="right"/>
              <w:ind w:right="2"/>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5,823.7</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2680" w:type="dxa"/>
            <w:vAlign w:val="bottom"/>
          </w:tcPr>
          <w:p>
            <w:pPr>
              <w:ind w:left="120"/>
              <w:spacing w:after="0" w:line="166" w:lineRule="exact"/>
              <w:rPr>
                <w:sz w:val="20"/>
                <w:szCs w:val="20"/>
                <w:color w:val="auto"/>
              </w:rPr>
            </w:pPr>
            <w:r>
              <w:rPr>
                <w:rFonts w:ascii="Arial" w:cs="Arial" w:eastAsia="Arial" w:hAnsi="Arial"/>
                <w:sz w:val="16"/>
                <w:szCs w:val="16"/>
                <w:color w:val="auto"/>
              </w:rPr>
              <w:t>Noncontrolling interest upon</w:t>
            </w: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gridSpan w:val="2"/>
            <w:vMerge w:val="restart"/>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640" w:type="dxa"/>
            <w:vAlign w:val="bottom"/>
            <w:vMerge w:val="restart"/>
          </w:tcPr>
          <w:p>
            <w:pPr>
              <w:jc w:val="right"/>
              <w:spacing w:after="0"/>
              <w:rPr>
                <w:sz w:val="20"/>
                <w:szCs w:val="20"/>
                <w:color w:val="auto"/>
              </w:rPr>
            </w:pPr>
            <w:r>
              <w:rPr>
                <w:rFonts w:ascii="Arial" w:cs="Arial" w:eastAsia="Arial" w:hAnsi="Arial"/>
                <w:sz w:val="16"/>
                <w:szCs w:val="16"/>
                <w:color w:val="auto"/>
              </w:rPr>
              <w:t>46.8</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vMerge w:val="restart"/>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1240" w:type="dxa"/>
            <w:vAlign w:val="bottom"/>
            <w:gridSpan w:val="2"/>
            <w:vMerge w:val="restart"/>
          </w:tcPr>
          <w:p>
            <w:pPr>
              <w:jc w:val="right"/>
              <w:ind w:right="15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920" w:type="dxa"/>
            <w:vAlign w:val="bottom"/>
            <w:gridSpan w:val="2"/>
            <w:vMerge w:val="restart"/>
          </w:tcPr>
          <w:p>
            <w:pPr>
              <w:jc w:val="right"/>
              <w:ind w:right="17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Arial" w:cs="Arial" w:eastAsia="Arial" w:hAnsi="Arial"/>
                <w:sz w:val="16"/>
                <w:szCs w:val="16"/>
                <w:color w:val="auto"/>
              </w:rPr>
              <w:t>57.2</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104.0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2680" w:type="dxa"/>
            <w:vAlign w:val="bottom"/>
          </w:tcPr>
          <w:p>
            <w:pPr>
              <w:ind w:left="120"/>
              <w:spacing w:after="0"/>
              <w:rPr>
                <w:sz w:val="20"/>
                <w:szCs w:val="20"/>
                <w:color w:val="auto"/>
              </w:rPr>
            </w:pPr>
            <w:r>
              <w:rPr>
                <w:rFonts w:ascii="Arial" w:cs="Arial" w:eastAsia="Arial" w:hAnsi="Arial"/>
                <w:sz w:val="16"/>
                <w:szCs w:val="16"/>
                <w:color w:val="auto"/>
              </w:rPr>
              <w:t>consolidation</w:t>
            </w:r>
          </w:p>
        </w:tc>
        <w:tc>
          <w:tcPr>
            <w:tcW w:w="100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80" w:type="dxa"/>
            <w:vAlign w:val="bottom"/>
            <w:shd w:val="clear" w:color="auto" w:fill="CFF0FC"/>
          </w:tcPr>
          <w:p>
            <w:pPr>
              <w:ind w:left="120"/>
              <w:spacing w:after="0"/>
              <w:rPr>
                <w:sz w:val="20"/>
                <w:szCs w:val="20"/>
                <w:color w:val="auto"/>
              </w:rPr>
            </w:pPr>
            <w:r>
              <w:rPr>
                <w:rFonts w:ascii="Arial" w:cs="Arial" w:eastAsia="Arial" w:hAnsi="Arial"/>
                <w:sz w:val="16"/>
                <w:szCs w:val="16"/>
                <w:color w:val="auto"/>
              </w:rPr>
              <w:t>Net income</w:t>
            </w:r>
          </w:p>
        </w:tc>
        <w:tc>
          <w:tcPr>
            <w:tcW w:w="10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right w:val="single" w:sz="8" w:color="CFF0FC"/>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580" w:type="dxa"/>
            <w:vAlign w:val="bottom"/>
            <w:tcBorders>
              <w:right w:val="single" w:sz="8" w:color="CFF0FC"/>
            </w:tcBorders>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right w:val="single" w:sz="8" w:color="CFF0FC"/>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7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184.4</w:t>
            </w:r>
          </w:p>
        </w:tc>
        <w:tc>
          <w:tcPr>
            <w:tcW w:w="240" w:type="dxa"/>
            <w:vAlign w:val="bottom"/>
            <w:tcBorders>
              <w:right w:val="single" w:sz="8" w:color="CFF0FC"/>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159"/>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7"/>
                <w:szCs w:val="17"/>
                <w:color w:val="auto"/>
              </w:rPr>
            </w:pPr>
          </w:p>
        </w:tc>
        <w:tc>
          <w:tcPr>
            <w:tcW w:w="920" w:type="dxa"/>
            <w:vAlign w:val="bottom"/>
            <w:tcBorders>
              <w:right w:val="single" w:sz="8" w:color="CFF0FC"/>
            </w:tcBorders>
            <w:gridSpan w:val="2"/>
            <w:shd w:val="clear" w:color="auto" w:fill="CFF0FC"/>
          </w:tcPr>
          <w:p>
            <w:pPr>
              <w:jc w:val="right"/>
              <w:ind w:right="179"/>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0.3</w:t>
            </w: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184.7</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2680" w:type="dxa"/>
            <w:vAlign w:val="bottom"/>
          </w:tcPr>
          <w:p>
            <w:pPr>
              <w:ind w:left="120"/>
              <w:spacing w:after="0" w:line="166" w:lineRule="exact"/>
              <w:rPr>
                <w:sz w:val="20"/>
                <w:szCs w:val="20"/>
                <w:color w:val="auto"/>
              </w:rPr>
            </w:pPr>
            <w:r>
              <w:rPr>
                <w:rFonts w:ascii="Arial" w:cs="Arial" w:eastAsia="Arial" w:hAnsi="Arial"/>
                <w:sz w:val="16"/>
                <w:szCs w:val="16"/>
                <w:color w:val="auto"/>
              </w:rPr>
              <w:t>Foreign exchange translation</w:t>
            </w: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gridSpan w:val="2"/>
            <w:vMerge w:val="restart"/>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6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vMerge w:val="restart"/>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1240" w:type="dxa"/>
            <w:vAlign w:val="bottom"/>
            <w:gridSpan w:val="2"/>
            <w:vMerge w:val="restart"/>
          </w:tcPr>
          <w:p>
            <w:pPr>
              <w:jc w:val="right"/>
              <w:ind w:right="79"/>
              <w:spacing w:after="0"/>
              <w:rPr>
                <w:sz w:val="20"/>
                <w:szCs w:val="20"/>
                <w:color w:val="auto"/>
              </w:rPr>
            </w:pPr>
            <w:r>
              <w:rPr>
                <w:rFonts w:ascii="Arial" w:cs="Arial" w:eastAsia="Arial" w:hAnsi="Arial"/>
                <w:sz w:val="16"/>
                <w:szCs w:val="16"/>
                <w:color w:val="auto"/>
              </w:rPr>
              <w:t>(55.7 )</w:t>
            </w:r>
          </w:p>
        </w:tc>
        <w:tc>
          <w:tcPr>
            <w:tcW w:w="100" w:type="dxa"/>
            <w:vAlign w:val="bottom"/>
          </w:tcPr>
          <w:p>
            <w:pPr>
              <w:spacing w:after="0"/>
              <w:rPr>
                <w:sz w:val="14"/>
                <w:szCs w:val="14"/>
                <w:color w:val="auto"/>
              </w:rPr>
            </w:pPr>
          </w:p>
        </w:tc>
        <w:tc>
          <w:tcPr>
            <w:tcW w:w="920" w:type="dxa"/>
            <w:vAlign w:val="bottom"/>
            <w:gridSpan w:val="2"/>
            <w:vMerge w:val="restart"/>
          </w:tcPr>
          <w:p>
            <w:pPr>
              <w:jc w:val="right"/>
              <w:ind w:right="17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900" w:type="dxa"/>
            <w:vAlign w:val="bottom"/>
            <w:gridSpan w:val="2"/>
            <w:vMerge w:val="restart"/>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880" w:type="dxa"/>
            <w:vAlign w:val="bottom"/>
            <w:gridSpan w:val="2"/>
            <w:vMerge w:val="restart"/>
          </w:tcPr>
          <w:p>
            <w:pPr>
              <w:jc w:val="right"/>
              <w:ind w:right="40"/>
              <w:spacing w:after="0"/>
              <w:rPr>
                <w:sz w:val="20"/>
                <w:szCs w:val="20"/>
                <w:color w:val="auto"/>
              </w:rPr>
            </w:pPr>
            <w:r>
              <w:rPr>
                <w:rFonts w:ascii="Arial" w:cs="Arial" w:eastAsia="Arial" w:hAnsi="Arial"/>
                <w:sz w:val="16"/>
                <w:szCs w:val="16"/>
                <w:color w:val="auto"/>
              </w:rPr>
              <w:t>(55.7 )</w:t>
            </w:r>
          </w:p>
        </w:tc>
        <w:tc>
          <w:tcPr>
            <w:tcW w:w="0" w:type="dxa"/>
            <w:vAlign w:val="bottom"/>
          </w:tcPr>
          <w:p>
            <w:pPr>
              <w:spacing w:after="0"/>
              <w:rPr>
                <w:sz w:val="1"/>
                <w:szCs w:val="1"/>
                <w:color w:val="auto"/>
              </w:rPr>
            </w:pPr>
          </w:p>
        </w:tc>
      </w:tr>
      <w:tr>
        <w:trPr>
          <w:trHeight w:val="199"/>
        </w:trPr>
        <w:tc>
          <w:tcPr>
            <w:tcW w:w="2680" w:type="dxa"/>
            <w:vAlign w:val="bottom"/>
          </w:tcPr>
          <w:p>
            <w:pPr>
              <w:ind w:left="120"/>
              <w:spacing w:after="0"/>
              <w:rPr>
                <w:sz w:val="20"/>
                <w:szCs w:val="20"/>
                <w:color w:val="auto"/>
              </w:rPr>
            </w:pPr>
            <w:r>
              <w:rPr>
                <w:rFonts w:ascii="Arial" w:cs="Arial" w:eastAsia="Arial" w:hAnsi="Arial"/>
                <w:sz w:val="16"/>
                <w:szCs w:val="16"/>
                <w:color w:val="auto"/>
              </w:rPr>
              <w:t>adjustment</w:t>
            </w:r>
          </w:p>
        </w:tc>
        <w:tc>
          <w:tcPr>
            <w:tcW w:w="100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2680" w:type="dxa"/>
            <w:vAlign w:val="bottom"/>
            <w:shd w:val="clear" w:color="auto" w:fill="CFF0FC"/>
          </w:tcPr>
          <w:p>
            <w:pPr>
              <w:ind w:left="120"/>
              <w:spacing w:after="0" w:line="166" w:lineRule="exact"/>
              <w:rPr>
                <w:sz w:val="20"/>
                <w:szCs w:val="20"/>
                <w:color w:val="auto"/>
              </w:rPr>
            </w:pPr>
            <w:r>
              <w:rPr>
                <w:rFonts w:ascii="Arial" w:cs="Arial" w:eastAsia="Arial" w:hAnsi="Arial"/>
                <w:sz w:val="16"/>
                <w:szCs w:val="16"/>
                <w:color w:val="auto"/>
              </w:rPr>
              <w:t>Change in defined benefit plan</w:t>
            </w:r>
          </w:p>
        </w:tc>
        <w:tc>
          <w:tcPr>
            <w:tcW w:w="1000" w:type="dxa"/>
            <w:vAlign w:val="bottom"/>
            <w:tcBorders>
              <w:right w:val="single" w:sz="8" w:color="CFF0FC"/>
            </w:tcBorders>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right w:val="single" w:sz="8" w:color="CFF0FC"/>
            </w:tcBorders>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580" w:type="dxa"/>
            <w:vAlign w:val="bottom"/>
            <w:tcBorders>
              <w:right w:val="single" w:sz="8" w:color="CFF0FC"/>
            </w:tcBorders>
            <w:gridSpan w:val="2"/>
            <w:vMerge w:val="restart"/>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4"/>
                <w:szCs w:val="14"/>
                <w:color w:val="auto"/>
              </w:rPr>
            </w:pPr>
          </w:p>
        </w:tc>
        <w:tc>
          <w:tcPr>
            <w:tcW w:w="64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right w:val="single" w:sz="8" w:color="CFF0FC"/>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40" w:type="dxa"/>
            <w:vAlign w:val="bottom"/>
            <w:tcBorders>
              <w:right w:val="single" w:sz="8" w:color="CFF0FC"/>
            </w:tcBorders>
            <w:gridSpan w:val="2"/>
            <w:vMerge w:val="restart"/>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4"/>
                <w:szCs w:val="14"/>
                <w:color w:val="auto"/>
              </w:rPr>
            </w:pPr>
          </w:p>
        </w:tc>
        <w:tc>
          <w:tcPr>
            <w:tcW w:w="100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0.1</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20" w:type="dxa"/>
            <w:vAlign w:val="bottom"/>
            <w:tcBorders>
              <w:right w:val="single" w:sz="8" w:color="CFF0FC"/>
            </w:tcBorders>
            <w:gridSpan w:val="2"/>
            <w:vMerge w:val="restart"/>
            <w:shd w:val="clear" w:color="auto" w:fill="CFF0FC"/>
          </w:tcPr>
          <w:p>
            <w:pPr>
              <w:jc w:val="right"/>
              <w:ind w:right="179"/>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4"/>
                <w:szCs w:val="14"/>
                <w:color w:val="auto"/>
              </w:rPr>
            </w:pPr>
          </w:p>
        </w:tc>
        <w:tc>
          <w:tcPr>
            <w:tcW w:w="900" w:type="dxa"/>
            <w:vAlign w:val="bottom"/>
            <w:gridSpan w:val="2"/>
            <w:vMerge w:val="restart"/>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4"/>
                <w:szCs w:val="14"/>
                <w:color w:val="auto"/>
              </w:rPr>
            </w:pPr>
          </w:p>
        </w:tc>
        <w:tc>
          <w:tcPr>
            <w:tcW w:w="78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0.1</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2680" w:type="dxa"/>
            <w:vAlign w:val="bottom"/>
            <w:shd w:val="clear" w:color="auto" w:fill="CFF0FC"/>
          </w:tcPr>
          <w:p>
            <w:pPr>
              <w:ind w:left="120"/>
              <w:spacing w:after="0"/>
              <w:rPr>
                <w:sz w:val="20"/>
                <w:szCs w:val="20"/>
                <w:color w:val="auto"/>
              </w:rPr>
            </w:pPr>
            <w:r>
              <w:rPr>
                <w:rFonts w:ascii="Arial" w:cs="Arial" w:eastAsia="Arial" w:hAnsi="Arial"/>
                <w:sz w:val="16"/>
                <w:szCs w:val="16"/>
                <w:color w:val="auto"/>
              </w:rPr>
              <w:t>obligation</w:t>
            </w:r>
          </w:p>
        </w:tc>
        <w:tc>
          <w:tcPr>
            <w:tcW w:w="1000" w:type="dxa"/>
            <w:vAlign w:val="bottom"/>
            <w:tcBorders>
              <w:right w:val="single" w:sz="8" w:color="CFF0FC"/>
            </w:tcBorders>
            <w:vMerge w:val="continue"/>
            <w:shd w:val="clear" w:color="auto" w:fill="CFF0FC"/>
          </w:tcPr>
          <w:p>
            <w:pPr>
              <w:spacing w:after="0"/>
              <w:rPr>
                <w:sz w:val="17"/>
                <w:szCs w:val="17"/>
                <w:color w:val="auto"/>
              </w:rPr>
            </w:pPr>
          </w:p>
        </w:tc>
        <w:tc>
          <w:tcPr>
            <w:tcW w:w="280" w:type="dxa"/>
            <w:vAlign w:val="bottom"/>
            <w:tcBorders>
              <w:right w:val="single" w:sz="8" w:color="CFF0FC"/>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580" w:type="dxa"/>
            <w:vAlign w:val="bottom"/>
            <w:tcBorders>
              <w:right w:val="single" w:sz="8" w:color="CFF0FC"/>
            </w:tcBorders>
            <w:gridSpan w:val="2"/>
            <w:vMerge w:val="continue"/>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40" w:type="dxa"/>
            <w:vAlign w:val="bottom"/>
            <w:vMerge w:val="continue"/>
            <w:shd w:val="clear" w:color="auto" w:fill="CFF0FC"/>
          </w:tcPr>
          <w:p>
            <w:pPr>
              <w:spacing w:after="0"/>
              <w:rPr>
                <w:sz w:val="17"/>
                <w:szCs w:val="17"/>
                <w:color w:val="auto"/>
              </w:rPr>
            </w:pPr>
          </w:p>
        </w:tc>
        <w:tc>
          <w:tcPr>
            <w:tcW w:w="260" w:type="dxa"/>
            <w:vAlign w:val="bottom"/>
            <w:tcBorders>
              <w:right w:val="single" w:sz="8" w:color="CFF0FC"/>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40" w:type="dxa"/>
            <w:vAlign w:val="bottom"/>
            <w:tcBorders>
              <w:right w:val="single" w:sz="8" w:color="CFF0FC"/>
            </w:tcBorders>
            <w:gridSpan w:val="2"/>
            <w:vMerge w:val="continue"/>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0" w:type="dxa"/>
            <w:vAlign w:val="bottom"/>
            <w:vMerge w:val="continue"/>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20" w:type="dxa"/>
            <w:vAlign w:val="bottom"/>
            <w:tcBorders>
              <w:right w:val="single" w:sz="8" w:color="CFF0FC"/>
            </w:tcBorders>
            <w:gridSpan w:val="2"/>
            <w:vMerge w:val="continue"/>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00" w:type="dxa"/>
            <w:vAlign w:val="bottom"/>
            <w:gridSpan w:val="2"/>
            <w:vMerge w:val="continue"/>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80" w:type="dxa"/>
            <w:vAlign w:val="bottom"/>
            <w:vMerge w:val="continue"/>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680" w:type="dxa"/>
            <w:vAlign w:val="bottom"/>
          </w:tcPr>
          <w:p>
            <w:pPr>
              <w:ind w:left="120"/>
              <w:spacing w:after="0"/>
              <w:rPr>
                <w:sz w:val="20"/>
                <w:szCs w:val="20"/>
                <w:color w:val="auto"/>
              </w:rPr>
            </w:pPr>
            <w:r>
              <w:rPr>
                <w:rFonts w:ascii="Arial" w:cs="Arial" w:eastAsia="Arial" w:hAnsi="Arial"/>
                <w:sz w:val="16"/>
                <w:szCs w:val="16"/>
                <w:color w:val="auto"/>
                <w:w w:val="98"/>
              </w:rPr>
              <w:t>Stock-based compensation expense</w:t>
            </w: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27.2</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240" w:type="dxa"/>
            <w:vAlign w:val="bottom"/>
            <w:gridSpan w:val="2"/>
          </w:tcPr>
          <w:p>
            <w:pPr>
              <w:jc w:val="right"/>
              <w:ind w:right="15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920" w:type="dxa"/>
            <w:vAlign w:val="bottom"/>
            <w:gridSpan w:val="2"/>
          </w:tcPr>
          <w:p>
            <w:pPr>
              <w:jc w:val="right"/>
              <w:ind w:right="17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27.2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2680" w:type="dxa"/>
            <w:vAlign w:val="bottom"/>
            <w:shd w:val="clear" w:color="auto" w:fill="CFF0FC"/>
          </w:tcPr>
          <w:p>
            <w:pPr>
              <w:ind w:left="120"/>
              <w:spacing w:after="0" w:line="166" w:lineRule="exact"/>
              <w:rPr>
                <w:sz w:val="20"/>
                <w:szCs w:val="20"/>
                <w:color w:val="auto"/>
              </w:rPr>
            </w:pPr>
            <w:r>
              <w:rPr>
                <w:rFonts w:ascii="Arial" w:cs="Arial" w:eastAsia="Arial" w:hAnsi="Arial"/>
                <w:sz w:val="16"/>
                <w:szCs w:val="16"/>
                <w:color w:val="auto"/>
              </w:rPr>
              <w:t>Exercise of options, net of</w:t>
            </w:r>
          </w:p>
        </w:tc>
        <w:tc>
          <w:tcPr>
            <w:tcW w:w="1000" w:type="dxa"/>
            <w:vAlign w:val="bottom"/>
            <w:tcBorders>
              <w:right w:val="single" w:sz="8" w:color="CFF0FC"/>
            </w:tcBorders>
            <w:vMerge w:val="restart"/>
            <w:shd w:val="clear" w:color="auto" w:fill="CFF0FC"/>
          </w:tcPr>
          <w:p>
            <w:pPr>
              <w:jc w:val="right"/>
              <w:spacing w:after="0"/>
              <w:rPr>
                <w:sz w:val="20"/>
                <w:szCs w:val="20"/>
                <w:color w:val="auto"/>
              </w:rPr>
            </w:pPr>
            <w:r>
              <w:rPr>
                <w:rFonts w:ascii="Arial" w:cs="Arial" w:eastAsia="Arial" w:hAnsi="Arial"/>
                <w:sz w:val="16"/>
                <w:szCs w:val="16"/>
                <w:color w:val="auto"/>
              </w:rPr>
              <w:t>1.1</w:t>
            </w:r>
          </w:p>
        </w:tc>
        <w:tc>
          <w:tcPr>
            <w:tcW w:w="280" w:type="dxa"/>
            <w:vAlign w:val="bottom"/>
            <w:tcBorders>
              <w:right w:val="single" w:sz="8" w:color="CFF0FC"/>
            </w:tcBorders>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580" w:type="dxa"/>
            <w:vAlign w:val="bottom"/>
            <w:tcBorders>
              <w:right w:val="single" w:sz="8" w:color="CFF0FC"/>
            </w:tcBorders>
            <w:gridSpan w:val="2"/>
            <w:vMerge w:val="restart"/>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4"/>
                <w:szCs w:val="14"/>
                <w:color w:val="auto"/>
              </w:rPr>
            </w:pPr>
          </w:p>
        </w:tc>
        <w:tc>
          <w:tcPr>
            <w:tcW w:w="64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35.1</w:t>
            </w:r>
          </w:p>
        </w:tc>
        <w:tc>
          <w:tcPr>
            <w:tcW w:w="260" w:type="dxa"/>
            <w:vAlign w:val="bottom"/>
            <w:tcBorders>
              <w:right w:val="single" w:sz="8" w:color="CFF0FC"/>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40" w:type="dxa"/>
            <w:vAlign w:val="bottom"/>
            <w:tcBorders>
              <w:right w:val="single" w:sz="8" w:color="CFF0FC"/>
            </w:tcBorders>
            <w:gridSpan w:val="2"/>
            <w:vMerge w:val="restart"/>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4"/>
                <w:szCs w:val="14"/>
                <w:color w:val="auto"/>
              </w:rPr>
            </w:pPr>
          </w:p>
        </w:tc>
        <w:tc>
          <w:tcPr>
            <w:tcW w:w="1240" w:type="dxa"/>
            <w:vAlign w:val="bottom"/>
            <w:gridSpan w:val="2"/>
            <w:vMerge w:val="restart"/>
            <w:shd w:val="clear" w:color="auto" w:fill="CFF0FC"/>
          </w:tcPr>
          <w:p>
            <w:pPr>
              <w:jc w:val="right"/>
              <w:ind w:right="159"/>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4"/>
                <w:szCs w:val="14"/>
                <w:color w:val="auto"/>
              </w:rPr>
            </w:pPr>
          </w:p>
        </w:tc>
        <w:tc>
          <w:tcPr>
            <w:tcW w:w="920" w:type="dxa"/>
            <w:vAlign w:val="bottom"/>
            <w:tcBorders>
              <w:right w:val="single" w:sz="8" w:color="CFF0FC"/>
            </w:tcBorders>
            <w:gridSpan w:val="2"/>
            <w:vMerge w:val="restart"/>
            <w:shd w:val="clear" w:color="auto" w:fill="CFF0FC"/>
          </w:tcPr>
          <w:p>
            <w:pPr>
              <w:jc w:val="right"/>
              <w:ind w:right="179"/>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4"/>
                <w:szCs w:val="14"/>
                <w:color w:val="auto"/>
              </w:rPr>
            </w:pPr>
          </w:p>
        </w:tc>
        <w:tc>
          <w:tcPr>
            <w:tcW w:w="900" w:type="dxa"/>
            <w:vAlign w:val="bottom"/>
            <w:gridSpan w:val="2"/>
            <w:vMerge w:val="restart"/>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4"/>
                <w:szCs w:val="14"/>
                <w:color w:val="auto"/>
              </w:rPr>
            </w:pPr>
          </w:p>
        </w:tc>
        <w:tc>
          <w:tcPr>
            <w:tcW w:w="78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35.1</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2680" w:type="dxa"/>
            <w:vAlign w:val="bottom"/>
            <w:shd w:val="clear" w:color="auto" w:fill="CFF0FC"/>
          </w:tcPr>
          <w:p>
            <w:pPr>
              <w:ind w:left="120"/>
              <w:spacing w:after="0"/>
              <w:rPr>
                <w:sz w:val="20"/>
                <w:szCs w:val="20"/>
                <w:color w:val="auto"/>
              </w:rPr>
            </w:pPr>
            <w:r>
              <w:rPr>
                <w:rFonts w:ascii="Arial" w:cs="Arial" w:eastAsia="Arial" w:hAnsi="Arial"/>
                <w:sz w:val="16"/>
                <w:szCs w:val="16"/>
                <w:color w:val="auto"/>
              </w:rPr>
              <w:t>withholding taxes</w:t>
            </w:r>
          </w:p>
        </w:tc>
        <w:tc>
          <w:tcPr>
            <w:tcW w:w="1000" w:type="dxa"/>
            <w:vAlign w:val="bottom"/>
            <w:tcBorders>
              <w:right w:val="single" w:sz="8" w:color="CFF0FC"/>
            </w:tcBorders>
            <w:vMerge w:val="continue"/>
            <w:shd w:val="clear" w:color="auto" w:fill="CFF0FC"/>
          </w:tcPr>
          <w:p>
            <w:pPr>
              <w:spacing w:after="0"/>
              <w:rPr>
                <w:sz w:val="17"/>
                <w:szCs w:val="17"/>
                <w:color w:val="auto"/>
              </w:rPr>
            </w:pPr>
          </w:p>
        </w:tc>
        <w:tc>
          <w:tcPr>
            <w:tcW w:w="280" w:type="dxa"/>
            <w:vAlign w:val="bottom"/>
            <w:tcBorders>
              <w:right w:val="single" w:sz="8" w:color="CFF0FC"/>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580" w:type="dxa"/>
            <w:vAlign w:val="bottom"/>
            <w:tcBorders>
              <w:right w:val="single" w:sz="8" w:color="CFF0FC"/>
            </w:tcBorders>
            <w:gridSpan w:val="2"/>
            <w:vMerge w:val="continue"/>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40" w:type="dxa"/>
            <w:vAlign w:val="bottom"/>
            <w:vMerge w:val="continue"/>
            <w:shd w:val="clear" w:color="auto" w:fill="CFF0FC"/>
          </w:tcPr>
          <w:p>
            <w:pPr>
              <w:spacing w:after="0"/>
              <w:rPr>
                <w:sz w:val="17"/>
                <w:szCs w:val="17"/>
                <w:color w:val="auto"/>
              </w:rPr>
            </w:pPr>
          </w:p>
        </w:tc>
        <w:tc>
          <w:tcPr>
            <w:tcW w:w="260" w:type="dxa"/>
            <w:vAlign w:val="bottom"/>
            <w:tcBorders>
              <w:right w:val="single" w:sz="8" w:color="CFF0FC"/>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40" w:type="dxa"/>
            <w:vAlign w:val="bottom"/>
            <w:tcBorders>
              <w:right w:val="single" w:sz="8" w:color="CFF0FC"/>
            </w:tcBorders>
            <w:gridSpan w:val="2"/>
            <w:vMerge w:val="continue"/>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40" w:type="dxa"/>
            <w:vAlign w:val="bottom"/>
            <w:gridSpan w:val="2"/>
            <w:vMerge w:val="continue"/>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20" w:type="dxa"/>
            <w:vAlign w:val="bottom"/>
            <w:tcBorders>
              <w:right w:val="single" w:sz="8" w:color="CFF0FC"/>
            </w:tcBorders>
            <w:gridSpan w:val="2"/>
            <w:vMerge w:val="continue"/>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00" w:type="dxa"/>
            <w:vAlign w:val="bottom"/>
            <w:gridSpan w:val="2"/>
            <w:vMerge w:val="continue"/>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80" w:type="dxa"/>
            <w:vAlign w:val="bottom"/>
            <w:vMerge w:val="continue"/>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80" w:type="dxa"/>
            <w:vAlign w:val="bottom"/>
          </w:tcPr>
          <w:p>
            <w:pPr>
              <w:ind w:left="120"/>
              <w:spacing w:after="0"/>
              <w:rPr>
                <w:sz w:val="20"/>
                <w:szCs w:val="20"/>
                <w:color w:val="auto"/>
              </w:rPr>
            </w:pPr>
            <w:r>
              <w:rPr>
                <w:rFonts w:ascii="Arial" w:cs="Arial" w:eastAsia="Arial" w:hAnsi="Arial"/>
                <w:sz w:val="16"/>
                <w:szCs w:val="16"/>
                <w:color w:val="auto"/>
              </w:rPr>
              <w:t>Purchases of common stock</w:t>
            </w: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240" w:type="dxa"/>
            <w:vAlign w:val="bottom"/>
            <w:gridSpan w:val="2"/>
          </w:tcPr>
          <w:p>
            <w:pPr>
              <w:jc w:val="right"/>
              <w:ind w:right="15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920" w:type="dxa"/>
            <w:vAlign w:val="bottom"/>
            <w:gridSpan w:val="2"/>
          </w:tcPr>
          <w:p>
            <w:pPr>
              <w:jc w:val="right"/>
              <w:ind w:right="99"/>
              <w:spacing w:after="0"/>
              <w:rPr>
                <w:sz w:val="20"/>
                <w:szCs w:val="20"/>
                <w:color w:val="auto"/>
              </w:rPr>
            </w:pPr>
            <w:r>
              <w:rPr>
                <w:rFonts w:ascii="Arial" w:cs="Arial" w:eastAsia="Arial" w:hAnsi="Arial"/>
                <w:sz w:val="16"/>
                <w:szCs w:val="16"/>
                <w:color w:val="auto"/>
              </w:rPr>
              <w:t>(162.9 )</w:t>
            </w:r>
          </w:p>
        </w:tc>
        <w:tc>
          <w:tcPr>
            <w:tcW w:w="120" w:type="dxa"/>
            <w:vAlign w:val="bottom"/>
          </w:tcPr>
          <w:p>
            <w:pPr>
              <w:spacing w:after="0"/>
              <w:rPr>
                <w:sz w:val="17"/>
                <w:szCs w:val="17"/>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6"/>
                <w:szCs w:val="16"/>
                <w:color w:val="auto"/>
              </w:rPr>
              <w:t>(162.9 )</w:t>
            </w:r>
          </w:p>
        </w:tc>
        <w:tc>
          <w:tcPr>
            <w:tcW w:w="0" w:type="dxa"/>
            <w:vAlign w:val="bottom"/>
          </w:tcPr>
          <w:p>
            <w:pPr>
              <w:spacing w:after="0"/>
              <w:rPr>
                <w:sz w:val="1"/>
                <w:szCs w:val="1"/>
                <w:color w:val="auto"/>
              </w:rPr>
            </w:pPr>
          </w:p>
        </w:tc>
      </w:tr>
      <w:tr>
        <w:trPr>
          <w:trHeight w:val="166"/>
        </w:trPr>
        <w:tc>
          <w:tcPr>
            <w:tcW w:w="2680" w:type="dxa"/>
            <w:vAlign w:val="bottom"/>
            <w:shd w:val="clear" w:color="auto" w:fill="CFF0FC"/>
          </w:tcPr>
          <w:p>
            <w:pPr>
              <w:ind w:left="120"/>
              <w:spacing w:after="0" w:line="166" w:lineRule="exact"/>
              <w:rPr>
                <w:sz w:val="20"/>
                <w:szCs w:val="20"/>
                <w:color w:val="auto"/>
              </w:rPr>
            </w:pPr>
            <w:r>
              <w:rPr>
                <w:rFonts w:ascii="Arial" w:cs="Arial" w:eastAsia="Arial" w:hAnsi="Arial"/>
                <w:sz w:val="16"/>
                <w:szCs w:val="16"/>
                <w:color w:val="auto"/>
                <w:w w:val="98"/>
              </w:rPr>
              <w:t>Cash dividends declared - $0.16 per</w:t>
            </w:r>
          </w:p>
        </w:tc>
        <w:tc>
          <w:tcPr>
            <w:tcW w:w="1000" w:type="dxa"/>
            <w:vAlign w:val="bottom"/>
            <w:tcBorders>
              <w:right w:val="single" w:sz="8" w:color="CFF0FC"/>
            </w:tcBorders>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right w:val="single" w:sz="8" w:color="CFF0FC"/>
            </w:tcBorders>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340" w:type="dxa"/>
            <w:vAlign w:val="bottom"/>
            <w:tcBorders>
              <w:right w:val="single" w:sz="8" w:color="CFF0FC"/>
            </w:tcBorders>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right w:val="single" w:sz="8" w:color="CFF0FC"/>
            </w:tcBorders>
            <w:vMerge w:val="restart"/>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4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right w:val="single" w:sz="8" w:color="CFF0FC"/>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40" w:type="dxa"/>
            <w:vAlign w:val="bottom"/>
            <w:tcBorders>
              <w:right w:val="single" w:sz="8" w:color="CFF0FC"/>
            </w:tcBorders>
            <w:gridSpan w:val="2"/>
            <w:vMerge w:val="restart"/>
            <w:shd w:val="clear" w:color="auto" w:fill="CFF0FC"/>
          </w:tcPr>
          <w:p>
            <w:pPr>
              <w:jc w:val="right"/>
              <w:ind w:right="180"/>
              <w:spacing w:after="0"/>
              <w:rPr>
                <w:sz w:val="20"/>
                <w:szCs w:val="20"/>
                <w:color w:val="auto"/>
              </w:rPr>
            </w:pPr>
            <w:r>
              <w:rPr>
                <w:rFonts w:ascii="Arial" w:cs="Arial" w:eastAsia="Arial" w:hAnsi="Arial"/>
                <w:sz w:val="16"/>
                <w:szCs w:val="16"/>
                <w:color w:val="auto"/>
              </w:rPr>
              <w:t>(40.8 )</w:t>
            </w:r>
          </w:p>
        </w:tc>
        <w:tc>
          <w:tcPr>
            <w:tcW w:w="100" w:type="dxa"/>
            <w:vAlign w:val="bottom"/>
            <w:shd w:val="clear" w:color="auto" w:fill="CFF0FC"/>
          </w:tcPr>
          <w:p>
            <w:pPr>
              <w:spacing w:after="0"/>
              <w:rPr>
                <w:sz w:val="14"/>
                <w:szCs w:val="14"/>
                <w:color w:val="auto"/>
              </w:rPr>
            </w:pPr>
          </w:p>
        </w:tc>
        <w:tc>
          <w:tcPr>
            <w:tcW w:w="1240" w:type="dxa"/>
            <w:vAlign w:val="bottom"/>
            <w:gridSpan w:val="2"/>
            <w:vMerge w:val="restart"/>
            <w:shd w:val="clear" w:color="auto" w:fill="CFF0FC"/>
          </w:tcPr>
          <w:p>
            <w:pPr>
              <w:jc w:val="right"/>
              <w:ind w:right="159"/>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4"/>
                <w:szCs w:val="14"/>
                <w:color w:val="auto"/>
              </w:rPr>
            </w:pPr>
          </w:p>
        </w:tc>
        <w:tc>
          <w:tcPr>
            <w:tcW w:w="920" w:type="dxa"/>
            <w:vAlign w:val="bottom"/>
            <w:tcBorders>
              <w:right w:val="single" w:sz="8" w:color="CFF0FC"/>
            </w:tcBorders>
            <w:gridSpan w:val="2"/>
            <w:vMerge w:val="restart"/>
            <w:shd w:val="clear" w:color="auto" w:fill="CFF0FC"/>
          </w:tcPr>
          <w:p>
            <w:pPr>
              <w:jc w:val="right"/>
              <w:ind w:right="179"/>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4"/>
                <w:szCs w:val="14"/>
                <w:color w:val="auto"/>
              </w:rPr>
            </w:pPr>
          </w:p>
        </w:tc>
        <w:tc>
          <w:tcPr>
            <w:tcW w:w="900" w:type="dxa"/>
            <w:vAlign w:val="bottom"/>
            <w:gridSpan w:val="2"/>
            <w:vMerge w:val="restart"/>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4"/>
                <w:szCs w:val="14"/>
                <w:color w:val="auto"/>
              </w:rPr>
            </w:pPr>
          </w:p>
        </w:tc>
        <w:tc>
          <w:tcPr>
            <w:tcW w:w="880" w:type="dxa"/>
            <w:vAlign w:val="bottom"/>
            <w:gridSpan w:val="2"/>
            <w:vMerge w:val="restart"/>
            <w:shd w:val="clear" w:color="auto" w:fill="CFF0FC"/>
          </w:tcPr>
          <w:p>
            <w:pPr>
              <w:jc w:val="right"/>
              <w:ind w:right="40"/>
              <w:spacing w:after="0"/>
              <w:rPr>
                <w:sz w:val="20"/>
                <w:szCs w:val="20"/>
                <w:color w:val="auto"/>
              </w:rPr>
            </w:pPr>
            <w:r>
              <w:rPr>
                <w:rFonts w:ascii="Arial" w:cs="Arial" w:eastAsia="Arial" w:hAnsi="Arial"/>
                <w:sz w:val="16"/>
                <w:szCs w:val="16"/>
                <w:color w:val="auto"/>
              </w:rPr>
              <w:t>(40.8 )</w:t>
            </w:r>
          </w:p>
        </w:tc>
        <w:tc>
          <w:tcPr>
            <w:tcW w:w="0" w:type="dxa"/>
            <w:vAlign w:val="bottom"/>
          </w:tcPr>
          <w:p>
            <w:pPr>
              <w:spacing w:after="0"/>
              <w:rPr>
                <w:sz w:val="1"/>
                <w:szCs w:val="1"/>
                <w:color w:val="auto"/>
              </w:rPr>
            </w:pPr>
          </w:p>
        </w:tc>
      </w:tr>
      <w:tr>
        <w:trPr>
          <w:trHeight w:val="185"/>
        </w:trPr>
        <w:tc>
          <w:tcPr>
            <w:tcW w:w="2680" w:type="dxa"/>
            <w:vAlign w:val="bottom"/>
            <w:shd w:val="clear" w:color="auto" w:fill="CFF0FC"/>
          </w:tcPr>
          <w:p>
            <w:pPr>
              <w:ind w:left="120"/>
              <w:spacing w:after="0"/>
              <w:rPr>
                <w:sz w:val="20"/>
                <w:szCs w:val="20"/>
                <w:color w:val="auto"/>
              </w:rPr>
            </w:pPr>
            <w:r>
              <w:rPr>
                <w:rFonts w:ascii="Arial" w:cs="Arial" w:eastAsia="Arial" w:hAnsi="Arial"/>
                <w:sz w:val="16"/>
                <w:szCs w:val="16"/>
                <w:color w:val="auto"/>
              </w:rPr>
              <w:t>share</w:t>
            </w:r>
          </w:p>
        </w:tc>
        <w:tc>
          <w:tcPr>
            <w:tcW w:w="1000" w:type="dxa"/>
            <w:vAlign w:val="bottom"/>
            <w:tcBorders>
              <w:right w:val="single" w:sz="8" w:color="CFF0FC"/>
            </w:tcBorders>
            <w:vMerge w:val="continue"/>
            <w:shd w:val="clear" w:color="auto" w:fill="CFF0FC"/>
          </w:tcPr>
          <w:p>
            <w:pPr>
              <w:spacing w:after="0"/>
              <w:rPr>
                <w:sz w:val="16"/>
                <w:szCs w:val="16"/>
                <w:color w:val="auto"/>
              </w:rPr>
            </w:pPr>
          </w:p>
        </w:tc>
        <w:tc>
          <w:tcPr>
            <w:tcW w:w="280" w:type="dxa"/>
            <w:vAlign w:val="bottom"/>
            <w:tcBorders>
              <w:right w:val="single" w:sz="8" w:color="CFF0FC"/>
            </w:tcBorders>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340" w:type="dxa"/>
            <w:vAlign w:val="bottom"/>
            <w:tcBorders>
              <w:right w:val="single" w:sz="8" w:color="CFF0FC"/>
            </w:tcBorders>
            <w:vMerge w:val="continue"/>
            <w:shd w:val="clear" w:color="auto" w:fill="CFF0FC"/>
          </w:tcPr>
          <w:p>
            <w:pPr>
              <w:spacing w:after="0"/>
              <w:rPr>
                <w:sz w:val="16"/>
                <w:szCs w:val="16"/>
                <w:color w:val="auto"/>
              </w:rPr>
            </w:pPr>
          </w:p>
        </w:tc>
        <w:tc>
          <w:tcPr>
            <w:tcW w:w="240" w:type="dxa"/>
            <w:vAlign w:val="bottom"/>
            <w:tcBorders>
              <w:right w:val="single" w:sz="8" w:color="CFF0FC"/>
            </w:tcBorders>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40" w:type="dxa"/>
            <w:vAlign w:val="bottom"/>
            <w:vMerge w:val="continue"/>
            <w:shd w:val="clear" w:color="auto" w:fill="CFF0FC"/>
          </w:tcPr>
          <w:p>
            <w:pPr>
              <w:spacing w:after="0"/>
              <w:rPr>
                <w:sz w:val="16"/>
                <w:szCs w:val="16"/>
                <w:color w:val="auto"/>
              </w:rPr>
            </w:pPr>
          </w:p>
        </w:tc>
        <w:tc>
          <w:tcPr>
            <w:tcW w:w="260" w:type="dxa"/>
            <w:vAlign w:val="bottom"/>
            <w:tcBorders>
              <w:right w:val="single" w:sz="8" w:color="CFF0FC"/>
            </w:tcBorders>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940" w:type="dxa"/>
            <w:vAlign w:val="bottom"/>
            <w:tcBorders>
              <w:right w:val="single" w:sz="8" w:color="CFF0FC"/>
            </w:tcBorders>
            <w:gridSpan w:val="2"/>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40" w:type="dxa"/>
            <w:vAlign w:val="bottom"/>
            <w:gridSpan w:val="2"/>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20" w:type="dxa"/>
            <w:vAlign w:val="bottom"/>
            <w:tcBorders>
              <w:right w:val="single" w:sz="8" w:color="CFF0FC"/>
            </w:tcBorders>
            <w:gridSpan w:val="2"/>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00" w:type="dxa"/>
            <w:vAlign w:val="bottom"/>
            <w:gridSpan w:val="2"/>
            <w:vMerge w:val="continue"/>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880" w:type="dxa"/>
            <w:vAlign w:val="bottom"/>
            <w:gridSpan w:val="2"/>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680" w:type="dxa"/>
            <w:vAlign w:val="bottom"/>
            <w:shd w:val="clear" w:color="auto" w:fill="CFF0FC"/>
          </w:tcPr>
          <w:p>
            <w:pPr>
              <w:spacing w:after="0" w:line="20" w:lineRule="exact"/>
              <w:rPr>
                <w:sz w:val="1"/>
                <w:szCs w:val="1"/>
                <w:color w:val="auto"/>
              </w:rPr>
            </w:pPr>
          </w:p>
        </w:tc>
        <w:tc>
          <w:tcPr>
            <w:tcW w:w="1000" w:type="dxa"/>
            <w:vAlign w:val="bottom"/>
            <w:tcBorders>
              <w:right w:val="single" w:sz="8" w:color="auto"/>
            </w:tcBorders>
            <w:shd w:val="clear" w:color="auto" w:fill="000000"/>
          </w:tcPr>
          <w:p>
            <w:pPr>
              <w:spacing w:after="0" w:line="20" w:lineRule="exact"/>
              <w:rPr>
                <w:sz w:val="1"/>
                <w:szCs w:val="1"/>
                <w:color w:val="auto"/>
              </w:rPr>
            </w:pPr>
          </w:p>
        </w:tc>
        <w:tc>
          <w:tcPr>
            <w:tcW w:w="280" w:type="dxa"/>
            <w:vAlign w:val="bottom"/>
            <w:tcBorders>
              <w:right w:val="single" w:sz="8" w:color="CFF0FC"/>
            </w:tcBorders>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4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tcBorders>
              <w:right w:val="single" w:sz="8" w:color="CFF0FC"/>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Borders>
              <w:right w:val="single" w:sz="8" w:color="CFF0FC"/>
            </w:tcBorders>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tcBorders>
              <w:right w:val="single" w:sz="8" w:color="CFF0FC"/>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tcBorders>
              <w:right w:val="single" w:sz="8" w:color="CFF0FC"/>
            </w:tcBorders>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680" w:type="dxa"/>
            <w:vAlign w:val="bottom"/>
          </w:tcPr>
          <w:p>
            <w:pPr>
              <w:ind w:left="20"/>
              <w:spacing w:after="0"/>
              <w:rPr>
                <w:sz w:val="20"/>
                <w:szCs w:val="20"/>
                <w:color w:val="auto"/>
              </w:rPr>
            </w:pPr>
            <w:r>
              <w:rPr>
                <w:rFonts w:ascii="Arial" w:cs="Arial" w:eastAsia="Arial" w:hAnsi="Arial"/>
                <w:sz w:val="16"/>
                <w:szCs w:val="16"/>
                <w:color w:val="auto"/>
              </w:rPr>
              <w:t>Balance, at September 30, 2021</w:t>
            </w:r>
          </w:p>
        </w:tc>
        <w:tc>
          <w:tcPr>
            <w:tcW w:w="1000" w:type="dxa"/>
            <w:vAlign w:val="bottom"/>
          </w:tcPr>
          <w:p>
            <w:pPr>
              <w:jc w:val="right"/>
              <w:spacing w:after="0"/>
              <w:rPr>
                <w:sz w:val="20"/>
                <w:szCs w:val="20"/>
                <w:color w:val="auto"/>
              </w:rPr>
            </w:pPr>
            <w:r>
              <w:rPr>
                <w:rFonts w:ascii="Arial" w:cs="Arial" w:eastAsia="Arial" w:hAnsi="Arial"/>
                <w:sz w:val="16"/>
                <w:szCs w:val="16"/>
                <w:color w:val="auto"/>
              </w:rPr>
              <w:t>267.3</w:t>
            </w:r>
          </w:p>
        </w:tc>
        <w:tc>
          <w:tcPr>
            <w:tcW w:w="280" w:type="dxa"/>
            <w:vAlign w:val="bottom"/>
          </w:tcPr>
          <w:p>
            <w:pPr>
              <w:spacing w:after="0"/>
              <w:rPr>
                <w:sz w:val="17"/>
                <w:szCs w:val="17"/>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340" w:type="dxa"/>
            <w:vAlign w:val="bottom"/>
          </w:tcPr>
          <w:p>
            <w:pPr>
              <w:jc w:val="right"/>
              <w:spacing w:after="0"/>
              <w:rPr>
                <w:sz w:val="20"/>
                <w:szCs w:val="20"/>
                <w:color w:val="auto"/>
              </w:rPr>
            </w:pPr>
            <w:r>
              <w:rPr>
                <w:rFonts w:ascii="Arial" w:cs="Arial" w:eastAsia="Arial" w:hAnsi="Arial"/>
                <w:sz w:val="16"/>
                <w:szCs w:val="16"/>
                <w:color w:val="auto"/>
              </w:rPr>
              <w:t>2.7</w:t>
            </w:r>
          </w:p>
        </w:tc>
        <w:tc>
          <w:tcPr>
            <w:tcW w:w="24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4,791.9</w:t>
            </w:r>
          </w:p>
        </w:tc>
        <w:tc>
          <w:tcPr>
            <w:tcW w:w="26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2,093.2</w:t>
            </w:r>
          </w:p>
        </w:tc>
        <w:tc>
          <w:tcPr>
            <w:tcW w:w="24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gridSpan w:val="2"/>
          </w:tcPr>
          <w:p>
            <w:pPr>
              <w:jc w:val="right"/>
              <w:ind w:right="79"/>
              <w:spacing w:after="0"/>
              <w:rPr>
                <w:sz w:val="20"/>
                <w:szCs w:val="20"/>
                <w:color w:val="auto"/>
              </w:rPr>
            </w:pPr>
            <w:r>
              <w:rPr>
                <w:rFonts w:ascii="Arial" w:cs="Arial" w:eastAsia="Arial" w:hAnsi="Arial"/>
                <w:sz w:val="16"/>
                <w:szCs w:val="16"/>
                <w:color w:val="auto"/>
              </w:rPr>
              <w:t>(245.9 )</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gridSpan w:val="2"/>
          </w:tcPr>
          <w:p>
            <w:pPr>
              <w:jc w:val="right"/>
              <w:ind w:right="99"/>
              <w:spacing w:after="0"/>
              <w:rPr>
                <w:sz w:val="20"/>
                <w:szCs w:val="20"/>
                <w:color w:val="auto"/>
              </w:rPr>
            </w:pPr>
            <w:r>
              <w:rPr>
                <w:rFonts w:ascii="Arial" w:cs="Arial" w:eastAsia="Arial" w:hAnsi="Arial"/>
                <w:sz w:val="16"/>
                <w:szCs w:val="16"/>
                <w:color w:val="auto"/>
              </w:rPr>
              <w:t>(784.0 )</w:t>
            </w:r>
          </w:p>
        </w:tc>
        <w:tc>
          <w:tcPr>
            <w:tcW w:w="120" w:type="dxa"/>
            <w:vAlign w:val="bottom"/>
          </w:tcPr>
          <w:p>
            <w:pPr>
              <w:ind w:left="20"/>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57.5</w:t>
            </w:r>
          </w:p>
        </w:tc>
        <w:tc>
          <w:tcPr>
            <w:tcW w:w="240" w:type="dxa"/>
            <w:vAlign w:val="bottom"/>
          </w:tcPr>
          <w:p>
            <w:pPr>
              <w:spacing w:after="0"/>
              <w:rPr>
                <w:sz w:val="17"/>
                <w:szCs w:val="17"/>
                <w:color w:val="auto"/>
              </w:rPr>
            </w:pPr>
          </w:p>
        </w:tc>
        <w:tc>
          <w:tcPr>
            <w:tcW w:w="180" w:type="dxa"/>
            <w:vAlign w:val="bottom"/>
          </w:tcPr>
          <w:p>
            <w:pPr>
              <w:jc w:val="right"/>
              <w:ind w:right="2"/>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5,915.4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6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2327910</wp:posOffset>
            </wp:positionH>
            <wp:positionV relativeFrom="paragraph">
              <wp:posOffset>-3179445</wp:posOffset>
            </wp:positionV>
            <wp:extent cx="76835" cy="16319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6835" cy="163195"/>
                    </a:xfrm>
                    <a:prstGeom prst="rect">
                      <a:avLst/>
                    </a:prstGeom>
                    <a:noFill/>
                  </pic:spPr>
                </pic:pic>
              </a:graphicData>
            </a:graphic>
          </wp:anchor>
        </w:drawing>
        <w:drawing>
          <wp:anchor simplePos="0" relativeHeight="251657728" behindDoc="1" locked="0" layoutInCell="0" allowOverlap="1">
            <wp:simplePos x="0" y="0"/>
            <wp:positionH relativeFrom="column">
              <wp:posOffset>2868295</wp:posOffset>
            </wp:positionH>
            <wp:positionV relativeFrom="paragraph">
              <wp:posOffset>-3179445</wp:posOffset>
            </wp:positionV>
            <wp:extent cx="68580" cy="16319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3502660</wp:posOffset>
            </wp:positionH>
            <wp:positionV relativeFrom="paragraph">
              <wp:posOffset>-3179445</wp:posOffset>
            </wp:positionV>
            <wp:extent cx="68580" cy="16319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-3179445</wp:posOffset>
            </wp:positionV>
            <wp:extent cx="68580" cy="16319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-3179445</wp:posOffset>
            </wp:positionV>
            <wp:extent cx="68580" cy="16319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-3179445</wp:posOffset>
            </wp:positionV>
            <wp:extent cx="68580" cy="16319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-3179445</wp:posOffset>
            </wp:positionV>
            <wp:extent cx="68580" cy="16319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-3179445</wp:posOffset>
            </wp:positionV>
            <wp:extent cx="68580" cy="16319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2336800</wp:posOffset>
            </wp:positionH>
            <wp:positionV relativeFrom="paragraph">
              <wp:posOffset>-161925</wp:posOffset>
            </wp:positionV>
            <wp:extent cx="76835" cy="16256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2876550</wp:posOffset>
            </wp:positionH>
            <wp:positionV relativeFrom="paragraph">
              <wp:posOffset>-161925</wp:posOffset>
            </wp:positionV>
            <wp:extent cx="68580" cy="16256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-161925</wp:posOffset>
            </wp:positionV>
            <wp:extent cx="68580" cy="16256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-161925</wp:posOffset>
            </wp:positionV>
            <wp:extent cx="68580" cy="16256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-161925</wp:posOffset>
            </wp:positionV>
            <wp:extent cx="68580" cy="16256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-161925</wp:posOffset>
            </wp:positionV>
            <wp:extent cx="68580" cy="16256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-161925</wp:posOffset>
            </wp:positionV>
            <wp:extent cx="68580" cy="16256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-161925</wp:posOffset>
            </wp:positionV>
            <wp:extent cx="68580" cy="16256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162560"/>
                    </a:xfrm>
                    <a:prstGeom prst="rect">
                      <a:avLst/>
                    </a:prstGeom>
                    <a:noFill/>
                  </pic:spPr>
                </pic:pic>
              </a:graphicData>
            </a:graphic>
          </wp:anchor>
        </w:drawing>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SS&amp;C TECHNOLOGIES HOLDINGS, INC. AND SUBSIDIARIES</w:t>
      </w:r>
    </w:p>
    <w:p>
      <w:pPr>
        <w:spacing w:after="0" w:line="27" w:lineRule="exact"/>
        <w:rPr>
          <w:sz w:val="20"/>
          <w:szCs w:val="20"/>
          <w:color w:val="auto"/>
        </w:rPr>
      </w:pPr>
    </w:p>
    <w:p>
      <w:pPr>
        <w:ind w:right="3520"/>
        <w:spacing w:after="0" w:line="212" w:lineRule="auto"/>
        <w:rPr>
          <w:sz w:val="20"/>
          <w:szCs w:val="20"/>
          <w:color w:val="auto"/>
        </w:rPr>
      </w:pPr>
      <w:r>
        <w:rPr>
          <w:rFonts w:ascii="Arial" w:cs="Arial" w:eastAsia="Arial" w:hAnsi="Arial"/>
          <w:sz w:val="18"/>
          <w:szCs w:val="18"/>
          <w:b w:val="1"/>
          <w:bCs w:val="1"/>
          <w:color w:val="auto"/>
        </w:rPr>
        <w:t xml:space="preserve">CONDENSED CONSOLIDATED STATEMENTS OF CHANGES IN STOCKHOLDERS’ EQUITY </w:t>
      </w:r>
      <w:r>
        <w:rPr>
          <w:rFonts w:ascii="Arial" w:cs="Arial" w:eastAsia="Arial" w:hAnsi="Arial"/>
          <w:sz w:val="14"/>
          <w:szCs w:val="14"/>
          <w:b w:val="1"/>
          <w:bCs w:val="1"/>
          <w:color w:val="auto"/>
        </w:rPr>
        <w:t>(In millions) (Unaudited)</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68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b w:val="1"/>
                <w:bCs w:val="1"/>
                <w:color w:val="auto"/>
                <w:w w:val="97"/>
              </w:rPr>
              <w:t>Nine Months Ended September 30, 2022</w:t>
            </w:r>
          </w:p>
        </w:tc>
        <w:tc>
          <w:tcPr>
            <w:tcW w:w="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68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5"/>
          </w:tcPr>
          <w:p>
            <w:pPr>
              <w:jc w:val="right"/>
              <w:ind w:right="400"/>
              <w:spacing w:after="0"/>
              <w:rPr>
                <w:sz w:val="20"/>
                <w:szCs w:val="20"/>
                <w:color w:val="auto"/>
              </w:rPr>
            </w:pPr>
            <w:r>
              <w:rPr>
                <w:rFonts w:ascii="Arial" w:cs="Arial" w:eastAsia="Arial" w:hAnsi="Arial"/>
                <w:sz w:val="14"/>
                <w:szCs w:val="14"/>
                <w:b w:val="1"/>
                <w:bCs w:val="1"/>
                <w:color w:val="auto"/>
              </w:rPr>
              <w:t>SS&amp;C Stockholders</w:t>
            </w: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2680" w:type="dxa"/>
            <w:vAlign w:val="bottom"/>
          </w:tcPr>
          <w:p>
            <w:pPr>
              <w:spacing w:after="0"/>
              <w:rPr>
                <w:sz w:val="16"/>
                <w:szCs w:val="16"/>
                <w:color w:val="auto"/>
              </w:rPr>
            </w:pPr>
          </w:p>
        </w:tc>
        <w:tc>
          <w:tcPr>
            <w:tcW w:w="1520" w:type="dxa"/>
            <w:vAlign w:val="bottom"/>
            <w:gridSpan w:val="3"/>
          </w:tcPr>
          <w:p>
            <w:pPr>
              <w:jc w:val="right"/>
              <w:ind w:right="45"/>
              <w:spacing w:after="0"/>
              <w:rPr>
                <w:sz w:val="20"/>
                <w:szCs w:val="20"/>
                <w:color w:val="auto"/>
              </w:rPr>
            </w:pPr>
            <w:r>
              <w:rPr>
                <w:rFonts w:ascii="Arial" w:cs="Arial" w:eastAsia="Arial" w:hAnsi="Arial"/>
                <w:sz w:val="14"/>
                <w:szCs w:val="14"/>
                <w:b w:val="1"/>
                <w:bCs w:val="1"/>
                <w:color w:val="auto"/>
              </w:rPr>
              <w:t>Common Stock</w:t>
            </w:r>
          </w:p>
        </w:tc>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268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gridSpan w:val="2"/>
            <w:vMerge w:val="restart"/>
          </w:tcPr>
          <w:p>
            <w:pPr>
              <w:jc w:val="center"/>
              <w:ind w:right="299"/>
              <w:spacing w:after="0"/>
              <w:rPr>
                <w:sz w:val="20"/>
                <w:szCs w:val="20"/>
                <w:color w:val="auto"/>
              </w:rPr>
            </w:pPr>
            <w:r>
              <w:rPr>
                <w:rFonts w:ascii="Arial" w:cs="Arial" w:eastAsia="Arial" w:hAnsi="Arial"/>
                <w:sz w:val="14"/>
                <w:szCs w:val="14"/>
                <w:b w:val="1"/>
                <w:bCs w:val="1"/>
                <w:color w:val="auto"/>
                <w:w w:val="90"/>
              </w:rPr>
              <w:t>Accumulated</w:t>
            </w: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2680" w:type="dxa"/>
            <w:vAlign w:val="bottom"/>
          </w:tcPr>
          <w:p>
            <w:pPr>
              <w:spacing w:after="0"/>
              <w:rPr>
                <w:sz w:val="13"/>
                <w:szCs w:val="13"/>
                <w:color w:val="auto"/>
              </w:rPr>
            </w:pPr>
          </w:p>
        </w:tc>
        <w:tc>
          <w:tcPr>
            <w:tcW w:w="1000" w:type="dxa"/>
            <w:vAlign w:val="bottom"/>
          </w:tcPr>
          <w:p>
            <w:pPr>
              <w:jc w:val="center"/>
              <w:spacing w:after="0" w:line="160" w:lineRule="exact"/>
              <w:rPr>
                <w:sz w:val="20"/>
                <w:szCs w:val="20"/>
                <w:color w:val="auto"/>
              </w:rPr>
            </w:pPr>
            <w:r>
              <w:rPr>
                <w:rFonts w:ascii="Arial" w:cs="Arial" w:eastAsia="Arial" w:hAnsi="Arial"/>
                <w:sz w:val="14"/>
                <w:szCs w:val="14"/>
                <w:b w:val="1"/>
                <w:bCs w:val="1"/>
                <w:color w:val="auto"/>
                <w:w w:val="94"/>
              </w:rPr>
              <w:t>Number</w:t>
            </w: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268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0"/>
              </w:rPr>
              <w:t>of</w:t>
            </w: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Additional</w:t>
            </w: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jc w:val="center"/>
              <w:ind w:right="299"/>
              <w:spacing w:after="0"/>
              <w:rPr>
                <w:sz w:val="20"/>
                <w:szCs w:val="20"/>
                <w:color w:val="auto"/>
              </w:rPr>
            </w:pPr>
            <w:r>
              <w:rPr>
                <w:rFonts w:ascii="Arial" w:cs="Arial" w:eastAsia="Arial" w:hAnsi="Arial"/>
                <w:sz w:val="14"/>
                <w:szCs w:val="14"/>
                <w:b w:val="1"/>
                <w:bCs w:val="1"/>
                <w:color w:val="auto"/>
                <w:w w:val="96"/>
              </w:rPr>
              <w:t>Other</w:t>
            </w: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Noncontroll</w:t>
            </w:r>
          </w:p>
        </w:tc>
        <w:tc>
          <w:tcPr>
            <w:tcW w:w="180" w:type="dxa"/>
            <w:vAlign w:val="bottom"/>
          </w:tcPr>
          <w:p>
            <w:pPr>
              <w:spacing w:after="0"/>
              <w:rPr>
                <w:sz w:val="16"/>
                <w:szCs w:val="16"/>
                <w:color w:val="auto"/>
              </w:rPr>
            </w:pPr>
          </w:p>
        </w:tc>
        <w:tc>
          <w:tcPr>
            <w:tcW w:w="8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38"/>
        </w:trPr>
        <w:tc>
          <w:tcPr>
            <w:tcW w:w="2680" w:type="dxa"/>
            <w:vAlign w:val="bottom"/>
          </w:tcPr>
          <w:p>
            <w:pPr>
              <w:spacing w:after="0"/>
              <w:rPr>
                <w:sz w:val="11"/>
                <w:szCs w:val="11"/>
                <w:color w:val="auto"/>
              </w:rPr>
            </w:pPr>
          </w:p>
        </w:tc>
        <w:tc>
          <w:tcPr>
            <w:tcW w:w="10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5"/>
              </w:rPr>
              <w:t>Issued</w:t>
            </w: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restart"/>
          </w:tcPr>
          <w:p>
            <w:pPr>
              <w:jc w:val="center"/>
              <w:ind w:right="41"/>
              <w:spacing w:after="0"/>
              <w:rPr>
                <w:sz w:val="20"/>
                <w:szCs w:val="20"/>
                <w:color w:val="auto"/>
              </w:rPr>
            </w:pPr>
            <w:r>
              <w:rPr>
                <w:rFonts w:ascii="Arial" w:cs="Arial" w:eastAsia="Arial" w:hAnsi="Arial"/>
                <w:sz w:val="14"/>
                <w:szCs w:val="14"/>
                <w:b w:val="1"/>
                <w:bCs w:val="1"/>
                <w:color w:val="auto"/>
                <w:w w:val="94"/>
              </w:rPr>
              <w:t>Paid-in</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Retained</w:t>
            </w:r>
          </w:p>
        </w:tc>
        <w:tc>
          <w:tcPr>
            <w:tcW w:w="1360" w:type="dxa"/>
            <w:vAlign w:val="bottom"/>
            <w:gridSpan w:val="3"/>
            <w:vMerge w:val="restart"/>
          </w:tcPr>
          <w:p>
            <w:pPr>
              <w:jc w:val="center"/>
              <w:ind w:right="199"/>
              <w:spacing w:after="0"/>
              <w:rPr>
                <w:sz w:val="20"/>
                <w:szCs w:val="20"/>
                <w:color w:val="auto"/>
              </w:rPr>
            </w:pPr>
            <w:r>
              <w:rPr>
                <w:rFonts w:ascii="Arial" w:cs="Arial" w:eastAsia="Arial" w:hAnsi="Arial"/>
                <w:sz w:val="14"/>
                <w:szCs w:val="14"/>
                <w:b w:val="1"/>
                <w:bCs w:val="1"/>
                <w:color w:val="auto"/>
                <w:w w:val="91"/>
              </w:rPr>
              <w:t>Comprehensive</w:t>
            </w:r>
          </w:p>
        </w:tc>
        <w:tc>
          <w:tcPr>
            <w:tcW w:w="80" w:type="dxa"/>
            <w:vAlign w:val="bottom"/>
          </w:tcPr>
          <w:p>
            <w:pPr>
              <w:spacing w:after="0"/>
              <w:rPr>
                <w:sz w:val="11"/>
                <w:szCs w:val="11"/>
                <w:color w:val="auto"/>
              </w:rPr>
            </w:pPr>
          </w:p>
        </w:tc>
        <w:tc>
          <w:tcPr>
            <w:tcW w:w="920" w:type="dxa"/>
            <w:vAlign w:val="bottom"/>
            <w:gridSpan w:val="2"/>
            <w:vMerge w:val="restart"/>
          </w:tcPr>
          <w:p>
            <w:pPr>
              <w:jc w:val="center"/>
              <w:ind w:right="279"/>
              <w:spacing w:after="0"/>
              <w:rPr>
                <w:sz w:val="20"/>
                <w:szCs w:val="20"/>
                <w:color w:val="auto"/>
              </w:rPr>
            </w:pPr>
            <w:r>
              <w:rPr>
                <w:rFonts w:ascii="Arial" w:cs="Arial" w:eastAsia="Arial" w:hAnsi="Arial"/>
                <w:sz w:val="14"/>
                <w:szCs w:val="14"/>
                <w:b w:val="1"/>
                <w:bCs w:val="1"/>
                <w:color w:val="auto"/>
                <w:w w:val="94"/>
              </w:rPr>
              <w:t>Treasury</w:t>
            </w:r>
          </w:p>
        </w:tc>
        <w:tc>
          <w:tcPr>
            <w:tcW w:w="1020" w:type="dxa"/>
            <w:vAlign w:val="bottom"/>
            <w:gridSpan w:val="3"/>
            <w:vMerge w:val="continue"/>
          </w:tcPr>
          <w:p>
            <w:pPr>
              <w:spacing w:after="0"/>
              <w:rPr>
                <w:sz w:val="11"/>
                <w:szCs w:val="11"/>
                <w:color w:val="auto"/>
              </w:rPr>
            </w:pPr>
          </w:p>
        </w:tc>
        <w:tc>
          <w:tcPr>
            <w:tcW w:w="106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76"/>
        </w:trPr>
        <w:tc>
          <w:tcPr>
            <w:tcW w:w="268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1360" w:type="dxa"/>
            <w:vAlign w:val="bottom"/>
            <w:gridSpan w:val="3"/>
            <w:vMerge w:val="continue"/>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5"/>
              </w:rPr>
              <w:t>ing</w:t>
            </w:r>
          </w:p>
        </w:tc>
        <w:tc>
          <w:tcPr>
            <w:tcW w:w="106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68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89"/>
              </w:rPr>
              <w:t>Shares</w:t>
            </w:r>
          </w:p>
        </w:tc>
        <w:tc>
          <w:tcPr>
            <w:tcW w:w="280" w:type="dxa"/>
            <w:vAlign w:val="bottom"/>
          </w:tcPr>
          <w:p>
            <w:pPr>
              <w:spacing w:after="0"/>
              <w:rPr>
                <w:sz w:val="16"/>
                <w:szCs w:val="16"/>
                <w:color w:val="auto"/>
              </w:rPr>
            </w:pPr>
          </w:p>
        </w:tc>
        <w:tc>
          <w:tcPr>
            <w:tcW w:w="820" w:type="dxa"/>
            <w:vAlign w:val="bottom"/>
            <w:gridSpan w:val="3"/>
          </w:tcPr>
          <w:p>
            <w:pPr>
              <w:ind w:left="2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6"/>
                <w:szCs w:val="16"/>
                <w:color w:val="auto"/>
              </w:rPr>
            </w:pPr>
          </w:p>
        </w:tc>
        <w:tc>
          <w:tcPr>
            <w:tcW w:w="640" w:type="dxa"/>
            <w:vAlign w:val="bottom"/>
          </w:tcPr>
          <w:p>
            <w:pPr>
              <w:jc w:val="center"/>
              <w:ind w:right="41"/>
              <w:spacing w:after="0"/>
              <w:rPr>
                <w:sz w:val="20"/>
                <w:szCs w:val="20"/>
                <w:color w:val="auto"/>
              </w:rPr>
            </w:pPr>
            <w:r>
              <w:rPr>
                <w:rFonts w:ascii="Arial" w:cs="Arial" w:eastAsia="Arial" w:hAnsi="Arial"/>
                <w:sz w:val="14"/>
                <w:szCs w:val="14"/>
                <w:b w:val="1"/>
                <w:bCs w:val="1"/>
                <w:color w:val="auto"/>
                <w:w w:val="94"/>
              </w:rPr>
              <w:t>Capital</w:t>
            </w: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gridSpan w:val="2"/>
          </w:tcPr>
          <w:p>
            <w:pPr>
              <w:ind w:left="20"/>
              <w:spacing w:after="0"/>
              <w:rPr>
                <w:sz w:val="20"/>
                <w:szCs w:val="20"/>
                <w:color w:val="auto"/>
              </w:rPr>
            </w:pPr>
            <w:r>
              <w:rPr>
                <w:rFonts w:ascii="Arial" w:cs="Arial" w:eastAsia="Arial" w:hAnsi="Arial"/>
                <w:sz w:val="14"/>
                <w:szCs w:val="14"/>
                <w:b w:val="1"/>
                <w:bCs w:val="1"/>
                <w:color w:val="auto"/>
              </w:rPr>
              <w:t>Earnings</w:t>
            </w:r>
          </w:p>
        </w:tc>
        <w:tc>
          <w:tcPr>
            <w:tcW w:w="100" w:type="dxa"/>
            <w:vAlign w:val="bottom"/>
          </w:tcPr>
          <w:p>
            <w:pPr>
              <w:spacing w:after="0"/>
              <w:rPr>
                <w:sz w:val="16"/>
                <w:szCs w:val="16"/>
                <w:color w:val="auto"/>
              </w:rPr>
            </w:pPr>
          </w:p>
        </w:tc>
        <w:tc>
          <w:tcPr>
            <w:tcW w:w="1260" w:type="dxa"/>
            <w:vAlign w:val="bottom"/>
            <w:gridSpan w:val="2"/>
          </w:tcPr>
          <w:p>
            <w:pPr>
              <w:jc w:val="center"/>
              <w:ind w:right="299"/>
              <w:spacing w:after="0"/>
              <w:rPr>
                <w:sz w:val="20"/>
                <w:szCs w:val="20"/>
                <w:color w:val="auto"/>
              </w:rPr>
            </w:pPr>
            <w:r>
              <w:rPr>
                <w:rFonts w:ascii="Arial" w:cs="Arial" w:eastAsia="Arial" w:hAnsi="Arial"/>
                <w:sz w:val="14"/>
                <w:szCs w:val="14"/>
                <w:b w:val="1"/>
                <w:bCs w:val="1"/>
                <w:color w:val="auto"/>
                <w:w w:val="92"/>
              </w:rPr>
              <w:t>(Loss) Income</w:t>
            </w:r>
          </w:p>
        </w:tc>
        <w:tc>
          <w:tcPr>
            <w:tcW w:w="80" w:type="dxa"/>
            <w:vAlign w:val="bottom"/>
          </w:tcPr>
          <w:p>
            <w:pPr>
              <w:spacing w:after="0"/>
              <w:rPr>
                <w:sz w:val="16"/>
                <w:szCs w:val="16"/>
                <w:color w:val="auto"/>
              </w:rPr>
            </w:pPr>
          </w:p>
        </w:tc>
        <w:tc>
          <w:tcPr>
            <w:tcW w:w="920" w:type="dxa"/>
            <w:vAlign w:val="bottom"/>
            <w:gridSpan w:val="2"/>
          </w:tcPr>
          <w:p>
            <w:pPr>
              <w:jc w:val="center"/>
              <w:ind w:right="279"/>
              <w:spacing w:after="0"/>
              <w:rPr>
                <w:sz w:val="20"/>
                <w:szCs w:val="20"/>
                <w:color w:val="auto"/>
              </w:rPr>
            </w:pPr>
            <w:r>
              <w:rPr>
                <w:rFonts w:ascii="Arial" w:cs="Arial" w:eastAsia="Arial" w:hAnsi="Arial"/>
                <w:sz w:val="14"/>
                <w:szCs w:val="14"/>
                <w:b w:val="1"/>
                <w:bCs w:val="1"/>
                <w:color w:val="auto"/>
                <w:w w:val="94"/>
              </w:rPr>
              <w:t>Stock</w:t>
            </w:r>
          </w:p>
        </w:tc>
        <w:tc>
          <w:tcPr>
            <w:tcW w:w="120" w:type="dxa"/>
            <w:vAlign w:val="bottom"/>
          </w:tcPr>
          <w:p>
            <w:pPr>
              <w:spacing w:after="0"/>
              <w:rPr>
                <w:sz w:val="16"/>
                <w:szCs w:val="16"/>
                <w:color w:val="auto"/>
              </w:rPr>
            </w:pPr>
          </w:p>
        </w:tc>
        <w:tc>
          <w:tcPr>
            <w:tcW w:w="9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Interest</w:t>
            </w:r>
          </w:p>
        </w:tc>
        <w:tc>
          <w:tcPr>
            <w:tcW w:w="180" w:type="dxa"/>
            <w:vAlign w:val="bottom"/>
          </w:tcPr>
          <w:p>
            <w:pPr>
              <w:spacing w:after="0"/>
              <w:rPr>
                <w:sz w:val="16"/>
                <w:szCs w:val="16"/>
                <w:color w:val="auto"/>
              </w:rPr>
            </w:pPr>
          </w:p>
        </w:tc>
        <w:tc>
          <w:tcPr>
            <w:tcW w:w="8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196"/>
        </w:trPr>
        <w:tc>
          <w:tcPr>
            <w:tcW w:w="2680" w:type="dxa"/>
            <w:vAlign w:val="bottom"/>
            <w:shd w:val="clear" w:color="auto" w:fill="CFF0FC"/>
          </w:tcPr>
          <w:p>
            <w:pPr>
              <w:ind w:left="20"/>
              <w:spacing w:after="0"/>
              <w:rPr>
                <w:sz w:val="20"/>
                <w:szCs w:val="20"/>
                <w:color w:val="auto"/>
              </w:rPr>
            </w:pPr>
            <w:r>
              <w:rPr>
                <w:rFonts w:ascii="Arial" w:cs="Arial" w:eastAsia="Arial" w:hAnsi="Arial"/>
                <w:sz w:val="16"/>
                <w:szCs w:val="16"/>
                <w:color w:val="auto"/>
              </w:rPr>
              <w:t>Balance, at December 31, 2021</w:t>
            </w:r>
          </w:p>
        </w:tc>
        <w:tc>
          <w:tcPr>
            <w:tcW w:w="1000" w:type="dxa"/>
            <w:vAlign w:val="bottom"/>
            <w:tcBorders>
              <w:top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269.1</w:t>
            </w:r>
          </w:p>
        </w:tc>
        <w:tc>
          <w:tcPr>
            <w:tcW w:w="280" w:type="dxa"/>
            <w:vAlign w:val="bottom"/>
            <w:tcBorders>
              <w:right w:val="single" w:sz="8" w:color="CFF0FC"/>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2.7</w:t>
            </w:r>
          </w:p>
        </w:tc>
        <w:tc>
          <w:tcPr>
            <w:tcW w:w="240" w:type="dxa"/>
            <w:vAlign w:val="bottom"/>
            <w:tcBorders>
              <w:right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4,895.7</w:t>
            </w:r>
          </w:p>
        </w:tc>
        <w:tc>
          <w:tcPr>
            <w:tcW w:w="260" w:type="dxa"/>
            <w:vAlign w:val="bottom"/>
            <w:tcBorders>
              <w:right w:val="single" w:sz="8" w:color="CFF0FC"/>
            </w:tcBorders>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2,293.0</w:t>
            </w:r>
          </w:p>
        </w:tc>
        <w:tc>
          <w:tcPr>
            <w:tcW w:w="240" w:type="dxa"/>
            <w:vAlign w:val="bottom"/>
            <w:tcBorders>
              <w:right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(242.0</w:t>
            </w:r>
          </w:p>
        </w:tc>
        <w:tc>
          <w:tcPr>
            <w:tcW w:w="260" w:type="dxa"/>
            <w:vAlign w:val="bottom"/>
            <w:tcBorders>
              <w:right w:val="single" w:sz="8" w:color="CFF0FC"/>
            </w:tcBorders>
            <w:shd w:val="clear" w:color="auto" w:fill="CFF0FC"/>
          </w:tcPr>
          <w:p>
            <w:pPr>
              <w:jc w:val="right"/>
              <w:ind w:right="119"/>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(784.0</w:t>
            </w:r>
          </w:p>
        </w:tc>
        <w:tc>
          <w:tcPr>
            <w:tcW w:w="240" w:type="dxa"/>
            <w:vAlign w:val="bottom"/>
            <w:tcBorders>
              <w:right w:val="single" w:sz="8" w:color="CFF0FC"/>
            </w:tcBorders>
            <w:shd w:val="clear" w:color="auto" w:fill="CFF0FC"/>
          </w:tcPr>
          <w:p>
            <w:pPr>
              <w:jc w:val="right"/>
              <w:ind w:right="99"/>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6"/>
                <w:szCs w:val="16"/>
                <w:color w:val="auto"/>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57.8</w:t>
            </w:r>
          </w:p>
        </w:tc>
        <w:tc>
          <w:tcPr>
            <w:tcW w:w="240" w:type="dxa"/>
            <w:vAlign w:val="bottom"/>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jc w:val="right"/>
              <w:ind w:right="2"/>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6,223.2</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2680" w:type="dxa"/>
            <w:vAlign w:val="bottom"/>
          </w:tcPr>
          <w:p>
            <w:pPr>
              <w:ind w:left="120"/>
              <w:spacing w:after="0"/>
              <w:rPr>
                <w:sz w:val="20"/>
                <w:szCs w:val="20"/>
                <w:color w:val="auto"/>
              </w:rPr>
            </w:pPr>
            <w:r>
              <w:rPr>
                <w:rFonts w:ascii="Arial" w:cs="Arial" w:eastAsia="Arial" w:hAnsi="Arial"/>
                <w:sz w:val="16"/>
                <w:szCs w:val="16"/>
                <w:color w:val="auto"/>
              </w:rPr>
              <w:t>Net income</w:t>
            </w: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442.7</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199"/>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920" w:type="dxa"/>
            <w:vAlign w:val="bottom"/>
            <w:gridSpan w:val="2"/>
          </w:tcPr>
          <w:p>
            <w:pPr>
              <w:jc w:val="right"/>
              <w:ind w:right="17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(1.3 )</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441.4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2680" w:type="dxa"/>
            <w:vAlign w:val="bottom"/>
            <w:shd w:val="clear" w:color="auto" w:fill="CFF0FC"/>
          </w:tcPr>
          <w:p>
            <w:pPr>
              <w:ind w:left="120"/>
              <w:spacing w:after="0" w:line="155" w:lineRule="exact"/>
              <w:rPr>
                <w:sz w:val="20"/>
                <w:szCs w:val="20"/>
                <w:color w:val="auto"/>
              </w:rPr>
            </w:pPr>
            <w:r>
              <w:rPr>
                <w:rFonts w:ascii="Arial" w:cs="Arial" w:eastAsia="Arial" w:hAnsi="Arial"/>
                <w:sz w:val="16"/>
                <w:szCs w:val="16"/>
                <w:color w:val="auto"/>
              </w:rPr>
              <w:t>Foreign exchange translation</w:t>
            </w:r>
          </w:p>
        </w:tc>
        <w:tc>
          <w:tcPr>
            <w:tcW w:w="1000" w:type="dxa"/>
            <w:vAlign w:val="bottom"/>
            <w:tcBorders>
              <w:right w:val="single" w:sz="8" w:color="CFF0FC"/>
            </w:tcBorders>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right w:val="single" w:sz="8" w:color="CFF0FC"/>
            </w:tcBorders>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580" w:type="dxa"/>
            <w:vAlign w:val="bottom"/>
            <w:tcBorders>
              <w:right w:val="single" w:sz="8" w:color="CFF0FC"/>
            </w:tcBorders>
            <w:gridSpan w:val="2"/>
            <w:vMerge w:val="restart"/>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3"/>
                <w:szCs w:val="13"/>
                <w:color w:val="auto"/>
              </w:rPr>
            </w:pPr>
          </w:p>
        </w:tc>
        <w:tc>
          <w:tcPr>
            <w:tcW w:w="64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right w:val="single" w:sz="8" w:color="CFF0FC"/>
            </w:tcBorders>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40" w:type="dxa"/>
            <w:vAlign w:val="bottom"/>
            <w:tcBorders>
              <w:right w:val="single" w:sz="8" w:color="CFF0FC"/>
            </w:tcBorders>
            <w:gridSpan w:val="2"/>
            <w:vMerge w:val="restart"/>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3"/>
                <w:szCs w:val="13"/>
                <w:color w:val="auto"/>
              </w:rPr>
            </w:pPr>
          </w:p>
        </w:tc>
        <w:tc>
          <w:tcPr>
            <w:tcW w:w="1260" w:type="dxa"/>
            <w:vAlign w:val="bottom"/>
            <w:tcBorders>
              <w:right w:val="single" w:sz="8" w:color="CFF0FC"/>
            </w:tcBorders>
            <w:gridSpan w:val="2"/>
            <w:vMerge w:val="restart"/>
            <w:shd w:val="clear" w:color="auto" w:fill="CFF0FC"/>
          </w:tcPr>
          <w:p>
            <w:pPr>
              <w:jc w:val="right"/>
              <w:ind w:right="119"/>
              <w:spacing w:after="0"/>
              <w:rPr>
                <w:sz w:val="20"/>
                <w:szCs w:val="20"/>
                <w:color w:val="auto"/>
              </w:rPr>
            </w:pPr>
            <w:r>
              <w:rPr>
                <w:rFonts w:ascii="Arial" w:cs="Arial" w:eastAsia="Arial" w:hAnsi="Arial"/>
                <w:sz w:val="16"/>
                <w:szCs w:val="16"/>
                <w:color w:val="auto"/>
              </w:rPr>
              <w:t>(512.0 )</w:t>
            </w:r>
          </w:p>
        </w:tc>
        <w:tc>
          <w:tcPr>
            <w:tcW w:w="80" w:type="dxa"/>
            <w:vAlign w:val="bottom"/>
            <w:shd w:val="clear" w:color="auto" w:fill="CFF0FC"/>
          </w:tcPr>
          <w:p>
            <w:pPr>
              <w:spacing w:after="0"/>
              <w:rPr>
                <w:sz w:val="13"/>
                <w:szCs w:val="13"/>
                <w:color w:val="auto"/>
              </w:rPr>
            </w:pPr>
          </w:p>
        </w:tc>
        <w:tc>
          <w:tcPr>
            <w:tcW w:w="920" w:type="dxa"/>
            <w:vAlign w:val="bottom"/>
            <w:tcBorders>
              <w:right w:val="single" w:sz="8" w:color="CFF0FC"/>
            </w:tcBorders>
            <w:gridSpan w:val="2"/>
            <w:vMerge w:val="restart"/>
            <w:shd w:val="clear" w:color="auto" w:fill="CFF0FC"/>
          </w:tcPr>
          <w:p>
            <w:pPr>
              <w:jc w:val="right"/>
              <w:ind w:right="179"/>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3"/>
                <w:szCs w:val="13"/>
                <w:color w:val="auto"/>
              </w:rPr>
            </w:pPr>
          </w:p>
        </w:tc>
        <w:tc>
          <w:tcPr>
            <w:tcW w:w="900" w:type="dxa"/>
            <w:vAlign w:val="bottom"/>
            <w:gridSpan w:val="2"/>
            <w:vMerge w:val="restart"/>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3"/>
                <w:szCs w:val="13"/>
                <w:color w:val="auto"/>
              </w:rPr>
            </w:pPr>
          </w:p>
        </w:tc>
        <w:tc>
          <w:tcPr>
            <w:tcW w:w="880" w:type="dxa"/>
            <w:vAlign w:val="bottom"/>
            <w:gridSpan w:val="2"/>
            <w:vMerge w:val="restart"/>
            <w:shd w:val="clear" w:color="auto" w:fill="CFF0FC"/>
          </w:tcPr>
          <w:p>
            <w:pPr>
              <w:jc w:val="right"/>
              <w:ind w:right="40"/>
              <w:spacing w:after="0"/>
              <w:rPr>
                <w:sz w:val="20"/>
                <w:szCs w:val="20"/>
                <w:color w:val="auto"/>
              </w:rPr>
            </w:pPr>
            <w:r>
              <w:rPr>
                <w:rFonts w:ascii="Arial" w:cs="Arial" w:eastAsia="Arial" w:hAnsi="Arial"/>
                <w:sz w:val="16"/>
                <w:szCs w:val="16"/>
                <w:color w:val="auto"/>
              </w:rPr>
              <w:t>(512.0 )</w:t>
            </w:r>
          </w:p>
        </w:tc>
        <w:tc>
          <w:tcPr>
            <w:tcW w:w="0" w:type="dxa"/>
            <w:vAlign w:val="bottom"/>
          </w:tcPr>
          <w:p>
            <w:pPr>
              <w:spacing w:after="0"/>
              <w:rPr>
                <w:sz w:val="1"/>
                <w:szCs w:val="1"/>
                <w:color w:val="auto"/>
              </w:rPr>
            </w:pPr>
          </w:p>
        </w:tc>
      </w:tr>
      <w:tr>
        <w:trPr>
          <w:trHeight w:val="212"/>
        </w:trPr>
        <w:tc>
          <w:tcPr>
            <w:tcW w:w="2680" w:type="dxa"/>
            <w:vAlign w:val="bottom"/>
            <w:shd w:val="clear" w:color="auto" w:fill="CFF0FC"/>
          </w:tcPr>
          <w:p>
            <w:pPr>
              <w:ind w:left="120"/>
              <w:spacing w:after="0"/>
              <w:rPr>
                <w:sz w:val="20"/>
                <w:szCs w:val="20"/>
                <w:color w:val="auto"/>
              </w:rPr>
            </w:pPr>
            <w:r>
              <w:rPr>
                <w:rFonts w:ascii="Arial" w:cs="Arial" w:eastAsia="Arial" w:hAnsi="Arial"/>
                <w:sz w:val="16"/>
                <w:szCs w:val="16"/>
                <w:color w:val="auto"/>
              </w:rPr>
              <w:t>adjustment</w:t>
            </w:r>
          </w:p>
        </w:tc>
        <w:tc>
          <w:tcPr>
            <w:tcW w:w="1000" w:type="dxa"/>
            <w:vAlign w:val="bottom"/>
            <w:tcBorders>
              <w:right w:val="single" w:sz="8" w:color="CFF0FC"/>
            </w:tcBorders>
            <w:vMerge w:val="continue"/>
            <w:shd w:val="clear" w:color="auto" w:fill="CFF0FC"/>
          </w:tcPr>
          <w:p>
            <w:pPr>
              <w:spacing w:after="0"/>
              <w:rPr>
                <w:sz w:val="18"/>
                <w:szCs w:val="18"/>
                <w:color w:val="auto"/>
              </w:rPr>
            </w:pPr>
          </w:p>
        </w:tc>
        <w:tc>
          <w:tcPr>
            <w:tcW w:w="280" w:type="dxa"/>
            <w:vAlign w:val="bottom"/>
            <w:tcBorders>
              <w:right w:val="single" w:sz="8" w:color="CFF0FC"/>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80" w:type="dxa"/>
            <w:vAlign w:val="bottom"/>
            <w:tcBorders>
              <w:right w:val="single" w:sz="8" w:color="CFF0FC"/>
            </w:tcBorders>
            <w:gridSpan w:val="2"/>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40" w:type="dxa"/>
            <w:vAlign w:val="bottom"/>
            <w:vMerge w:val="continue"/>
            <w:shd w:val="clear" w:color="auto" w:fill="CFF0FC"/>
          </w:tcPr>
          <w:p>
            <w:pPr>
              <w:spacing w:after="0"/>
              <w:rPr>
                <w:sz w:val="18"/>
                <w:szCs w:val="18"/>
                <w:color w:val="auto"/>
              </w:rPr>
            </w:pPr>
          </w:p>
        </w:tc>
        <w:tc>
          <w:tcPr>
            <w:tcW w:w="260" w:type="dxa"/>
            <w:vAlign w:val="bottom"/>
            <w:tcBorders>
              <w:right w:val="single" w:sz="8" w:color="CFF0FC"/>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40" w:type="dxa"/>
            <w:vAlign w:val="bottom"/>
            <w:tcBorders>
              <w:right w:val="single" w:sz="8" w:color="CFF0FC"/>
            </w:tcBorders>
            <w:gridSpan w:val="2"/>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60" w:type="dxa"/>
            <w:vAlign w:val="bottom"/>
            <w:tcBorders>
              <w:right w:val="single" w:sz="8" w:color="CFF0FC"/>
            </w:tcBorders>
            <w:gridSpan w:val="2"/>
            <w:vMerge w:val="continue"/>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20" w:type="dxa"/>
            <w:vAlign w:val="bottom"/>
            <w:tcBorders>
              <w:right w:val="single" w:sz="8" w:color="CFF0FC"/>
            </w:tcBorders>
            <w:gridSpan w:val="2"/>
            <w:vMerge w:val="continue"/>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gridSpan w:val="2"/>
            <w:vMerge w:val="continue"/>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680" w:type="dxa"/>
            <w:vAlign w:val="bottom"/>
          </w:tcPr>
          <w:p>
            <w:pPr>
              <w:ind w:left="120"/>
              <w:spacing w:after="0"/>
              <w:rPr>
                <w:sz w:val="20"/>
                <w:szCs w:val="20"/>
                <w:color w:val="auto"/>
              </w:rPr>
            </w:pPr>
            <w:r>
              <w:rPr>
                <w:rFonts w:ascii="Arial" w:cs="Arial" w:eastAsia="Arial" w:hAnsi="Arial"/>
                <w:sz w:val="16"/>
                <w:szCs w:val="16"/>
                <w:color w:val="auto"/>
              </w:rPr>
              <w:t>Net change in interest rate swaps</w:t>
            </w: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4.8</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gridSpan w:val="2"/>
          </w:tcPr>
          <w:p>
            <w:pPr>
              <w:jc w:val="right"/>
              <w:ind w:right="17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2680" w:type="dxa"/>
            <w:vAlign w:val="bottom"/>
            <w:shd w:val="clear" w:color="auto" w:fill="CFF0FC"/>
          </w:tcPr>
          <w:p>
            <w:pPr>
              <w:ind w:left="120"/>
              <w:spacing w:after="0" w:line="155" w:lineRule="exact"/>
              <w:rPr>
                <w:sz w:val="20"/>
                <w:szCs w:val="20"/>
                <w:color w:val="auto"/>
              </w:rPr>
            </w:pPr>
            <w:r>
              <w:rPr>
                <w:rFonts w:ascii="Arial" w:cs="Arial" w:eastAsia="Arial" w:hAnsi="Arial"/>
                <w:sz w:val="16"/>
                <w:szCs w:val="16"/>
                <w:color w:val="auto"/>
              </w:rPr>
              <w:t>Change in defined benefit plan</w:t>
            </w:r>
          </w:p>
        </w:tc>
        <w:tc>
          <w:tcPr>
            <w:tcW w:w="1000" w:type="dxa"/>
            <w:vAlign w:val="bottom"/>
            <w:tcBorders>
              <w:right w:val="single" w:sz="8" w:color="CFF0FC"/>
            </w:tcBorders>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right w:val="single" w:sz="8" w:color="CFF0FC"/>
            </w:tcBorders>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580" w:type="dxa"/>
            <w:vAlign w:val="bottom"/>
            <w:tcBorders>
              <w:right w:val="single" w:sz="8" w:color="CFF0FC"/>
            </w:tcBorders>
            <w:gridSpan w:val="2"/>
            <w:vMerge w:val="restart"/>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3"/>
                <w:szCs w:val="13"/>
                <w:color w:val="auto"/>
              </w:rPr>
            </w:pPr>
          </w:p>
        </w:tc>
        <w:tc>
          <w:tcPr>
            <w:tcW w:w="64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right w:val="single" w:sz="8" w:color="CFF0FC"/>
            </w:tcBorders>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40" w:type="dxa"/>
            <w:vAlign w:val="bottom"/>
            <w:tcBorders>
              <w:right w:val="single" w:sz="8" w:color="CFF0FC"/>
            </w:tcBorders>
            <w:gridSpan w:val="2"/>
            <w:vMerge w:val="restart"/>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3"/>
                <w:szCs w:val="13"/>
                <w:color w:val="auto"/>
              </w:rPr>
            </w:pPr>
          </w:p>
        </w:tc>
        <w:tc>
          <w:tcPr>
            <w:tcW w:w="1260" w:type="dxa"/>
            <w:vAlign w:val="bottom"/>
            <w:tcBorders>
              <w:right w:val="single" w:sz="8" w:color="CFF0FC"/>
            </w:tcBorders>
            <w:gridSpan w:val="2"/>
            <w:vMerge w:val="restart"/>
            <w:shd w:val="clear" w:color="auto" w:fill="CFF0FC"/>
          </w:tcPr>
          <w:p>
            <w:pPr>
              <w:jc w:val="right"/>
              <w:ind w:right="119"/>
              <w:spacing w:after="0"/>
              <w:rPr>
                <w:sz w:val="20"/>
                <w:szCs w:val="20"/>
                <w:color w:val="auto"/>
              </w:rPr>
            </w:pPr>
            <w:r>
              <w:rPr>
                <w:rFonts w:ascii="Arial" w:cs="Arial" w:eastAsia="Arial" w:hAnsi="Arial"/>
                <w:sz w:val="16"/>
                <w:szCs w:val="16"/>
                <w:color w:val="auto"/>
              </w:rPr>
              <w:t>(1.1 )</w:t>
            </w:r>
          </w:p>
        </w:tc>
        <w:tc>
          <w:tcPr>
            <w:tcW w:w="80" w:type="dxa"/>
            <w:vAlign w:val="bottom"/>
            <w:shd w:val="clear" w:color="auto" w:fill="CFF0FC"/>
          </w:tcPr>
          <w:p>
            <w:pPr>
              <w:spacing w:after="0"/>
              <w:rPr>
                <w:sz w:val="13"/>
                <w:szCs w:val="13"/>
                <w:color w:val="auto"/>
              </w:rPr>
            </w:pPr>
          </w:p>
        </w:tc>
        <w:tc>
          <w:tcPr>
            <w:tcW w:w="920" w:type="dxa"/>
            <w:vAlign w:val="bottom"/>
            <w:tcBorders>
              <w:right w:val="single" w:sz="8" w:color="CFF0FC"/>
            </w:tcBorders>
            <w:gridSpan w:val="2"/>
            <w:vMerge w:val="restart"/>
            <w:shd w:val="clear" w:color="auto" w:fill="CFF0FC"/>
          </w:tcPr>
          <w:p>
            <w:pPr>
              <w:jc w:val="right"/>
              <w:ind w:right="179"/>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3"/>
                <w:szCs w:val="13"/>
                <w:color w:val="auto"/>
              </w:rPr>
            </w:pPr>
          </w:p>
        </w:tc>
        <w:tc>
          <w:tcPr>
            <w:tcW w:w="900" w:type="dxa"/>
            <w:vAlign w:val="bottom"/>
            <w:gridSpan w:val="2"/>
            <w:vMerge w:val="restart"/>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3"/>
                <w:szCs w:val="13"/>
                <w:color w:val="auto"/>
              </w:rPr>
            </w:pPr>
          </w:p>
        </w:tc>
        <w:tc>
          <w:tcPr>
            <w:tcW w:w="880" w:type="dxa"/>
            <w:vAlign w:val="bottom"/>
            <w:gridSpan w:val="2"/>
            <w:vMerge w:val="restart"/>
            <w:shd w:val="clear" w:color="auto" w:fill="CFF0FC"/>
          </w:tcPr>
          <w:p>
            <w:pPr>
              <w:jc w:val="right"/>
              <w:ind w:right="40"/>
              <w:spacing w:after="0"/>
              <w:rPr>
                <w:sz w:val="20"/>
                <w:szCs w:val="20"/>
                <w:color w:val="auto"/>
              </w:rPr>
            </w:pPr>
            <w:r>
              <w:rPr>
                <w:rFonts w:ascii="Arial" w:cs="Arial" w:eastAsia="Arial" w:hAnsi="Arial"/>
                <w:sz w:val="16"/>
                <w:szCs w:val="16"/>
                <w:color w:val="auto"/>
              </w:rPr>
              <w:t>(1.1 )</w:t>
            </w:r>
          </w:p>
        </w:tc>
        <w:tc>
          <w:tcPr>
            <w:tcW w:w="0" w:type="dxa"/>
            <w:vAlign w:val="bottom"/>
          </w:tcPr>
          <w:p>
            <w:pPr>
              <w:spacing w:after="0"/>
              <w:rPr>
                <w:sz w:val="1"/>
                <w:szCs w:val="1"/>
                <w:color w:val="auto"/>
              </w:rPr>
            </w:pPr>
          </w:p>
        </w:tc>
      </w:tr>
      <w:tr>
        <w:trPr>
          <w:trHeight w:val="212"/>
        </w:trPr>
        <w:tc>
          <w:tcPr>
            <w:tcW w:w="2680" w:type="dxa"/>
            <w:vAlign w:val="bottom"/>
            <w:shd w:val="clear" w:color="auto" w:fill="CFF0FC"/>
          </w:tcPr>
          <w:p>
            <w:pPr>
              <w:ind w:left="120"/>
              <w:spacing w:after="0"/>
              <w:rPr>
                <w:sz w:val="20"/>
                <w:szCs w:val="20"/>
                <w:color w:val="auto"/>
              </w:rPr>
            </w:pPr>
            <w:r>
              <w:rPr>
                <w:rFonts w:ascii="Arial" w:cs="Arial" w:eastAsia="Arial" w:hAnsi="Arial"/>
                <w:sz w:val="16"/>
                <w:szCs w:val="16"/>
                <w:color w:val="auto"/>
              </w:rPr>
              <w:t>obligation</w:t>
            </w:r>
          </w:p>
        </w:tc>
        <w:tc>
          <w:tcPr>
            <w:tcW w:w="1000" w:type="dxa"/>
            <w:vAlign w:val="bottom"/>
            <w:tcBorders>
              <w:right w:val="single" w:sz="8" w:color="CFF0FC"/>
            </w:tcBorders>
            <w:vMerge w:val="continue"/>
            <w:shd w:val="clear" w:color="auto" w:fill="CFF0FC"/>
          </w:tcPr>
          <w:p>
            <w:pPr>
              <w:spacing w:after="0"/>
              <w:rPr>
                <w:sz w:val="18"/>
                <w:szCs w:val="18"/>
                <w:color w:val="auto"/>
              </w:rPr>
            </w:pPr>
          </w:p>
        </w:tc>
        <w:tc>
          <w:tcPr>
            <w:tcW w:w="280" w:type="dxa"/>
            <w:vAlign w:val="bottom"/>
            <w:tcBorders>
              <w:right w:val="single" w:sz="8" w:color="CFF0FC"/>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80" w:type="dxa"/>
            <w:vAlign w:val="bottom"/>
            <w:tcBorders>
              <w:right w:val="single" w:sz="8" w:color="CFF0FC"/>
            </w:tcBorders>
            <w:gridSpan w:val="2"/>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40" w:type="dxa"/>
            <w:vAlign w:val="bottom"/>
            <w:vMerge w:val="continue"/>
            <w:shd w:val="clear" w:color="auto" w:fill="CFF0FC"/>
          </w:tcPr>
          <w:p>
            <w:pPr>
              <w:spacing w:after="0"/>
              <w:rPr>
                <w:sz w:val="18"/>
                <w:szCs w:val="18"/>
                <w:color w:val="auto"/>
              </w:rPr>
            </w:pPr>
          </w:p>
        </w:tc>
        <w:tc>
          <w:tcPr>
            <w:tcW w:w="260" w:type="dxa"/>
            <w:vAlign w:val="bottom"/>
            <w:tcBorders>
              <w:right w:val="single" w:sz="8" w:color="CFF0FC"/>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40" w:type="dxa"/>
            <w:vAlign w:val="bottom"/>
            <w:tcBorders>
              <w:right w:val="single" w:sz="8" w:color="CFF0FC"/>
            </w:tcBorders>
            <w:gridSpan w:val="2"/>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60" w:type="dxa"/>
            <w:vAlign w:val="bottom"/>
            <w:tcBorders>
              <w:right w:val="single" w:sz="8" w:color="CFF0FC"/>
            </w:tcBorders>
            <w:gridSpan w:val="2"/>
            <w:vMerge w:val="continue"/>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20" w:type="dxa"/>
            <w:vAlign w:val="bottom"/>
            <w:tcBorders>
              <w:right w:val="single" w:sz="8" w:color="CFF0FC"/>
            </w:tcBorders>
            <w:gridSpan w:val="2"/>
            <w:vMerge w:val="continue"/>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gridSpan w:val="2"/>
            <w:vMerge w:val="continue"/>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680" w:type="dxa"/>
            <w:vAlign w:val="bottom"/>
          </w:tcPr>
          <w:p>
            <w:pPr>
              <w:ind w:left="120"/>
              <w:spacing w:after="0"/>
              <w:rPr>
                <w:sz w:val="20"/>
                <w:szCs w:val="20"/>
                <w:color w:val="auto"/>
              </w:rPr>
            </w:pPr>
            <w:r>
              <w:rPr>
                <w:rFonts w:ascii="Arial" w:cs="Arial" w:eastAsia="Arial" w:hAnsi="Arial"/>
                <w:sz w:val="16"/>
                <w:szCs w:val="16"/>
                <w:color w:val="auto"/>
                <w:w w:val="98"/>
              </w:rPr>
              <w:t>Stock-based compensation expense</w:t>
            </w: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93.3</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1260" w:type="dxa"/>
            <w:vAlign w:val="bottom"/>
            <w:gridSpan w:val="2"/>
          </w:tcPr>
          <w:p>
            <w:pPr>
              <w:jc w:val="right"/>
              <w:ind w:right="199"/>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920" w:type="dxa"/>
            <w:vAlign w:val="bottom"/>
            <w:gridSpan w:val="2"/>
          </w:tcPr>
          <w:p>
            <w:pPr>
              <w:jc w:val="right"/>
              <w:ind w:right="17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93.3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2680" w:type="dxa"/>
            <w:vAlign w:val="bottom"/>
            <w:shd w:val="clear" w:color="auto" w:fill="CFF0FC"/>
          </w:tcPr>
          <w:p>
            <w:pPr>
              <w:ind w:left="120"/>
              <w:spacing w:after="0" w:line="155" w:lineRule="exact"/>
              <w:rPr>
                <w:sz w:val="20"/>
                <w:szCs w:val="20"/>
                <w:color w:val="auto"/>
              </w:rPr>
            </w:pPr>
            <w:r>
              <w:rPr>
                <w:rFonts w:ascii="Arial" w:cs="Arial" w:eastAsia="Arial" w:hAnsi="Arial"/>
                <w:sz w:val="16"/>
                <w:szCs w:val="16"/>
                <w:color w:val="auto"/>
              </w:rPr>
              <w:t>Exercise of options, net of</w:t>
            </w:r>
          </w:p>
        </w:tc>
        <w:tc>
          <w:tcPr>
            <w:tcW w:w="1000" w:type="dxa"/>
            <w:vAlign w:val="bottom"/>
            <w:tcBorders>
              <w:right w:val="single" w:sz="8" w:color="CFF0FC"/>
            </w:tcBorders>
            <w:vMerge w:val="restart"/>
            <w:shd w:val="clear" w:color="auto" w:fill="CFF0FC"/>
          </w:tcPr>
          <w:p>
            <w:pPr>
              <w:jc w:val="right"/>
              <w:spacing w:after="0"/>
              <w:rPr>
                <w:sz w:val="20"/>
                <w:szCs w:val="20"/>
                <w:color w:val="auto"/>
              </w:rPr>
            </w:pPr>
            <w:r>
              <w:rPr>
                <w:rFonts w:ascii="Arial" w:cs="Arial" w:eastAsia="Arial" w:hAnsi="Arial"/>
                <w:sz w:val="16"/>
                <w:szCs w:val="16"/>
                <w:color w:val="auto"/>
              </w:rPr>
              <w:t>1.9</w:t>
            </w:r>
          </w:p>
        </w:tc>
        <w:tc>
          <w:tcPr>
            <w:tcW w:w="280" w:type="dxa"/>
            <w:vAlign w:val="bottom"/>
            <w:tcBorders>
              <w:right w:val="single" w:sz="8" w:color="CFF0FC"/>
            </w:tcBorders>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580" w:type="dxa"/>
            <w:vAlign w:val="bottom"/>
            <w:tcBorders>
              <w:right w:val="single" w:sz="8" w:color="CFF0FC"/>
            </w:tcBorders>
            <w:gridSpan w:val="2"/>
            <w:vMerge w:val="restart"/>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3"/>
                <w:szCs w:val="13"/>
                <w:color w:val="auto"/>
              </w:rPr>
            </w:pPr>
          </w:p>
        </w:tc>
        <w:tc>
          <w:tcPr>
            <w:tcW w:w="64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72.7</w:t>
            </w:r>
          </w:p>
        </w:tc>
        <w:tc>
          <w:tcPr>
            <w:tcW w:w="260" w:type="dxa"/>
            <w:vAlign w:val="bottom"/>
            <w:tcBorders>
              <w:right w:val="single" w:sz="8" w:color="CFF0FC"/>
            </w:tcBorders>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40" w:type="dxa"/>
            <w:vAlign w:val="bottom"/>
            <w:tcBorders>
              <w:right w:val="single" w:sz="8" w:color="CFF0FC"/>
            </w:tcBorders>
            <w:gridSpan w:val="2"/>
            <w:vMerge w:val="restart"/>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3"/>
                <w:szCs w:val="13"/>
                <w:color w:val="auto"/>
              </w:rPr>
            </w:pPr>
          </w:p>
        </w:tc>
        <w:tc>
          <w:tcPr>
            <w:tcW w:w="1260" w:type="dxa"/>
            <w:vAlign w:val="bottom"/>
            <w:tcBorders>
              <w:right w:val="single" w:sz="8" w:color="CFF0FC"/>
            </w:tcBorders>
            <w:gridSpan w:val="2"/>
            <w:vMerge w:val="restart"/>
            <w:shd w:val="clear" w:color="auto" w:fill="CFF0FC"/>
          </w:tcPr>
          <w:p>
            <w:pPr>
              <w:jc w:val="right"/>
              <w:ind w:right="199"/>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3"/>
                <w:szCs w:val="13"/>
                <w:color w:val="auto"/>
              </w:rPr>
            </w:pPr>
          </w:p>
        </w:tc>
        <w:tc>
          <w:tcPr>
            <w:tcW w:w="920" w:type="dxa"/>
            <w:vAlign w:val="bottom"/>
            <w:tcBorders>
              <w:right w:val="single" w:sz="8" w:color="CFF0FC"/>
            </w:tcBorders>
            <w:gridSpan w:val="2"/>
            <w:vMerge w:val="restart"/>
            <w:shd w:val="clear" w:color="auto" w:fill="CFF0FC"/>
          </w:tcPr>
          <w:p>
            <w:pPr>
              <w:jc w:val="right"/>
              <w:ind w:right="179"/>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3"/>
                <w:szCs w:val="13"/>
                <w:color w:val="auto"/>
              </w:rPr>
            </w:pPr>
          </w:p>
        </w:tc>
        <w:tc>
          <w:tcPr>
            <w:tcW w:w="900" w:type="dxa"/>
            <w:vAlign w:val="bottom"/>
            <w:gridSpan w:val="2"/>
            <w:vMerge w:val="restart"/>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3"/>
                <w:szCs w:val="13"/>
                <w:color w:val="auto"/>
              </w:rPr>
            </w:pPr>
          </w:p>
        </w:tc>
        <w:tc>
          <w:tcPr>
            <w:tcW w:w="78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72.7</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2680" w:type="dxa"/>
            <w:vAlign w:val="bottom"/>
            <w:shd w:val="clear" w:color="auto" w:fill="CFF0FC"/>
          </w:tcPr>
          <w:p>
            <w:pPr>
              <w:ind w:left="120"/>
              <w:spacing w:after="0"/>
              <w:rPr>
                <w:sz w:val="20"/>
                <w:szCs w:val="20"/>
                <w:color w:val="auto"/>
              </w:rPr>
            </w:pPr>
            <w:r>
              <w:rPr>
                <w:rFonts w:ascii="Arial" w:cs="Arial" w:eastAsia="Arial" w:hAnsi="Arial"/>
                <w:sz w:val="16"/>
                <w:szCs w:val="16"/>
                <w:color w:val="auto"/>
              </w:rPr>
              <w:t>withholding taxes</w:t>
            </w:r>
          </w:p>
        </w:tc>
        <w:tc>
          <w:tcPr>
            <w:tcW w:w="1000" w:type="dxa"/>
            <w:vAlign w:val="bottom"/>
            <w:tcBorders>
              <w:right w:val="single" w:sz="8" w:color="CFF0FC"/>
            </w:tcBorders>
            <w:vMerge w:val="continue"/>
            <w:shd w:val="clear" w:color="auto" w:fill="CFF0FC"/>
          </w:tcPr>
          <w:p>
            <w:pPr>
              <w:spacing w:after="0"/>
              <w:rPr>
                <w:sz w:val="18"/>
                <w:szCs w:val="18"/>
                <w:color w:val="auto"/>
              </w:rPr>
            </w:pPr>
          </w:p>
        </w:tc>
        <w:tc>
          <w:tcPr>
            <w:tcW w:w="280" w:type="dxa"/>
            <w:vAlign w:val="bottom"/>
            <w:tcBorders>
              <w:right w:val="single" w:sz="8" w:color="CFF0FC"/>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80" w:type="dxa"/>
            <w:vAlign w:val="bottom"/>
            <w:tcBorders>
              <w:right w:val="single" w:sz="8" w:color="CFF0FC"/>
            </w:tcBorders>
            <w:gridSpan w:val="2"/>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40" w:type="dxa"/>
            <w:vAlign w:val="bottom"/>
            <w:vMerge w:val="continue"/>
            <w:shd w:val="clear" w:color="auto" w:fill="CFF0FC"/>
          </w:tcPr>
          <w:p>
            <w:pPr>
              <w:spacing w:after="0"/>
              <w:rPr>
                <w:sz w:val="18"/>
                <w:szCs w:val="18"/>
                <w:color w:val="auto"/>
              </w:rPr>
            </w:pPr>
          </w:p>
        </w:tc>
        <w:tc>
          <w:tcPr>
            <w:tcW w:w="260" w:type="dxa"/>
            <w:vAlign w:val="bottom"/>
            <w:tcBorders>
              <w:right w:val="single" w:sz="8" w:color="CFF0FC"/>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40" w:type="dxa"/>
            <w:vAlign w:val="bottom"/>
            <w:tcBorders>
              <w:right w:val="single" w:sz="8" w:color="CFF0FC"/>
            </w:tcBorders>
            <w:gridSpan w:val="2"/>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60" w:type="dxa"/>
            <w:vAlign w:val="bottom"/>
            <w:tcBorders>
              <w:right w:val="single" w:sz="8" w:color="CFF0FC"/>
            </w:tcBorders>
            <w:gridSpan w:val="2"/>
            <w:vMerge w:val="continue"/>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20" w:type="dxa"/>
            <w:vAlign w:val="bottom"/>
            <w:tcBorders>
              <w:right w:val="single" w:sz="8" w:color="CFF0FC"/>
            </w:tcBorders>
            <w:gridSpan w:val="2"/>
            <w:vMerge w:val="continue"/>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gridSpan w:val="2"/>
            <w:vMerge w:val="continue"/>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680" w:type="dxa"/>
            <w:vAlign w:val="bottom"/>
          </w:tcPr>
          <w:p>
            <w:pPr>
              <w:ind w:left="120"/>
              <w:spacing w:after="0"/>
              <w:rPr>
                <w:sz w:val="20"/>
                <w:szCs w:val="20"/>
                <w:color w:val="auto"/>
              </w:rPr>
            </w:pPr>
            <w:r>
              <w:rPr>
                <w:rFonts w:ascii="Arial" w:cs="Arial" w:eastAsia="Arial" w:hAnsi="Arial"/>
                <w:sz w:val="16"/>
                <w:szCs w:val="16"/>
                <w:color w:val="auto"/>
              </w:rPr>
              <w:t>Purchases of common stock</w:t>
            </w: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1260" w:type="dxa"/>
            <w:vAlign w:val="bottom"/>
            <w:gridSpan w:val="2"/>
          </w:tcPr>
          <w:p>
            <w:pPr>
              <w:jc w:val="right"/>
              <w:ind w:right="199"/>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920" w:type="dxa"/>
            <w:vAlign w:val="bottom"/>
            <w:gridSpan w:val="2"/>
          </w:tcPr>
          <w:p>
            <w:pPr>
              <w:jc w:val="right"/>
              <w:ind w:right="99"/>
              <w:spacing w:after="0"/>
              <w:rPr>
                <w:sz w:val="20"/>
                <w:szCs w:val="20"/>
                <w:color w:val="auto"/>
              </w:rPr>
            </w:pPr>
            <w:r>
              <w:rPr>
                <w:rFonts w:ascii="Arial" w:cs="Arial" w:eastAsia="Arial" w:hAnsi="Arial"/>
                <w:sz w:val="16"/>
                <w:szCs w:val="16"/>
                <w:color w:val="auto"/>
              </w:rPr>
              <w:t>(385.4 )</w:t>
            </w:r>
          </w:p>
        </w:tc>
        <w:tc>
          <w:tcPr>
            <w:tcW w:w="120" w:type="dxa"/>
            <w:vAlign w:val="bottom"/>
          </w:tcPr>
          <w:p>
            <w:pPr>
              <w:spacing w:after="0"/>
              <w:rPr>
                <w:sz w:val="19"/>
                <w:szCs w:val="19"/>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6"/>
                <w:szCs w:val="16"/>
                <w:color w:val="auto"/>
              </w:rPr>
              <w:t>(385.4 )</w:t>
            </w:r>
          </w:p>
        </w:tc>
        <w:tc>
          <w:tcPr>
            <w:tcW w:w="0" w:type="dxa"/>
            <w:vAlign w:val="bottom"/>
          </w:tcPr>
          <w:p>
            <w:pPr>
              <w:spacing w:after="0"/>
              <w:rPr>
                <w:sz w:val="1"/>
                <w:szCs w:val="1"/>
                <w:color w:val="auto"/>
              </w:rPr>
            </w:pPr>
          </w:p>
        </w:tc>
      </w:tr>
      <w:tr>
        <w:trPr>
          <w:trHeight w:val="155"/>
        </w:trPr>
        <w:tc>
          <w:tcPr>
            <w:tcW w:w="2680" w:type="dxa"/>
            <w:vAlign w:val="bottom"/>
            <w:shd w:val="clear" w:color="auto" w:fill="CFF0FC"/>
          </w:tcPr>
          <w:p>
            <w:pPr>
              <w:ind w:left="120"/>
              <w:spacing w:after="0" w:line="155" w:lineRule="exact"/>
              <w:rPr>
                <w:sz w:val="20"/>
                <w:szCs w:val="20"/>
                <w:color w:val="auto"/>
              </w:rPr>
            </w:pPr>
            <w:r>
              <w:rPr>
                <w:rFonts w:ascii="Arial" w:cs="Arial" w:eastAsia="Arial" w:hAnsi="Arial"/>
                <w:sz w:val="16"/>
                <w:szCs w:val="16"/>
                <w:color w:val="auto"/>
                <w:w w:val="98"/>
              </w:rPr>
              <w:t>Cash dividends declared - $0.60 per</w:t>
            </w:r>
          </w:p>
        </w:tc>
        <w:tc>
          <w:tcPr>
            <w:tcW w:w="1000" w:type="dxa"/>
            <w:vAlign w:val="bottom"/>
            <w:tcBorders>
              <w:right w:val="single" w:sz="8" w:color="CFF0FC"/>
            </w:tcBorders>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right w:val="single" w:sz="8" w:color="CFF0FC"/>
            </w:tcBorders>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340" w:type="dxa"/>
            <w:vAlign w:val="bottom"/>
            <w:tcBorders>
              <w:right w:val="single" w:sz="8" w:color="CFF0FC"/>
            </w:tcBorders>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right w:val="single" w:sz="8" w:color="CFF0FC"/>
            </w:tcBorders>
            <w:vMerge w:val="restart"/>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4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right w:val="single" w:sz="8" w:color="CFF0FC"/>
            </w:tcBorders>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40" w:type="dxa"/>
            <w:vAlign w:val="bottom"/>
            <w:tcBorders>
              <w:right w:val="single" w:sz="8" w:color="CFF0FC"/>
            </w:tcBorders>
            <w:gridSpan w:val="2"/>
            <w:vMerge w:val="restart"/>
            <w:shd w:val="clear" w:color="auto" w:fill="CFF0FC"/>
          </w:tcPr>
          <w:p>
            <w:pPr>
              <w:jc w:val="right"/>
              <w:ind w:right="200"/>
              <w:spacing w:after="0"/>
              <w:rPr>
                <w:sz w:val="20"/>
                <w:szCs w:val="20"/>
                <w:color w:val="auto"/>
              </w:rPr>
            </w:pPr>
            <w:r>
              <w:rPr>
                <w:rFonts w:ascii="Arial" w:cs="Arial" w:eastAsia="Arial" w:hAnsi="Arial"/>
                <w:sz w:val="16"/>
                <w:szCs w:val="16"/>
                <w:color w:val="auto"/>
              </w:rPr>
              <w:t>(153.4 )</w:t>
            </w:r>
          </w:p>
        </w:tc>
        <w:tc>
          <w:tcPr>
            <w:tcW w:w="100" w:type="dxa"/>
            <w:vAlign w:val="bottom"/>
            <w:shd w:val="clear" w:color="auto" w:fill="CFF0FC"/>
          </w:tcPr>
          <w:p>
            <w:pPr>
              <w:spacing w:after="0"/>
              <w:rPr>
                <w:sz w:val="13"/>
                <w:szCs w:val="13"/>
                <w:color w:val="auto"/>
              </w:rPr>
            </w:pPr>
          </w:p>
        </w:tc>
        <w:tc>
          <w:tcPr>
            <w:tcW w:w="1260" w:type="dxa"/>
            <w:vAlign w:val="bottom"/>
            <w:tcBorders>
              <w:right w:val="single" w:sz="8" w:color="CFF0FC"/>
            </w:tcBorders>
            <w:gridSpan w:val="2"/>
            <w:vMerge w:val="restart"/>
            <w:shd w:val="clear" w:color="auto" w:fill="CFF0FC"/>
          </w:tcPr>
          <w:p>
            <w:pPr>
              <w:jc w:val="right"/>
              <w:ind w:right="199"/>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3"/>
                <w:szCs w:val="13"/>
                <w:color w:val="auto"/>
              </w:rPr>
            </w:pPr>
          </w:p>
        </w:tc>
        <w:tc>
          <w:tcPr>
            <w:tcW w:w="920" w:type="dxa"/>
            <w:vAlign w:val="bottom"/>
            <w:tcBorders>
              <w:right w:val="single" w:sz="8" w:color="CFF0FC"/>
            </w:tcBorders>
            <w:gridSpan w:val="2"/>
            <w:vMerge w:val="restart"/>
            <w:shd w:val="clear" w:color="auto" w:fill="CFF0FC"/>
          </w:tcPr>
          <w:p>
            <w:pPr>
              <w:jc w:val="right"/>
              <w:ind w:right="179"/>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3"/>
                <w:szCs w:val="13"/>
                <w:color w:val="auto"/>
              </w:rPr>
            </w:pPr>
          </w:p>
        </w:tc>
        <w:tc>
          <w:tcPr>
            <w:tcW w:w="900" w:type="dxa"/>
            <w:vAlign w:val="bottom"/>
            <w:gridSpan w:val="2"/>
            <w:vMerge w:val="restart"/>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3"/>
                <w:szCs w:val="13"/>
                <w:color w:val="auto"/>
              </w:rPr>
            </w:pPr>
          </w:p>
        </w:tc>
        <w:tc>
          <w:tcPr>
            <w:tcW w:w="880" w:type="dxa"/>
            <w:vAlign w:val="bottom"/>
            <w:gridSpan w:val="2"/>
            <w:vMerge w:val="restart"/>
            <w:shd w:val="clear" w:color="auto" w:fill="CFF0FC"/>
          </w:tcPr>
          <w:p>
            <w:pPr>
              <w:jc w:val="right"/>
              <w:ind w:right="40"/>
              <w:spacing w:after="0"/>
              <w:rPr>
                <w:sz w:val="20"/>
                <w:szCs w:val="20"/>
                <w:color w:val="auto"/>
              </w:rPr>
            </w:pPr>
            <w:r>
              <w:rPr>
                <w:rFonts w:ascii="Arial" w:cs="Arial" w:eastAsia="Arial" w:hAnsi="Arial"/>
                <w:sz w:val="16"/>
                <w:szCs w:val="16"/>
                <w:color w:val="auto"/>
              </w:rPr>
              <w:t>(153.4 )</w:t>
            </w:r>
          </w:p>
        </w:tc>
        <w:tc>
          <w:tcPr>
            <w:tcW w:w="0" w:type="dxa"/>
            <w:vAlign w:val="bottom"/>
          </w:tcPr>
          <w:p>
            <w:pPr>
              <w:spacing w:after="0"/>
              <w:rPr>
                <w:sz w:val="1"/>
                <w:szCs w:val="1"/>
                <w:color w:val="auto"/>
              </w:rPr>
            </w:pPr>
          </w:p>
        </w:tc>
      </w:tr>
      <w:tr>
        <w:trPr>
          <w:trHeight w:val="199"/>
        </w:trPr>
        <w:tc>
          <w:tcPr>
            <w:tcW w:w="2680" w:type="dxa"/>
            <w:vAlign w:val="bottom"/>
            <w:shd w:val="clear" w:color="auto" w:fill="CFF0FC"/>
          </w:tcPr>
          <w:p>
            <w:pPr>
              <w:ind w:left="120"/>
              <w:spacing w:after="0"/>
              <w:rPr>
                <w:sz w:val="20"/>
                <w:szCs w:val="20"/>
                <w:color w:val="auto"/>
              </w:rPr>
            </w:pPr>
            <w:r>
              <w:rPr>
                <w:rFonts w:ascii="Arial" w:cs="Arial" w:eastAsia="Arial" w:hAnsi="Arial"/>
                <w:sz w:val="16"/>
                <w:szCs w:val="16"/>
                <w:color w:val="auto"/>
              </w:rPr>
              <w:t>share</w:t>
            </w:r>
          </w:p>
        </w:tc>
        <w:tc>
          <w:tcPr>
            <w:tcW w:w="1000" w:type="dxa"/>
            <w:vAlign w:val="bottom"/>
            <w:tcBorders>
              <w:right w:val="single" w:sz="8" w:color="CFF0FC"/>
            </w:tcBorders>
            <w:vMerge w:val="continue"/>
            <w:shd w:val="clear" w:color="auto" w:fill="CFF0FC"/>
          </w:tcPr>
          <w:p>
            <w:pPr>
              <w:spacing w:after="0"/>
              <w:rPr>
                <w:sz w:val="17"/>
                <w:szCs w:val="17"/>
                <w:color w:val="auto"/>
              </w:rPr>
            </w:pPr>
          </w:p>
        </w:tc>
        <w:tc>
          <w:tcPr>
            <w:tcW w:w="280" w:type="dxa"/>
            <w:vAlign w:val="bottom"/>
            <w:tcBorders>
              <w:right w:val="single" w:sz="8" w:color="CFF0FC"/>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40" w:type="dxa"/>
            <w:vAlign w:val="bottom"/>
            <w:tcBorders>
              <w:right w:val="single" w:sz="8" w:color="CFF0FC"/>
            </w:tcBorders>
            <w:vMerge w:val="continue"/>
            <w:shd w:val="clear" w:color="auto" w:fill="CFF0FC"/>
          </w:tcPr>
          <w:p>
            <w:pPr>
              <w:spacing w:after="0"/>
              <w:rPr>
                <w:sz w:val="17"/>
                <w:szCs w:val="17"/>
                <w:color w:val="auto"/>
              </w:rPr>
            </w:pPr>
          </w:p>
        </w:tc>
        <w:tc>
          <w:tcPr>
            <w:tcW w:w="240" w:type="dxa"/>
            <w:vAlign w:val="bottom"/>
            <w:tcBorders>
              <w:right w:val="single" w:sz="8" w:color="CFF0FC"/>
            </w:tcBorders>
            <w:vMerge w:val="continue"/>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40" w:type="dxa"/>
            <w:vAlign w:val="bottom"/>
            <w:vMerge w:val="continue"/>
            <w:shd w:val="clear" w:color="auto" w:fill="CFF0FC"/>
          </w:tcPr>
          <w:p>
            <w:pPr>
              <w:spacing w:after="0"/>
              <w:rPr>
                <w:sz w:val="17"/>
                <w:szCs w:val="17"/>
                <w:color w:val="auto"/>
              </w:rPr>
            </w:pPr>
          </w:p>
        </w:tc>
        <w:tc>
          <w:tcPr>
            <w:tcW w:w="260" w:type="dxa"/>
            <w:vAlign w:val="bottom"/>
            <w:tcBorders>
              <w:right w:val="single" w:sz="8" w:color="CFF0FC"/>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40" w:type="dxa"/>
            <w:vAlign w:val="bottom"/>
            <w:tcBorders>
              <w:right w:val="single" w:sz="8" w:color="CFF0FC"/>
            </w:tcBorders>
            <w:gridSpan w:val="2"/>
            <w:vMerge w:val="continue"/>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60" w:type="dxa"/>
            <w:vAlign w:val="bottom"/>
            <w:tcBorders>
              <w:right w:val="single" w:sz="8" w:color="CFF0FC"/>
            </w:tcBorders>
            <w:gridSpan w:val="2"/>
            <w:vMerge w:val="continue"/>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20" w:type="dxa"/>
            <w:vAlign w:val="bottom"/>
            <w:tcBorders>
              <w:right w:val="single" w:sz="8" w:color="CFF0FC"/>
            </w:tcBorders>
            <w:gridSpan w:val="2"/>
            <w:vMerge w:val="continue"/>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00" w:type="dxa"/>
            <w:vAlign w:val="bottom"/>
            <w:gridSpan w:val="2"/>
            <w:vMerge w:val="continue"/>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80" w:type="dxa"/>
            <w:vAlign w:val="bottom"/>
            <w:gridSpan w:val="2"/>
            <w:vMerge w:val="continue"/>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680" w:type="dxa"/>
            <w:vAlign w:val="bottom"/>
            <w:shd w:val="clear" w:color="auto" w:fill="CFF0FC"/>
          </w:tcPr>
          <w:p>
            <w:pPr>
              <w:spacing w:after="0" w:line="20" w:lineRule="exact"/>
              <w:rPr>
                <w:sz w:val="1"/>
                <w:szCs w:val="1"/>
                <w:color w:val="auto"/>
              </w:rPr>
            </w:pPr>
          </w:p>
        </w:tc>
        <w:tc>
          <w:tcPr>
            <w:tcW w:w="1000" w:type="dxa"/>
            <w:vAlign w:val="bottom"/>
            <w:tcBorders>
              <w:right w:val="single" w:sz="8" w:color="CFF0FC"/>
            </w:tcBorders>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40" w:type="dxa"/>
            <w:vAlign w:val="bottom"/>
            <w:tcBorders>
              <w:right w:val="single" w:sz="8" w:color="CFF0FC"/>
            </w:tcBorders>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tcBorders>
              <w:right w:val="single" w:sz="8" w:color="CFF0FC"/>
            </w:tcBorders>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tcBorders>
              <w:right w:val="single" w:sz="8" w:color="CFF0FC"/>
            </w:tcBorders>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680" w:type="dxa"/>
            <w:vAlign w:val="bottom"/>
          </w:tcPr>
          <w:p>
            <w:pPr>
              <w:ind w:left="20"/>
              <w:spacing w:after="0"/>
              <w:rPr>
                <w:sz w:val="20"/>
                <w:szCs w:val="20"/>
                <w:color w:val="auto"/>
              </w:rPr>
            </w:pPr>
            <w:r>
              <w:rPr>
                <w:rFonts w:ascii="Arial" w:cs="Arial" w:eastAsia="Arial" w:hAnsi="Arial"/>
                <w:sz w:val="16"/>
                <w:szCs w:val="16"/>
                <w:color w:val="auto"/>
              </w:rPr>
              <w:t>Balance, at September 30, 2022</w:t>
            </w:r>
          </w:p>
        </w:tc>
        <w:tc>
          <w:tcPr>
            <w:tcW w:w="1000" w:type="dxa"/>
            <w:vAlign w:val="bottom"/>
          </w:tcPr>
          <w:p>
            <w:pPr>
              <w:jc w:val="right"/>
              <w:spacing w:after="0"/>
              <w:rPr>
                <w:sz w:val="20"/>
                <w:szCs w:val="20"/>
                <w:color w:val="auto"/>
              </w:rPr>
            </w:pPr>
            <w:r>
              <w:rPr>
                <w:rFonts w:ascii="Arial" w:cs="Arial" w:eastAsia="Arial" w:hAnsi="Arial"/>
                <w:sz w:val="16"/>
                <w:szCs w:val="16"/>
                <w:color w:val="auto"/>
              </w:rPr>
              <w:t>271.0</w:t>
            </w:r>
          </w:p>
        </w:tc>
        <w:tc>
          <w:tcPr>
            <w:tcW w:w="280" w:type="dxa"/>
            <w:vAlign w:val="bottom"/>
          </w:tcPr>
          <w:p>
            <w:pPr>
              <w:spacing w:after="0"/>
              <w:rPr>
                <w:sz w:val="17"/>
                <w:szCs w:val="17"/>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340" w:type="dxa"/>
            <w:vAlign w:val="bottom"/>
          </w:tcPr>
          <w:p>
            <w:pPr>
              <w:jc w:val="right"/>
              <w:spacing w:after="0"/>
              <w:rPr>
                <w:sz w:val="20"/>
                <w:szCs w:val="20"/>
                <w:color w:val="auto"/>
              </w:rPr>
            </w:pPr>
            <w:r>
              <w:rPr>
                <w:rFonts w:ascii="Arial" w:cs="Arial" w:eastAsia="Arial" w:hAnsi="Arial"/>
                <w:sz w:val="16"/>
                <w:szCs w:val="16"/>
                <w:color w:val="auto"/>
              </w:rPr>
              <w:t>2.7</w:t>
            </w:r>
          </w:p>
        </w:tc>
        <w:tc>
          <w:tcPr>
            <w:tcW w:w="24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5,061.7</w:t>
            </w:r>
          </w:p>
        </w:tc>
        <w:tc>
          <w:tcPr>
            <w:tcW w:w="26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2,582.3</w:t>
            </w:r>
          </w:p>
        </w:tc>
        <w:tc>
          <w:tcPr>
            <w:tcW w:w="24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119"/>
              <w:spacing w:after="0"/>
              <w:rPr>
                <w:sz w:val="20"/>
                <w:szCs w:val="20"/>
                <w:color w:val="auto"/>
              </w:rPr>
            </w:pPr>
            <w:r>
              <w:rPr>
                <w:rFonts w:ascii="Arial" w:cs="Arial" w:eastAsia="Arial" w:hAnsi="Arial"/>
                <w:sz w:val="16"/>
                <w:szCs w:val="16"/>
                <w:color w:val="auto"/>
              </w:rPr>
              <w:t>(750.3 )</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gridSpan w:val="2"/>
          </w:tcPr>
          <w:p>
            <w:pPr>
              <w:jc w:val="right"/>
              <w:ind w:right="99"/>
              <w:spacing w:after="0"/>
              <w:rPr>
                <w:sz w:val="20"/>
                <w:szCs w:val="20"/>
                <w:color w:val="auto"/>
              </w:rPr>
            </w:pPr>
            <w:r>
              <w:rPr>
                <w:rFonts w:ascii="Arial" w:cs="Arial" w:eastAsia="Arial" w:hAnsi="Arial"/>
                <w:sz w:val="16"/>
                <w:szCs w:val="16"/>
                <w:color w:val="auto"/>
              </w:rPr>
              <w:t>(1,169.4 )</w:t>
            </w: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56.5</w:t>
            </w:r>
          </w:p>
        </w:tc>
        <w:tc>
          <w:tcPr>
            <w:tcW w:w="240" w:type="dxa"/>
            <w:vAlign w:val="bottom"/>
          </w:tcPr>
          <w:p>
            <w:pPr>
              <w:spacing w:after="0"/>
              <w:rPr>
                <w:sz w:val="17"/>
                <w:szCs w:val="17"/>
                <w:color w:val="auto"/>
              </w:rPr>
            </w:pPr>
          </w:p>
        </w:tc>
        <w:tc>
          <w:tcPr>
            <w:tcW w:w="180" w:type="dxa"/>
            <w:vAlign w:val="bottom"/>
          </w:tcPr>
          <w:p>
            <w:pPr>
              <w:jc w:val="right"/>
              <w:ind w:right="2"/>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5,783.5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6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2680" w:type="dxa"/>
            <w:vAlign w:val="bottom"/>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b w:val="1"/>
                <w:bCs w:val="1"/>
                <w:color w:val="auto"/>
                <w:w w:val="97"/>
              </w:rPr>
              <w:t>Nine Months Ended September 30, 2021</w:t>
            </w:r>
          </w:p>
        </w:tc>
        <w:tc>
          <w:tcPr>
            <w:tcW w:w="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68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gridSpan w:val="5"/>
          </w:tcPr>
          <w:p>
            <w:pPr>
              <w:jc w:val="right"/>
              <w:ind w:right="400"/>
              <w:spacing w:after="0"/>
              <w:rPr>
                <w:sz w:val="20"/>
                <w:szCs w:val="20"/>
                <w:color w:val="auto"/>
              </w:rPr>
            </w:pPr>
            <w:r>
              <w:rPr>
                <w:rFonts w:ascii="Arial" w:cs="Arial" w:eastAsia="Arial" w:hAnsi="Arial"/>
                <w:sz w:val="14"/>
                <w:szCs w:val="14"/>
                <w:b w:val="1"/>
                <w:bCs w:val="1"/>
                <w:color w:val="auto"/>
              </w:rPr>
              <w:t>SS&amp;C Stockholders</w:t>
            </w: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2680" w:type="dxa"/>
            <w:vAlign w:val="bottom"/>
          </w:tcPr>
          <w:p>
            <w:pPr>
              <w:spacing w:after="0"/>
              <w:rPr>
                <w:sz w:val="16"/>
                <w:szCs w:val="16"/>
                <w:color w:val="auto"/>
              </w:rPr>
            </w:pPr>
          </w:p>
        </w:tc>
        <w:tc>
          <w:tcPr>
            <w:tcW w:w="1520" w:type="dxa"/>
            <w:vAlign w:val="bottom"/>
            <w:gridSpan w:val="3"/>
          </w:tcPr>
          <w:p>
            <w:pPr>
              <w:jc w:val="right"/>
              <w:ind w:right="45"/>
              <w:spacing w:after="0"/>
              <w:rPr>
                <w:sz w:val="20"/>
                <w:szCs w:val="20"/>
                <w:color w:val="auto"/>
              </w:rPr>
            </w:pPr>
            <w:r>
              <w:rPr>
                <w:rFonts w:ascii="Arial" w:cs="Arial" w:eastAsia="Arial" w:hAnsi="Arial"/>
                <w:sz w:val="14"/>
                <w:szCs w:val="14"/>
                <w:b w:val="1"/>
                <w:bCs w:val="1"/>
                <w:color w:val="auto"/>
              </w:rPr>
              <w:t>Common Stock</w:t>
            </w:r>
          </w:p>
        </w:tc>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268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gridSpan w:val="2"/>
            <w:vMerge w:val="restart"/>
          </w:tcPr>
          <w:p>
            <w:pPr>
              <w:jc w:val="center"/>
              <w:ind w:right="279"/>
              <w:spacing w:after="0"/>
              <w:rPr>
                <w:sz w:val="20"/>
                <w:szCs w:val="20"/>
                <w:color w:val="auto"/>
              </w:rPr>
            </w:pPr>
            <w:r>
              <w:rPr>
                <w:rFonts w:ascii="Arial" w:cs="Arial" w:eastAsia="Arial" w:hAnsi="Arial"/>
                <w:sz w:val="14"/>
                <w:szCs w:val="14"/>
                <w:b w:val="1"/>
                <w:bCs w:val="1"/>
                <w:color w:val="auto"/>
                <w:w w:val="93"/>
              </w:rPr>
              <w:t>Accumulated</w:t>
            </w: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2680" w:type="dxa"/>
            <w:vAlign w:val="bottom"/>
          </w:tcPr>
          <w:p>
            <w:pPr>
              <w:spacing w:after="0"/>
              <w:rPr>
                <w:sz w:val="13"/>
                <w:szCs w:val="13"/>
                <w:color w:val="auto"/>
              </w:rPr>
            </w:pPr>
          </w:p>
        </w:tc>
        <w:tc>
          <w:tcPr>
            <w:tcW w:w="1000" w:type="dxa"/>
            <w:vAlign w:val="bottom"/>
          </w:tcPr>
          <w:p>
            <w:pPr>
              <w:jc w:val="center"/>
              <w:spacing w:after="0" w:line="160" w:lineRule="exact"/>
              <w:rPr>
                <w:sz w:val="20"/>
                <w:szCs w:val="20"/>
                <w:color w:val="auto"/>
              </w:rPr>
            </w:pPr>
            <w:r>
              <w:rPr>
                <w:rFonts w:ascii="Arial" w:cs="Arial" w:eastAsia="Arial" w:hAnsi="Arial"/>
                <w:sz w:val="14"/>
                <w:szCs w:val="14"/>
                <w:b w:val="1"/>
                <w:bCs w:val="1"/>
                <w:color w:val="auto"/>
                <w:w w:val="98"/>
              </w:rPr>
              <w:t>Number</w:t>
            </w: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268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0"/>
              </w:rPr>
              <w:t>of</w:t>
            </w: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6"/>
              </w:rPr>
              <w:t>Additional</w:t>
            </w: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jc w:val="center"/>
              <w:ind w:right="279"/>
              <w:spacing w:after="0"/>
              <w:rPr>
                <w:sz w:val="20"/>
                <w:szCs w:val="20"/>
                <w:color w:val="auto"/>
              </w:rPr>
            </w:pPr>
            <w:r>
              <w:rPr>
                <w:rFonts w:ascii="Arial" w:cs="Arial" w:eastAsia="Arial" w:hAnsi="Arial"/>
                <w:sz w:val="14"/>
                <w:szCs w:val="14"/>
                <w:b w:val="1"/>
                <w:bCs w:val="1"/>
                <w:color w:val="auto"/>
              </w:rPr>
              <w:t>Other</w:t>
            </w: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Noncontroll</w:t>
            </w:r>
          </w:p>
        </w:tc>
        <w:tc>
          <w:tcPr>
            <w:tcW w:w="180" w:type="dxa"/>
            <w:vAlign w:val="bottom"/>
          </w:tcPr>
          <w:p>
            <w:pPr>
              <w:spacing w:after="0"/>
              <w:rPr>
                <w:sz w:val="16"/>
                <w:szCs w:val="16"/>
                <w:color w:val="auto"/>
              </w:rPr>
            </w:pPr>
          </w:p>
        </w:tc>
        <w:tc>
          <w:tcPr>
            <w:tcW w:w="8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38"/>
        </w:trPr>
        <w:tc>
          <w:tcPr>
            <w:tcW w:w="2680" w:type="dxa"/>
            <w:vAlign w:val="bottom"/>
          </w:tcPr>
          <w:p>
            <w:pPr>
              <w:spacing w:after="0"/>
              <w:rPr>
                <w:sz w:val="11"/>
                <w:szCs w:val="11"/>
                <w:color w:val="auto"/>
              </w:rPr>
            </w:pPr>
          </w:p>
        </w:tc>
        <w:tc>
          <w:tcPr>
            <w:tcW w:w="10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Issued</w:t>
            </w: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restart"/>
          </w:tcPr>
          <w:p>
            <w:pPr>
              <w:jc w:val="center"/>
              <w:ind w:right="21"/>
              <w:spacing w:after="0"/>
              <w:rPr>
                <w:sz w:val="20"/>
                <w:szCs w:val="20"/>
                <w:color w:val="auto"/>
              </w:rPr>
            </w:pPr>
            <w:r>
              <w:rPr>
                <w:rFonts w:ascii="Arial" w:cs="Arial" w:eastAsia="Arial" w:hAnsi="Arial"/>
                <w:sz w:val="14"/>
                <w:szCs w:val="14"/>
                <w:b w:val="1"/>
                <w:bCs w:val="1"/>
                <w:color w:val="auto"/>
                <w:w w:val="98"/>
              </w:rPr>
              <w:t>Paid-in</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Retained</w:t>
            </w:r>
          </w:p>
        </w:tc>
        <w:tc>
          <w:tcPr>
            <w:tcW w:w="1360" w:type="dxa"/>
            <w:vAlign w:val="bottom"/>
            <w:gridSpan w:val="3"/>
            <w:vMerge w:val="restart"/>
          </w:tcPr>
          <w:p>
            <w:pPr>
              <w:jc w:val="center"/>
              <w:ind w:right="159"/>
              <w:spacing w:after="0"/>
              <w:rPr>
                <w:sz w:val="20"/>
                <w:szCs w:val="20"/>
                <w:color w:val="auto"/>
              </w:rPr>
            </w:pPr>
            <w:r>
              <w:rPr>
                <w:rFonts w:ascii="Arial" w:cs="Arial" w:eastAsia="Arial" w:hAnsi="Arial"/>
                <w:sz w:val="14"/>
                <w:szCs w:val="14"/>
                <w:b w:val="1"/>
                <w:bCs w:val="1"/>
                <w:color w:val="auto"/>
                <w:w w:val="91"/>
              </w:rPr>
              <w:t>Comprehensive</w:t>
            </w:r>
          </w:p>
        </w:tc>
        <w:tc>
          <w:tcPr>
            <w:tcW w:w="80" w:type="dxa"/>
            <w:vAlign w:val="bottom"/>
          </w:tcPr>
          <w:p>
            <w:pPr>
              <w:spacing w:after="0"/>
              <w:rPr>
                <w:sz w:val="11"/>
                <w:szCs w:val="11"/>
                <w:color w:val="auto"/>
              </w:rPr>
            </w:pPr>
          </w:p>
        </w:tc>
        <w:tc>
          <w:tcPr>
            <w:tcW w:w="920" w:type="dxa"/>
            <w:vAlign w:val="bottom"/>
            <w:gridSpan w:val="2"/>
            <w:vMerge w:val="restart"/>
          </w:tcPr>
          <w:p>
            <w:pPr>
              <w:jc w:val="center"/>
              <w:ind w:right="239"/>
              <w:spacing w:after="0"/>
              <w:rPr>
                <w:sz w:val="20"/>
                <w:szCs w:val="20"/>
                <w:color w:val="auto"/>
              </w:rPr>
            </w:pPr>
            <w:r>
              <w:rPr>
                <w:rFonts w:ascii="Arial" w:cs="Arial" w:eastAsia="Arial" w:hAnsi="Arial"/>
                <w:sz w:val="14"/>
                <w:szCs w:val="14"/>
                <w:b w:val="1"/>
                <w:bCs w:val="1"/>
                <w:color w:val="auto"/>
                <w:w w:val="94"/>
              </w:rPr>
              <w:t>Treasury</w:t>
            </w:r>
          </w:p>
        </w:tc>
        <w:tc>
          <w:tcPr>
            <w:tcW w:w="1020" w:type="dxa"/>
            <w:vAlign w:val="bottom"/>
            <w:gridSpan w:val="3"/>
            <w:vMerge w:val="continue"/>
          </w:tcPr>
          <w:p>
            <w:pPr>
              <w:spacing w:after="0"/>
              <w:rPr>
                <w:sz w:val="11"/>
                <w:szCs w:val="11"/>
                <w:color w:val="auto"/>
              </w:rPr>
            </w:pPr>
          </w:p>
        </w:tc>
        <w:tc>
          <w:tcPr>
            <w:tcW w:w="106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76"/>
        </w:trPr>
        <w:tc>
          <w:tcPr>
            <w:tcW w:w="268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1360" w:type="dxa"/>
            <w:vAlign w:val="bottom"/>
            <w:gridSpan w:val="3"/>
            <w:vMerge w:val="continue"/>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5"/>
              </w:rPr>
              <w:t>ing</w:t>
            </w:r>
          </w:p>
        </w:tc>
        <w:tc>
          <w:tcPr>
            <w:tcW w:w="106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68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85"/>
              </w:rPr>
              <w:t>Shares</w:t>
            </w:r>
          </w:p>
        </w:tc>
        <w:tc>
          <w:tcPr>
            <w:tcW w:w="280" w:type="dxa"/>
            <w:vAlign w:val="bottom"/>
          </w:tcPr>
          <w:p>
            <w:pPr>
              <w:spacing w:after="0"/>
              <w:rPr>
                <w:sz w:val="16"/>
                <w:szCs w:val="16"/>
                <w:color w:val="auto"/>
              </w:rPr>
            </w:pPr>
          </w:p>
        </w:tc>
        <w:tc>
          <w:tcPr>
            <w:tcW w:w="820" w:type="dxa"/>
            <w:vAlign w:val="bottom"/>
            <w:gridSpan w:val="3"/>
          </w:tcPr>
          <w:p>
            <w:pPr>
              <w:ind w:left="2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6"/>
                <w:szCs w:val="16"/>
                <w:color w:val="auto"/>
              </w:rPr>
            </w:pPr>
          </w:p>
        </w:tc>
        <w:tc>
          <w:tcPr>
            <w:tcW w:w="640" w:type="dxa"/>
            <w:vAlign w:val="bottom"/>
          </w:tcPr>
          <w:p>
            <w:pPr>
              <w:jc w:val="center"/>
              <w:ind w:right="21"/>
              <w:spacing w:after="0"/>
              <w:rPr>
                <w:sz w:val="20"/>
                <w:szCs w:val="20"/>
                <w:color w:val="auto"/>
              </w:rPr>
            </w:pPr>
            <w:r>
              <w:rPr>
                <w:rFonts w:ascii="Arial" w:cs="Arial" w:eastAsia="Arial" w:hAnsi="Arial"/>
                <w:sz w:val="14"/>
                <w:szCs w:val="14"/>
                <w:b w:val="1"/>
                <w:bCs w:val="1"/>
                <w:color w:val="auto"/>
                <w:w w:val="98"/>
              </w:rPr>
              <w:t>Capital</w:t>
            </w: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gridSpan w:val="2"/>
          </w:tcPr>
          <w:p>
            <w:pPr>
              <w:ind w:left="20"/>
              <w:spacing w:after="0"/>
              <w:rPr>
                <w:sz w:val="20"/>
                <w:szCs w:val="20"/>
                <w:color w:val="auto"/>
              </w:rPr>
            </w:pPr>
            <w:r>
              <w:rPr>
                <w:rFonts w:ascii="Arial" w:cs="Arial" w:eastAsia="Arial" w:hAnsi="Arial"/>
                <w:sz w:val="14"/>
                <w:szCs w:val="14"/>
                <w:b w:val="1"/>
                <w:bCs w:val="1"/>
                <w:color w:val="auto"/>
              </w:rPr>
              <w:t>Earnings</w:t>
            </w:r>
          </w:p>
        </w:tc>
        <w:tc>
          <w:tcPr>
            <w:tcW w:w="100" w:type="dxa"/>
            <w:vAlign w:val="bottom"/>
          </w:tcPr>
          <w:p>
            <w:pPr>
              <w:spacing w:after="0"/>
              <w:rPr>
                <w:sz w:val="16"/>
                <w:szCs w:val="16"/>
                <w:color w:val="auto"/>
              </w:rPr>
            </w:pPr>
          </w:p>
        </w:tc>
        <w:tc>
          <w:tcPr>
            <w:tcW w:w="1260" w:type="dxa"/>
            <w:vAlign w:val="bottom"/>
            <w:gridSpan w:val="2"/>
          </w:tcPr>
          <w:p>
            <w:pPr>
              <w:jc w:val="center"/>
              <w:ind w:right="279"/>
              <w:spacing w:after="0"/>
              <w:rPr>
                <w:sz w:val="20"/>
                <w:szCs w:val="20"/>
                <w:color w:val="auto"/>
              </w:rPr>
            </w:pPr>
            <w:r>
              <w:rPr>
                <w:rFonts w:ascii="Arial" w:cs="Arial" w:eastAsia="Arial" w:hAnsi="Arial"/>
                <w:sz w:val="14"/>
                <w:szCs w:val="14"/>
                <w:b w:val="1"/>
                <w:bCs w:val="1"/>
                <w:color w:val="auto"/>
                <w:w w:val="90"/>
              </w:rPr>
              <w:t>(Loss) Income</w:t>
            </w:r>
          </w:p>
        </w:tc>
        <w:tc>
          <w:tcPr>
            <w:tcW w:w="80" w:type="dxa"/>
            <w:vAlign w:val="bottom"/>
          </w:tcPr>
          <w:p>
            <w:pPr>
              <w:spacing w:after="0"/>
              <w:rPr>
                <w:sz w:val="16"/>
                <w:szCs w:val="16"/>
                <w:color w:val="auto"/>
              </w:rPr>
            </w:pPr>
          </w:p>
        </w:tc>
        <w:tc>
          <w:tcPr>
            <w:tcW w:w="920" w:type="dxa"/>
            <w:vAlign w:val="bottom"/>
            <w:gridSpan w:val="2"/>
          </w:tcPr>
          <w:p>
            <w:pPr>
              <w:jc w:val="center"/>
              <w:ind w:right="259"/>
              <w:spacing w:after="0"/>
              <w:rPr>
                <w:sz w:val="20"/>
                <w:szCs w:val="20"/>
                <w:color w:val="auto"/>
              </w:rPr>
            </w:pPr>
            <w:r>
              <w:rPr>
                <w:rFonts w:ascii="Arial" w:cs="Arial" w:eastAsia="Arial" w:hAnsi="Arial"/>
                <w:sz w:val="14"/>
                <w:szCs w:val="14"/>
                <w:b w:val="1"/>
                <w:bCs w:val="1"/>
                <w:color w:val="auto"/>
                <w:w w:val="89"/>
              </w:rPr>
              <w:t>Stock</w:t>
            </w:r>
          </w:p>
        </w:tc>
        <w:tc>
          <w:tcPr>
            <w:tcW w:w="120" w:type="dxa"/>
            <w:vAlign w:val="bottom"/>
          </w:tcPr>
          <w:p>
            <w:pPr>
              <w:spacing w:after="0"/>
              <w:rPr>
                <w:sz w:val="16"/>
                <w:szCs w:val="16"/>
                <w:color w:val="auto"/>
              </w:rPr>
            </w:pPr>
          </w:p>
        </w:tc>
        <w:tc>
          <w:tcPr>
            <w:tcW w:w="9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Interest</w:t>
            </w:r>
          </w:p>
        </w:tc>
        <w:tc>
          <w:tcPr>
            <w:tcW w:w="180" w:type="dxa"/>
            <w:vAlign w:val="bottom"/>
          </w:tcPr>
          <w:p>
            <w:pPr>
              <w:spacing w:after="0"/>
              <w:rPr>
                <w:sz w:val="16"/>
                <w:szCs w:val="16"/>
                <w:color w:val="auto"/>
              </w:rPr>
            </w:pPr>
          </w:p>
        </w:tc>
        <w:tc>
          <w:tcPr>
            <w:tcW w:w="8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196"/>
        </w:trPr>
        <w:tc>
          <w:tcPr>
            <w:tcW w:w="2680" w:type="dxa"/>
            <w:vAlign w:val="bottom"/>
          </w:tcPr>
          <w:p>
            <w:pPr>
              <w:ind w:left="20"/>
              <w:spacing w:after="0"/>
              <w:rPr>
                <w:sz w:val="20"/>
                <w:szCs w:val="20"/>
                <w:color w:val="auto"/>
              </w:rPr>
            </w:pPr>
            <w:r>
              <w:rPr>
                <w:rFonts w:ascii="Arial" w:cs="Arial" w:eastAsia="Arial" w:hAnsi="Arial"/>
                <w:sz w:val="16"/>
                <w:szCs w:val="16"/>
                <w:color w:val="auto"/>
              </w:rPr>
              <w:t>Balance, at December 31, 2020</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263.9</w:t>
            </w:r>
          </w:p>
        </w:tc>
        <w:tc>
          <w:tcPr>
            <w:tcW w:w="280" w:type="dxa"/>
            <w:vAlign w:val="bottom"/>
          </w:tcPr>
          <w:p>
            <w:pPr>
              <w:spacing w:after="0"/>
              <w:rPr>
                <w:sz w:val="17"/>
                <w:szCs w:val="17"/>
                <w:color w:val="auto"/>
              </w:rPr>
            </w:pPr>
          </w:p>
        </w:tc>
        <w:tc>
          <w:tcPr>
            <w:tcW w:w="240" w:type="dxa"/>
            <w:vAlign w:val="bottom"/>
            <w:tcBorders>
              <w:top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2.6</w:t>
            </w:r>
          </w:p>
        </w:tc>
        <w:tc>
          <w:tcPr>
            <w:tcW w:w="24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4,544.0</w:t>
            </w:r>
          </w:p>
        </w:tc>
        <w:tc>
          <w:tcPr>
            <w:tcW w:w="260" w:type="dxa"/>
            <w:vAlign w:val="bottom"/>
          </w:tcPr>
          <w:p>
            <w:pPr>
              <w:spacing w:after="0"/>
              <w:rPr>
                <w:sz w:val="17"/>
                <w:szCs w:val="17"/>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1,667.0</w:t>
            </w:r>
          </w:p>
        </w:tc>
        <w:tc>
          <w:tcPr>
            <w:tcW w:w="24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(201.0</w:t>
            </w:r>
          </w:p>
        </w:tc>
        <w:tc>
          <w:tcPr>
            <w:tcW w:w="2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(296.1</w:t>
            </w:r>
          </w:p>
        </w:tc>
        <w:tc>
          <w:tcPr>
            <w:tcW w:w="240" w:type="dxa"/>
            <w:vAlign w:val="bottom"/>
          </w:tcPr>
          <w:p>
            <w:pPr>
              <w:jc w:val="right"/>
              <w:ind w:right="99"/>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180" w:type="dxa"/>
            <w:vAlign w:val="bottom"/>
            <w:tcBorders>
              <w:top w:val="single" w:sz="8" w:color="auto"/>
            </w:tcBorders>
          </w:tcPr>
          <w:p>
            <w:pPr>
              <w:jc w:val="right"/>
              <w:ind w:right="2"/>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5,716.5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2680" w:type="dxa"/>
            <w:vAlign w:val="bottom"/>
            <w:shd w:val="clear" w:color="auto" w:fill="CFF0FC"/>
          </w:tcPr>
          <w:p>
            <w:pPr>
              <w:ind w:left="120"/>
              <w:spacing w:after="0" w:line="152" w:lineRule="exact"/>
              <w:rPr>
                <w:sz w:val="20"/>
                <w:szCs w:val="20"/>
                <w:color w:val="auto"/>
              </w:rPr>
            </w:pPr>
            <w:r>
              <w:rPr>
                <w:rFonts w:ascii="Arial" w:cs="Arial" w:eastAsia="Arial" w:hAnsi="Arial"/>
                <w:sz w:val="16"/>
                <w:szCs w:val="16"/>
                <w:color w:val="auto"/>
              </w:rPr>
              <w:t>Noncontrolling interest upon</w:t>
            </w:r>
          </w:p>
        </w:tc>
        <w:tc>
          <w:tcPr>
            <w:tcW w:w="1000" w:type="dxa"/>
            <w:vAlign w:val="bottom"/>
            <w:tcBorders>
              <w:right w:val="single" w:sz="8" w:color="CFF0FC"/>
            </w:tcBorders>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right w:val="single" w:sz="8" w:color="CFF0FC"/>
            </w:tcBorders>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580" w:type="dxa"/>
            <w:vAlign w:val="bottom"/>
            <w:tcBorders>
              <w:right w:val="single" w:sz="8" w:color="CFF0FC"/>
            </w:tcBorders>
            <w:gridSpan w:val="2"/>
            <w:vMerge w:val="restart"/>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3"/>
                <w:szCs w:val="13"/>
                <w:color w:val="auto"/>
              </w:rPr>
            </w:pPr>
          </w:p>
        </w:tc>
        <w:tc>
          <w:tcPr>
            <w:tcW w:w="64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46.8</w:t>
            </w:r>
          </w:p>
        </w:tc>
        <w:tc>
          <w:tcPr>
            <w:tcW w:w="260" w:type="dxa"/>
            <w:vAlign w:val="bottom"/>
            <w:tcBorders>
              <w:right w:val="single" w:sz="8" w:color="CFF0FC"/>
            </w:tcBorders>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40" w:type="dxa"/>
            <w:vAlign w:val="bottom"/>
            <w:tcBorders>
              <w:right w:val="single" w:sz="8" w:color="CFF0FC"/>
            </w:tcBorders>
            <w:gridSpan w:val="2"/>
            <w:vMerge w:val="restart"/>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3"/>
                <w:szCs w:val="13"/>
                <w:color w:val="auto"/>
              </w:rPr>
            </w:pPr>
          </w:p>
        </w:tc>
        <w:tc>
          <w:tcPr>
            <w:tcW w:w="1260" w:type="dxa"/>
            <w:vAlign w:val="bottom"/>
            <w:tcBorders>
              <w:right w:val="single" w:sz="8" w:color="CFF0FC"/>
            </w:tcBorders>
            <w:gridSpan w:val="2"/>
            <w:vMerge w:val="restart"/>
            <w:shd w:val="clear" w:color="auto" w:fill="CFF0FC"/>
          </w:tcPr>
          <w:p>
            <w:pPr>
              <w:jc w:val="right"/>
              <w:ind w:right="179"/>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3"/>
                <w:szCs w:val="13"/>
                <w:color w:val="auto"/>
              </w:rPr>
            </w:pPr>
          </w:p>
        </w:tc>
        <w:tc>
          <w:tcPr>
            <w:tcW w:w="920" w:type="dxa"/>
            <w:vAlign w:val="bottom"/>
            <w:tcBorders>
              <w:right w:val="single" w:sz="8" w:color="CFF0FC"/>
            </w:tcBorders>
            <w:gridSpan w:val="2"/>
            <w:vMerge w:val="restart"/>
            <w:shd w:val="clear" w:color="auto" w:fill="CFF0FC"/>
          </w:tcPr>
          <w:p>
            <w:pPr>
              <w:jc w:val="right"/>
              <w:ind w:right="179"/>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3"/>
                <w:szCs w:val="13"/>
                <w:color w:val="auto"/>
              </w:rPr>
            </w:pPr>
          </w:p>
        </w:tc>
        <w:tc>
          <w:tcPr>
            <w:tcW w:w="66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57.2</w:t>
            </w:r>
          </w:p>
        </w:tc>
        <w:tc>
          <w:tcPr>
            <w:tcW w:w="2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8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104.0</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2680" w:type="dxa"/>
            <w:vAlign w:val="bottom"/>
            <w:shd w:val="clear" w:color="auto" w:fill="CFF0FC"/>
          </w:tcPr>
          <w:p>
            <w:pPr>
              <w:ind w:left="120"/>
              <w:spacing w:after="0"/>
              <w:rPr>
                <w:sz w:val="20"/>
                <w:szCs w:val="20"/>
                <w:color w:val="auto"/>
              </w:rPr>
            </w:pPr>
            <w:r>
              <w:rPr>
                <w:rFonts w:ascii="Arial" w:cs="Arial" w:eastAsia="Arial" w:hAnsi="Arial"/>
                <w:sz w:val="16"/>
                <w:szCs w:val="16"/>
                <w:color w:val="auto"/>
              </w:rPr>
              <w:t>consolidation</w:t>
            </w:r>
          </w:p>
        </w:tc>
        <w:tc>
          <w:tcPr>
            <w:tcW w:w="1000" w:type="dxa"/>
            <w:vAlign w:val="bottom"/>
            <w:tcBorders>
              <w:right w:val="single" w:sz="8" w:color="CFF0FC"/>
            </w:tcBorders>
            <w:vMerge w:val="continue"/>
            <w:shd w:val="clear" w:color="auto" w:fill="CFF0FC"/>
          </w:tcPr>
          <w:p>
            <w:pPr>
              <w:spacing w:after="0"/>
              <w:rPr>
                <w:sz w:val="18"/>
                <w:szCs w:val="18"/>
                <w:color w:val="auto"/>
              </w:rPr>
            </w:pPr>
          </w:p>
        </w:tc>
        <w:tc>
          <w:tcPr>
            <w:tcW w:w="280" w:type="dxa"/>
            <w:vAlign w:val="bottom"/>
            <w:tcBorders>
              <w:right w:val="single" w:sz="8" w:color="CFF0FC"/>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80" w:type="dxa"/>
            <w:vAlign w:val="bottom"/>
            <w:tcBorders>
              <w:right w:val="single" w:sz="8" w:color="CFF0FC"/>
            </w:tcBorders>
            <w:gridSpan w:val="2"/>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40" w:type="dxa"/>
            <w:vAlign w:val="bottom"/>
            <w:vMerge w:val="continue"/>
            <w:shd w:val="clear" w:color="auto" w:fill="CFF0FC"/>
          </w:tcPr>
          <w:p>
            <w:pPr>
              <w:spacing w:after="0"/>
              <w:rPr>
                <w:sz w:val="18"/>
                <w:szCs w:val="18"/>
                <w:color w:val="auto"/>
              </w:rPr>
            </w:pPr>
          </w:p>
        </w:tc>
        <w:tc>
          <w:tcPr>
            <w:tcW w:w="260" w:type="dxa"/>
            <w:vAlign w:val="bottom"/>
            <w:tcBorders>
              <w:right w:val="single" w:sz="8" w:color="CFF0FC"/>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40" w:type="dxa"/>
            <w:vAlign w:val="bottom"/>
            <w:tcBorders>
              <w:right w:val="single" w:sz="8" w:color="CFF0FC"/>
            </w:tcBorders>
            <w:gridSpan w:val="2"/>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60" w:type="dxa"/>
            <w:vAlign w:val="bottom"/>
            <w:tcBorders>
              <w:right w:val="single" w:sz="8" w:color="CFF0FC"/>
            </w:tcBorders>
            <w:gridSpan w:val="2"/>
            <w:vMerge w:val="continue"/>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20" w:type="dxa"/>
            <w:vAlign w:val="bottom"/>
            <w:tcBorders>
              <w:right w:val="single" w:sz="8" w:color="CFF0FC"/>
            </w:tcBorders>
            <w:gridSpan w:val="2"/>
            <w:vMerge w:val="continue"/>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60" w:type="dxa"/>
            <w:vAlign w:val="bottom"/>
            <w:vMerge w:val="continue"/>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680" w:type="dxa"/>
            <w:vAlign w:val="bottom"/>
          </w:tcPr>
          <w:p>
            <w:pPr>
              <w:ind w:left="120"/>
              <w:spacing w:after="0"/>
              <w:rPr>
                <w:sz w:val="20"/>
                <w:szCs w:val="20"/>
                <w:color w:val="auto"/>
              </w:rPr>
            </w:pPr>
            <w:r>
              <w:rPr>
                <w:rFonts w:ascii="Arial" w:cs="Arial" w:eastAsia="Arial" w:hAnsi="Arial"/>
                <w:sz w:val="16"/>
                <w:szCs w:val="16"/>
                <w:color w:val="auto"/>
              </w:rPr>
              <w:t>Net income</w:t>
            </w: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549.1</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179"/>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920" w:type="dxa"/>
            <w:vAlign w:val="bottom"/>
            <w:gridSpan w:val="2"/>
          </w:tcPr>
          <w:p>
            <w:pPr>
              <w:jc w:val="right"/>
              <w:ind w:right="17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0.3</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549.4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2680" w:type="dxa"/>
            <w:vAlign w:val="bottom"/>
            <w:shd w:val="clear" w:color="auto" w:fill="CFF0FC"/>
          </w:tcPr>
          <w:p>
            <w:pPr>
              <w:ind w:left="120"/>
              <w:spacing w:after="0" w:line="155" w:lineRule="exact"/>
              <w:rPr>
                <w:sz w:val="20"/>
                <w:szCs w:val="20"/>
                <w:color w:val="auto"/>
              </w:rPr>
            </w:pPr>
            <w:r>
              <w:rPr>
                <w:rFonts w:ascii="Arial" w:cs="Arial" w:eastAsia="Arial" w:hAnsi="Arial"/>
                <w:sz w:val="16"/>
                <w:szCs w:val="16"/>
                <w:color w:val="auto"/>
              </w:rPr>
              <w:t>Foreign exchange translation</w:t>
            </w:r>
          </w:p>
        </w:tc>
        <w:tc>
          <w:tcPr>
            <w:tcW w:w="1000" w:type="dxa"/>
            <w:vAlign w:val="bottom"/>
            <w:tcBorders>
              <w:right w:val="single" w:sz="8" w:color="CFF0FC"/>
            </w:tcBorders>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right w:val="single" w:sz="8" w:color="CFF0FC"/>
            </w:tcBorders>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580" w:type="dxa"/>
            <w:vAlign w:val="bottom"/>
            <w:tcBorders>
              <w:right w:val="single" w:sz="8" w:color="CFF0FC"/>
            </w:tcBorders>
            <w:gridSpan w:val="2"/>
            <w:vMerge w:val="restart"/>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3"/>
                <w:szCs w:val="13"/>
                <w:color w:val="auto"/>
              </w:rPr>
            </w:pPr>
          </w:p>
        </w:tc>
        <w:tc>
          <w:tcPr>
            <w:tcW w:w="64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right w:val="single" w:sz="8" w:color="CFF0FC"/>
            </w:tcBorders>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40" w:type="dxa"/>
            <w:vAlign w:val="bottom"/>
            <w:tcBorders>
              <w:right w:val="single" w:sz="8" w:color="CFF0FC"/>
            </w:tcBorders>
            <w:gridSpan w:val="2"/>
            <w:vMerge w:val="restart"/>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3"/>
                <w:szCs w:val="13"/>
                <w:color w:val="auto"/>
              </w:rPr>
            </w:pPr>
          </w:p>
        </w:tc>
        <w:tc>
          <w:tcPr>
            <w:tcW w:w="1260" w:type="dxa"/>
            <w:vAlign w:val="bottom"/>
            <w:tcBorders>
              <w:right w:val="single" w:sz="8" w:color="CFF0FC"/>
            </w:tcBorders>
            <w:gridSpan w:val="2"/>
            <w:vMerge w:val="restart"/>
            <w:shd w:val="clear" w:color="auto" w:fill="CFF0FC"/>
          </w:tcPr>
          <w:p>
            <w:pPr>
              <w:jc w:val="right"/>
              <w:ind w:right="99"/>
              <w:spacing w:after="0"/>
              <w:rPr>
                <w:sz w:val="20"/>
                <w:szCs w:val="20"/>
                <w:color w:val="auto"/>
              </w:rPr>
            </w:pPr>
            <w:r>
              <w:rPr>
                <w:rFonts w:ascii="Arial" w:cs="Arial" w:eastAsia="Arial" w:hAnsi="Arial"/>
                <w:sz w:val="16"/>
                <w:szCs w:val="16"/>
                <w:color w:val="auto"/>
              </w:rPr>
              <w:t>(45.4 )</w:t>
            </w:r>
          </w:p>
        </w:tc>
        <w:tc>
          <w:tcPr>
            <w:tcW w:w="80" w:type="dxa"/>
            <w:vAlign w:val="bottom"/>
            <w:shd w:val="clear" w:color="auto" w:fill="CFF0FC"/>
          </w:tcPr>
          <w:p>
            <w:pPr>
              <w:spacing w:after="0"/>
              <w:rPr>
                <w:sz w:val="13"/>
                <w:szCs w:val="13"/>
                <w:color w:val="auto"/>
              </w:rPr>
            </w:pPr>
          </w:p>
        </w:tc>
        <w:tc>
          <w:tcPr>
            <w:tcW w:w="920" w:type="dxa"/>
            <w:vAlign w:val="bottom"/>
            <w:tcBorders>
              <w:right w:val="single" w:sz="8" w:color="CFF0FC"/>
            </w:tcBorders>
            <w:gridSpan w:val="2"/>
            <w:vMerge w:val="restart"/>
            <w:shd w:val="clear" w:color="auto" w:fill="CFF0FC"/>
          </w:tcPr>
          <w:p>
            <w:pPr>
              <w:jc w:val="right"/>
              <w:ind w:right="179"/>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3"/>
                <w:szCs w:val="13"/>
                <w:color w:val="auto"/>
              </w:rPr>
            </w:pPr>
          </w:p>
        </w:tc>
        <w:tc>
          <w:tcPr>
            <w:tcW w:w="900" w:type="dxa"/>
            <w:vAlign w:val="bottom"/>
            <w:gridSpan w:val="2"/>
            <w:vMerge w:val="restart"/>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3"/>
                <w:szCs w:val="13"/>
                <w:color w:val="auto"/>
              </w:rPr>
            </w:pPr>
          </w:p>
        </w:tc>
        <w:tc>
          <w:tcPr>
            <w:tcW w:w="880" w:type="dxa"/>
            <w:vAlign w:val="bottom"/>
            <w:gridSpan w:val="2"/>
            <w:vMerge w:val="restart"/>
            <w:shd w:val="clear" w:color="auto" w:fill="CFF0FC"/>
          </w:tcPr>
          <w:p>
            <w:pPr>
              <w:jc w:val="right"/>
              <w:ind w:right="40"/>
              <w:spacing w:after="0"/>
              <w:rPr>
                <w:sz w:val="20"/>
                <w:szCs w:val="20"/>
                <w:color w:val="auto"/>
              </w:rPr>
            </w:pPr>
            <w:r>
              <w:rPr>
                <w:rFonts w:ascii="Arial" w:cs="Arial" w:eastAsia="Arial" w:hAnsi="Arial"/>
                <w:sz w:val="16"/>
                <w:szCs w:val="16"/>
                <w:color w:val="auto"/>
              </w:rPr>
              <w:t>(45.4 )</w:t>
            </w:r>
          </w:p>
        </w:tc>
        <w:tc>
          <w:tcPr>
            <w:tcW w:w="0" w:type="dxa"/>
            <w:vAlign w:val="bottom"/>
          </w:tcPr>
          <w:p>
            <w:pPr>
              <w:spacing w:after="0"/>
              <w:rPr>
                <w:sz w:val="1"/>
                <w:szCs w:val="1"/>
                <w:color w:val="auto"/>
              </w:rPr>
            </w:pPr>
          </w:p>
        </w:tc>
      </w:tr>
      <w:tr>
        <w:trPr>
          <w:trHeight w:val="212"/>
        </w:trPr>
        <w:tc>
          <w:tcPr>
            <w:tcW w:w="2680" w:type="dxa"/>
            <w:vAlign w:val="bottom"/>
            <w:shd w:val="clear" w:color="auto" w:fill="CFF0FC"/>
          </w:tcPr>
          <w:p>
            <w:pPr>
              <w:ind w:left="120"/>
              <w:spacing w:after="0"/>
              <w:rPr>
                <w:sz w:val="20"/>
                <w:szCs w:val="20"/>
                <w:color w:val="auto"/>
              </w:rPr>
            </w:pPr>
            <w:r>
              <w:rPr>
                <w:rFonts w:ascii="Arial" w:cs="Arial" w:eastAsia="Arial" w:hAnsi="Arial"/>
                <w:sz w:val="16"/>
                <w:szCs w:val="16"/>
                <w:color w:val="auto"/>
              </w:rPr>
              <w:t>adjustment</w:t>
            </w:r>
          </w:p>
        </w:tc>
        <w:tc>
          <w:tcPr>
            <w:tcW w:w="1000" w:type="dxa"/>
            <w:vAlign w:val="bottom"/>
            <w:tcBorders>
              <w:right w:val="single" w:sz="8" w:color="CFF0FC"/>
            </w:tcBorders>
            <w:vMerge w:val="continue"/>
            <w:shd w:val="clear" w:color="auto" w:fill="CFF0FC"/>
          </w:tcPr>
          <w:p>
            <w:pPr>
              <w:spacing w:after="0"/>
              <w:rPr>
                <w:sz w:val="18"/>
                <w:szCs w:val="18"/>
                <w:color w:val="auto"/>
              </w:rPr>
            </w:pPr>
          </w:p>
        </w:tc>
        <w:tc>
          <w:tcPr>
            <w:tcW w:w="280" w:type="dxa"/>
            <w:vAlign w:val="bottom"/>
            <w:tcBorders>
              <w:right w:val="single" w:sz="8" w:color="CFF0FC"/>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80" w:type="dxa"/>
            <w:vAlign w:val="bottom"/>
            <w:tcBorders>
              <w:right w:val="single" w:sz="8" w:color="CFF0FC"/>
            </w:tcBorders>
            <w:gridSpan w:val="2"/>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40" w:type="dxa"/>
            <w:vAlign w:val="bottom"/>
            <w:vMerge w:val="continue"/>
            <w:shd w:val="clear" w:color="auto" w:fill="CFF0FC"/>
          </w:tcPr>
          <w:p>
            <w:pPr>
              <w:spacing w:after="0"/>
              <w:rPr>
                <w:sz w:val="18"/>
                <w:szCs w:val="18"/>
                <w:color w:val="auto"/>
              </w:rPr>
            </w:pPr>
          </w:p>
        </w:tc>
        <w:tc>
          <w:tcPr>
            <w:tcW w:w="260" w:type="dxa"/>
            <w:vAlign w:val="bottom"/>
            <w:tcBorders>
              <w:right w:val="single" w:sz="8" w:color="CFF0FC"/>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40" w:type="dxa"/>
            <w:vAlign w:val="bottom"/>
            <w:tcBorders>
              <w:right w:val="single" w:sz="8" w:color="CFF0FC"/>
            </w:tcBorders>
            <w:gridSpan w:val="2"/>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60" w:type="dxa"/>
            <w:vAlign w:val="bottom"/>
            <w:tcBorders>
              <w:right w:val="single" w:sz="8" w:color="CFF0FC"/>
            </w:tcBorders>
            <w:gridSpan w:val="2"/>
            <w:vMerge w:val="continue"/>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20" w:type="dxa"/>
            <w:vAlign w:val="bottom"/>
            <w:tcBorders>
              <w:right w:val="single" w:sz="8" w:color="CFF0FC"/>
            </w:tcBorders>
            <w:gridSpan w:val="2"/>
            <w:vMerge w:val="continue"/>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gridSpan w:val="2"/>
            <w:vMerge w:val="continue"/>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680" w:type="dxa"/>
            <w:vAlign w:val="bottom"/>
          </w:tcPr>
          <w:p>
            <w:pPr>
              <w:ind w:left="120"/>
              <w:spacing w:after="0"/>
              <w:rPr>
                <w:sz w:val="20"/>
                <w:szCs w:val="20"/>
                <w:color w:val="auto"/>
              </w:rPr>
            </w:pPr>
            <w:r>
              <w:rPr>
                <w:rFonts w:ascii="Arial" w:cs="Arial" w:eastAsia="Arial" w:hAnsi="Arial"/>
                <w:sz w:val="16"/>
                <w:szCs w:val="16"/>
                <w:color w:val="auto"/>
              </w:rPr>
              <w:t>Net change in interest rate swaps</w:t>
            </w: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0.3</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gridSpan w:val="2"/>
          </w:tcPr>
          <w:p>
            <w:pPr>
              <w:jc w:val="right"/>
              <w:ind w:right="17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2680" w:type="dxa"/>
            <w:vAlign w:val="bottom"/>
            <w:shd w:val="clear" w:color="auto" w:fill="CFF0FC"/>
          </w:tcPr>
          <w:p>
            <w:pPr>
              <w:ind w:left="120"/>
              <w:spacing w:after="0" w:line="155" w:lineRule="exact"/>
              <w:rPr>
                <w:sz w:val="20"/>
                <w:szCs w:val="20"/>
                <w:color w:val="auto"/>
              </w:rPr>
            </w:pPr>
            <w:r>
              <w:rPr>
                <w:rFonts w:ascii="Arial" w:cs="Arial" w:eastAsia="Arial" w:hAnsi="Arial"/>
                <w:sz w:val="16"/>
                <w:szCs w:val="16"/>
                <w:color w:val="auto"/>
              </w:rPr>
              <w:t>Change in defined benefit plan</w:t>
            </w:r>
          </w:p>
        </w:tc>
        <w:tc>
          <w:tcPr>
            <w:tcW w:w="1000" w:type="dxa"/>
            <w:vAlign w:val="bottom"/>
            <w:tcBorders>
              <w:right w:val="single" w:sz="8" w:color="CFF0FC"/>
            </w:tcBorders>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right w:val="single" w:sz="8" w:color="CFF0FC"/>
            </w:tcBorders>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580" w:type="dxa"/>
            <w:vAlign w:val="bottom"/>
            <w:tcBorders>
              <w:right w:val="single" w:sz="8" w:color="CFF0FC"/>
            </w:tcBorders>
            <w:gridSpan w:val="2"/>
            <w:vMerge w:val="restart"/>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3"/>
                <w:szCs w:val="13"/>
                <w:color w:val="auto"/>
              </w:rPr>
            </w:pPr>
          </w:p>
        </w:tc>
        <w:tc>
          <w:tcPr>
            <w:tcW w:w="64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right w:val="single" w:sz="8" w:color="CFF0FC"/>
            </w:tcBorders>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40" w:type="dxa"/>
            <w:vAlign w:val="bottom"/>
            <w:tcBorders>
              <w:right w:val="single" w:sz="8" w:color="CFF0FC"/>
            </w:tcBorders>
            <w:gridSpan w:val="2"/>
            <w:vMerge w:val="restart"/>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3"/>
                <w:szCs w:val="13"/>
                <w:color w:val="auto"/>
              </w:rPr>
            </w:pPr>
          </w:p>
        </w:tc>
        <w:tc>
          <w:tcPr>
            <w:tcW w:w="100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0.2</w:t>
            </w:r>
          </w:p>
        </w:tc>
        <w:tc>
          <w:tcPr>
            <w:tcW w:w="260" w:type="dxa"/>
            <w:vAlign w:val="bottom"/>
            <w:tcBorders>
              <w:right w:val="single" w:sz="8" w:color="CFF0FC"/>
            </w:tcBorders>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20" w:type="dxa"/>
            <w:vAlign w:val="bottom"/>
            <w:tcBorders>
              <w:right w:val="single" w:sz="8" w:color="CFF0FC"/>
            </w:tcBorders>
            <w:gridSpan w:val="2"/>
            <w:vMerge w:val="restart"/>
            <w:shd w:val="clear" w:color="auto" w:fill="CFF0FC"/>
          </w:tcPr>
          <w:p>
            <w:pPr>
              <w:jc w:val="right"/>
              <w:ind w:right="179"/>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3"/>
                <w:szCs w:val="13"/>
                <w:color w:val="auto"/>
              </w:rPr>
            </w:pPr>
          </w:p>
        </w:tc>
        <w:tc>
          <w:tcPr>
            <w:tcW w:w="900" w:type="dxa"/>
            <w:vAlign w:val="bottom"/>
            <w:gridSpan w:val="2"/>
            <w:vMerge w:val="restart"/>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3"/>
                <w:szCs w:val="13"/>
                <w:color w:val="auto"/>
              </w:rPr>
            </w:pPr>
          </w:p>
        </w:tc>
        <w:tc>
          <w:tcPr>
            <w:tcW w:w="78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0.2</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2680" w:type="dxa"/>
            <w:vAlign w:val="bottom"/>
            <w:shd w:val="clear" w:color="auto" w:fill="CFF0FC"/>
          </w:tcPr>
          <w:p>
            <w:pPr>
              <w:ind w:left="120"/>
              <w:spacing w:after="0"/>
              <w:rPr>
                <w:sz w:val="20"/>
                <w:szCs w:val="20"/>
                <w:color w:val="auto"/>
              </w:rPr>
            </w:pPr>
            <w:r>
              <w:rPr>
                <w:rFonts w:ascii="Arial" w:cs="Arial" w:eastAsia="Arial" w:hAnsi="Arial"/>
                <w:sz w:val="16"/>
                <w:szCs w:val="16"/>
                <w:color w:val="auto"/>
              </w:rPr>
              <w:t>obligation</w:t>
            </w:r>
          </w:p>
        </w:tc>
        <w:tc>
          <w:tcPr>
            <w:tcW w:w="1000" w:type="dxa"/>
            <w:vAlign w:val="bottom"/>
            <w:tcBorders>
              <w:right w:val="single" w:sz="8" w:color="CFF0FC"/>
            </w:tcBorders>
            <w:vMerge w:val="continue"/>
            <w:shd w:val="clear" w:color="auto" w:fill="CFF0FC"/>
          </w:tcPr>
          <w:p>
            <w:pPr>
              <w:spacing w:after="0"/>
              <w:rPr>
                <w:sz w:val="18"/>
                <w:szCs w:val="18"/>
                <w:color w:val="auto"/>
              </w:rPr>
            </w:pPr>
          </w:p>
        </w:tc>
        <w:tc>
          <w:tcPr>
            <w:tcW w:w="280" w:type="dxa"/>
            <w:vAlign w:val="bottom"/>
            <w:tcBorders>
              <w:right w:val="single" w:sz="8" w:color="CFF0FC"/>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80" w:type="dxa"/>
            <w:vAlign w:val="bottom"/>
            <w:tcBorders>
              <w:right w:val="single" w:sz="8" w:color="CFF0FC"/>
            </w:tcBorders>
            <w:gridSpan w:val="2"/>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40" w:type="dxa"/>
            <w:vAlign w:val="bottom"/>
            <w:vMerge w:val="continue"/>
            <w:shd w:val="clear" w:color="auto" w:fill="CFF0FC"/>
          </w:tcPr>
          <w:p>
            <w:pPr>
              <w:spacing w:after="0"/>
              <w:rPr>
                <w:sz w:val="18"/>
                <w:szCs w:val="18"/>
                <w:color w:val="auto"/>
              </w:rPr>
            </w:pPr>
          </w:p>
        </w:tc>
        <w:tc>
          <w:tcPr>
            <w:tcW w:w="260" w:type="dxa"/>
            <w:vAlign w:val="bottom"/>
            <w:tcBorders>
              <w:right w:val="single" w:sz="8" w:color="CFF0FC"/>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40" w:type="dxa"/>
            <w:vAlign w:val="bottom"/>
            <w:tcBorders>
              <w:right w:val="single" w:sz="8" w:color="CFF0FC"/>
            </w:tcBorders>
            <w:gridSpan w:val="2"/>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vMerge w:val="continue"/>
            <w:shd w:val="clear" w:color="auto" w:fill="CFF0FC"/>
          </w:tcPr>
          <w:p>
            <w:pPr>
              <w:spacing w:after="0"/>
              <w:rPr>
                <w:sz w:val="18"/>
                <w:szCs w:val="18"/>
                <w:color w:val="auto"/>
              </w:rPr>
            </w:pPr>
          </w:p>
        </w:tc>
        <w:tc>
          <w:tcPr>
            <w:tcW w:w="260" w:type="dxa"/>
            <w:vAlign w:val="bottom"/>
            <w:tcBorders>
              <w:right w:val="single" w:sz="8" w:color="CFF0FC"/>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20" w:type="dxa"/>
            <w:vAlign w:val="bottom"/>
            <w:tcBorders>
              <w:right w:val="single" w:sz="8" w:color="CFF0FC"/>
            </w:tcBorders>
            <w:gridSpan w:val="2"/>
            <w:vMerge w:val="continue"/>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gridSpan w:val="2"/>
            <w:vMerge w:val="continue"/>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680" w:type="dxa"/>
            <w:vAlign w:val="bottom"/>
          </w:tcPr>
          <w:p>
            <w:pPr>
              <w:ind w:left="120"/>
              <w:spacing w:after="0"/>
              <w:rPr>
                <w:sz w:val="20"/>
                <w:szCs w:val="20"/>
                <w:color w:val="auto"/>
              </w:rPr>
            </w:pPr>
            <w:r>
              <w:rPr>
                <w:rFonts w:ascii="Arial" w:cs="Arial" w:eastAsia="Arial" w:hAnsi="Arial"/>
                <w:sz w:val="16"/>
                <w:szCs w:val="16"/>
                <w:color w:val="auto"/>
                <w:w w:val="98"/>
              </w:rPr>
              <w:t>Stock-based compensation expense</w:t>
            </w: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82.7</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1260" w:type="dxa"/>
            <w:vAlign w:val="bottom"/>
            <w:gridSpan w:val="2"/>
          </w:tcPr>
          <w:p>
            <w:pPr>
              <w:jc w:val="right"/>
              <w:ind w:right="179"/>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920" w:type="dxa"/>
            <w:vAlign w:val="bottom"/>
            <w:gridSpan w:val="2"/>
          </w:tcPr>
          <w:p>
            <w:pPr>
              <w:jc w:val="right"/>
              <w:ind w:right="17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2680" w:type="dxa"/>
            <w:vAlign w:val="bottom"/>
            <w:shd w:val="clear" w:color="auto" w:fill="CFF0FC"/>
          </w:tcPr>
          <w:p>
            <w:pPr>
              <w:ind w:left="120"/>
              <w:spacing w:after="0" w:line="155" w:lineRule="exact"/>
              <w:rPr>
                <w:sz w:val="20"/>
                <w:szCs w:val="20"/>
                <w:color w:val="auto"/>
              </w:rPr>
            </w:pPr>
            <w:r>
              <w:rPr>
                <w:rFonts w:ascii="Arial" w:cs="Arial" w:eastAsia="Arial" w:hAnsi="Arial"/>
                <w:sz w:val="16"/>
                <w:szCs w:val="16"/>
                <w:color w:val="auto"/>
              </w:rPr>
              <w:t>Exercise of options, net of</w:t>
            </w:r>
          </w:p>
        </w:tc>
        <w:tc>
          <w:tcPr>
            <w:tcW w:w="1000" w:type="dxa"/>
            <w:vAlign w:val="bottom"/>
            <w:tcBorders>
              <w:right w:val="single" w:sz="8" w:color="CFF0FC"/>
            </w:tcBorders>
            <w:vMerge w:val="restart"/>
            <w:shd w:val="clear" w:color="auto" w:fill="CFF0FC"/>
          </w:tcPr>
          <w:p>
            <w:pPr>
              <w:jc w:val="right"/>
              <w:spacing w:after="0"/>
              <w:rPr>
                <w:sz w:val="20"/>
                <w:szCs w:val="20"/>
                <w:color w:val="auto"/>
              </w:rPr>
            </w:pPr>
            <w:r>
              <w:rPr>
                <w:rFonts w:ascii="Arial" w:cs="Arial" w:eastAsia="Arial" w:hAnsi="Arial"/>
                <w:sz w:val="16"/>
                <w:szCs w:val="16"/>
                <w:color w:val="auto"/>
              </w:rPr>
              <w:t>3.4</w:t>
            </w:r>
          </w:p>
        </w:tc>
        <w:tc>
          <w:tcPr>
            <w:tcW w:w="280" w:type="dxa"/>
            <w:vAlign w:val="bottom"/>
            <w:tcBorders>
              <w:right w:val="single" w:sz="8" w:color="CFF0FC"/>
            </w:tcBorders>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340" w:type="dxa"/>
            <w:vAlign w:val="bottom"/>
            <w:tcBorders>
              <w:right w:val="single" w:sz="8" w:color="CFF0FC"/>
            </w:tcBorders>
            <w:vMerge w:val="restart"/>
            <w:shd w:val="clear" w:color="auto" w:fill="CFF0FC"/>
          </w:tcPr>
          <w:p>
            <w:pPr>
              <w:jc w:val="right"/>
              <w:spacing w:after="0"/>
              <w:rPr>
                <w:sz w:val="20"/>
                <w:szCs w:val="20"/>
                <w:color w:val="auto"/>
              </w:rPr>
            </w:pPr>
            <w:r>
              <w:rPr>
                <w:rFonts w:ascii="Arial" w:cs="Arial" w:eastAsia="Arial" w:hAnsi="Arial"/>
                <w:sz w:val="16"/>
                <w:szCs w:val="16"/>
                <w:color w:val="auto"/>
              </w:rPr>
              <w:t>0.1</w:t>
            </w:r>
          </w:p>
        </w:tc>
        <w:tc>
          <w:tcPr>
            <w:tcW w:w="240" w:type="dxa"/>
            <w:vAlign w:val="bottom"/>
            <w:tcBorders>
              <w:right w:val="single" w:sz="8" w:color="CFF0FC"/>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4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118.3</w:t>
            </w:r>
          </w:p>
        </w:tc>
        <w:tc>
          <w:tcPr>
            <w:tcW w:w="260" w:type="dxa"/>
            <w:vAlign w:val="bottom"/>
            <w:tcBorders>
              <w:right w:val="single" w:sz="8" w:color="CFF0FC"/>
            </w:tcBorders>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40" w:type="dxa"/>
            <w:vAlign w:val="bottom"/>
            <w:tcBorders>
              <w:right w:val="single" w:sz="8" w:color="CFF0FC"/>
            </w:tcBorders>
            <w:gridSpan w:val="2"/>
            <w:vMerge w:val="restart"/>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3"/>
                <w:szCs w:val="13"/>
                <w:color w:val="auto"/>
              </w:rPr>
            </w:pPr>
          </w:p>
        </w:tc>
        <w:tc>
          <w:tcPr>
            <w:tcW w:w="1260" w:type="dxa"/>
            <w:vAlign w:val="bottom"/>
            <w:tcBorders>
              <w:right w:val="single" w:sz="8" w:color="CFF0FC"/>
            </w:tcBorders>
            <w:gridSpan w:val="2"/>
            <w:vMerge w:val="restart"/>
            <w:shd w:val="clear" w:color="auto" w:fill="CFF0FC"/>
          </w:tcPr>
          <w:p>
            <w:pPr>
              <w:jc w:val="right"/>
              <w:ind w:right="179"/>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3"/>
                <w:szCs w:val="13"/>
                <w:color w:val="auto"/>
              </w:rPr>
            </w:pPr>
          </w:p>
        </w:tc>
        <w:tc>
          <w:tcPr>
            <w:tcW w:w="920" w:type="dxa"/>
            <w:vAlign w:val="bottom"/>
            <w:tcBorders>
              <w:right w:val="single" w:sz="8" w:color="CFF0FC"/>
            </w:tcBorders>
            <w:gridSpan w:val="2"/>
            <w:vMerge w:val="restart"/>
            <w:shd w:val="clear" w:color="auto" w:fill="CFF0FC"/>
          </w:tcPr>
          <w:p>
            <w:pPr>
              <w:jc w:val="right"/>
              <w:ind w:right="179"/>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3"/>
                <w:szCs w:val="13"/>
                <w:color w:val="auto"/>
              </w:rPr>
            </w:pPr>
          </w:p>
        </w:tc>
        <w:tc>
          <w:tcPr>
            <w:tcW w:w="900" w:type="dxa"/>
            <w:vAlign w:val="bottom"/>
            <w:gridSpan w:val="2"/>
            <w:vMerge w:val="restart"/>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3"/>
                <w:szCs w:val="13"/>
                <w:color w:val="auto"/>
              </w:rPr>
            </w:pPr>
          </w:p>
        </w:tc>
        <w:tc>
          <w:tcPr>
            <w:tcW w:w="78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118.4</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2680" w:type="dxa"/>
            <w:vAlign w:val="bottom"/>
            <w:shd w:val="clear" w:color="auto" w:fill="CFF0FC"/>
          </w:tcPr>
          <w:p>
            <w:pPr>
              <w:ind w:left="120"/>
              <w:spacing w:after="0"/>
              <w:rPr>
                <w:sz w:val="20"/>
                <w:szCs w:val="20"/>
                <w:color w:val="auto"/>
              </w:rPr>
            </w:pPr>
            <w:r>
              <w:rPr>
                <w:rFonts w:ascii="Arial" w:cs="Arial" w:eastAsia="Arial" w:hAnsi="Arial"/>
                <w:sz w:val="16"/>
                <w:szCs w:val="16"/>
                <w:color w:val="auto"/>
              </w:rPr>
              <w:t>withholding taxes</w:t>
            </w:r>
          </w:p>
        </w:tc>
        <w:tc>
          <w:tcPr>
            <w:tcW w:w="1000" w:type="dxa"/>
            <w:vAlign w:val="bottom"/>
            <w:tcBorders>
              <w:right w:val="single" w:sz="8" w:color="CFF0FC"/>
            </w:tcBorders>
            <w:vMerge w:val="continue"/>
            <w:shd w:val="clear" w:color="auto" w:fill="CFF0FC"/>
          </w:tcPr>
          <w:p>
            <w:pPr>
              <w:spacing w:after="0"/>
              <w:rPr>
                <w:sz w:val="18"/>
                <w:szCs w:val="18"/>
                <w:color w:val="auto"/>
              </w:rPr>
            </w:pPr>
          </w:p>
        </w:tc>
        <w:tc>
          <w:tcPr>
            <w:tcW w:w="280" w:type="dxa"/>
            <w:vAlign w:val="bottom"/>
            <w:tcBorders>
              <w:right w:val="single" w:sz="8" w:color="CFF0FC"/>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40" w:type="dxa"/>
            <w:vAlign w:val="bottom"/>
            <w:tcBorders>
              <w:right w:val="single" w:sz="8" w:color="CFF0FC"/>
            </w:tcBorders>
            <w:vMerge w:val="continue"/>
            <w:shd w:val="clear" w:color="auto" w:fill="CFF0FC"/>
          </w:tcPr>
          <w:p>
            <w:pPr>
              <w:spacing w:after="0"/>
              <w:rPr>
                <w:sz w:val="18"/>
                <w:szCs w:val="18"/>
                <w:color w:val="auto"/>
              </w:rPr>
            </w:pPr>
          </w:p>
        </w:tc>
        <w:tc>
          <w:tcPr>
            <w:tcW w:w="24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40" w:type="dxa"/>
            <w:vAlign w:val="bottom"/>
            <w:vMerge w:val="continue"/>
            <w:shd w:val="clear" w:color="auto" w:fill="CFF0FC"/>
          </w:tcPr>
          <w:p>
            <w:pPr>
              <w:spacing w:after="0"/>
              <w:rPr>
                <w:sz w:val="18"/>
                <w:szCs w:val="18"/>
                <w:color w:val="auto"/>
              </w:rPr>
            </w:pPr>
          </w:p>
        </w:tc>
        <w:tc>
          <w:tcPr>
            <w:tcW w:w="260" w:type="dxa"/>
            <w:vAlign w:val="bottom"/>
            <w:tcBorders>
              <w:right w:val="single" w:sz="8" w:color="CFF0FC"/>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40" w:type="dxa"/>
            <w:vAlign w:val="bottom"/>
            <w:tcBorders>
              <w:right w:val="single" w:sz="8" w:color="CFF0FC"/>
            </w:tcBorders>
            <w:gridSpan w:val="2"/>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60" w:type="dxa"/>
            <w:vAlign w:val="bottom"/>
            <w:tcBorders>
              <w:right w:val="single" w:sz="8" w:color="CFF0FC"/>
            </w:tcBorders>
            <w:gridSpan w:val="2"/>
            <w:vMerge w:val="continue"/>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20" w:type="dxa"/>
            <w:vAlign w:val="bottom"/>
            <w:tcBorders>
              <w:right w:val="single" w:sz="8" w:color="CFF0FC"/>
            </w:tcBorders>
            <w:gridSpan w:val="2"/>
            <w:vMerge w:val="continue"/>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gridSpan w:val="2"/>
            <w:vMerge w:val="continue"/>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680" w:type="dxa"/>
            <w:vAlign w:val="bottom"/>
          </w:tcPr>
          <w:p>
            <w:pPr>
              <w:ind w:left="120"/>
              <w:spacing w:after="0"/>
              <w:rPr>
                <w:sz w:val="20"/>
                <w:szCs w:val="20"/>
                <w:color w:val="auto"/>
              </w:rPr>
            </w:pPr>
            <w:r>
              <w:rPr>
                <w:rFonts w:ascii="Arial" w:cs="Arial" w:eastAsia="Arial" w:hAnsi="Arial"/>
                <w:sz w:val="16"/>
                <w:szCs w:val="16"/>
                <w:color w:val="auto"/>
              </w:rPr>
              <w:t>Purchases of common stock</w:t>
            </w: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1260" w:type="dxa"/>
            <w:vAlign w:val="bottom"/>
            <w:gridSpan w:val="2"/>
          </w:tcPr>
          <w:p>
            <w:pPr>
              <w:jc w:val="right"/>
              <w:ind w:right="179"/>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920" w:type="dxa"/>
            <w:vAlign w:val="bottom"/>
            <w:gridSpan w:val="2"/>
          </w:tcPr>
          <w:p>
            <w:pPr>
              <w:jc w:val="right"/>
              <w:ind w:right="99"/>
              <w:spacing w:after="0"/>
              <w:rPr>
                <w:sz w:val="20"/>
                <w:szCs w:val="20"/>
                <w:color w:val="auto"/>
              </w:rPr>
            </w:pPr>
            <w:r>
              <w:rPr>
                <w:rFonts w:ascii="Arial" w:cs="Arial" w:eastAsia="Arial" w:hAnsi="Arial"/>
                <w:sz w:val="16"/>
                <w:szCs w:val="16"/>
                <w:color w:val="auto"/>
              </w:rPr>
              <w:t>(487.9 )</w:t>
            </w:r>
          </w:p>
        </w:tc>
        <w:tc>
          <w:tcPr>
            <w:tcW w:w="120" w:type="dxa"/>
            <w:vAlign w:val="bottom"/>
          </w:tcPr>
          <w:p>
            <w:pPr>
              <w:spacing w:after="0"/>
              <w:rPr>
                <w:sz w:val="19"/>
                <w:szCs w:val="19"/>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6"/>
                <w:szCs w:val="16"/>
                <w:color w:val="auto"/>
              </w:rPr>
              <w:t>(487.9 )</w:t>
            </w:r>
          </w:p>
        </w:tc>
        <w:tc>
          <w:tcPr>
            <w:tcW w:w="0" w:type="dxa"/>
            <w:vAlign w:val="bottom"/>
          </w:tcPr>
          <w:p>
            <w:pPr>
              <w:spacing w:after="0"/>
              <w:rPr>
                <w:sz w:val="1"/>
                <w:szCs w:val="1"/>
                <w:color w:val="auto"/>
              </w:rPr>
            </w:pPr>
          </w:p>
        </w:tc>
      </w:tr>
      <w:tr>
        <w:trPr>
          <w:trHeight w:val="155"/>
        </w:trPr>
        <w:tc>
          <w:tcPr>
            <w:tcW w:w="2680" w:type="dxa"/>
            <w:vAlign w:val="bottom"/>
            <w:shd w:val="clear" w:color="auto" w:fill="CFF0FC"/>
          </w:tcPr>
          <w:p>
            <w:pPr>
              <w:ind w:left="120"/>
              <w:spacing w:after="0" w:line="155" w:lineRule="exact"/>
              <w:rPr>
                <w:sz w:val="20"/>
                <w:szCs w:val="20"/>
                <w:color w:val="auto"/>
              </w:rPr>
            </w:pPr>
            <w:r>
              <w:rPr>
                <w:rFonts w:ascii="Arial" w:cs="Arial" w:eastAsia="Arial" w:hAnsi="Arial"/>
                <w:sz w:val="16"/>
                <w:szCs w:val="16"/>
                <w:color w:val="auto"/>
                <w:w w:val="98"/>
              </w:rPr>
              <w:t>Cash dividends declared - $0.48 per</w:t>
            </w:r>
          </w:p>
        </w:tc>
        <w:tc>
          <w:tcPr>
            <w:tcW w:w="1000" w:type="dxa"/>
            <w:vAlign w:val="bottom"/>
            <w:tcBorders>
              <w:right w:val="single" w:sz="8" w:color="CFF0FC"/>
            </w:tcBorders>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right w:val="single" w:sz="8" w:color="CFF0FC"/>
            </w:tcBorders>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340" w:type="dxa"/>
            <w:vAlign w:val="bottom"/>
            <w:tcBorders>
              <w:right w:val="single" w:sz="8" w:color="CFF0FC"/>
            </w:tcBorders>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right w:val="single" w:sz="8" w:color="CFF0FC"/>
            </w:tcBorders>
            <w:vMerge w:val="restart"/>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4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0.1</w:t>
            </w:r>
          </w:p>
        </w:tc>
        <w:tc>
          <w:tcPr>
            <w:tcW w:w="260" w:type="dxa"/>
            <w:vAlign w:val="bottom"/>
            <w:tcBorders>
              <w:right w:val="single" w:sz="8" w:color="CFF0FC"/>
            </w:tcBorders>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40" w:type="dxa"/>
            <w:vAlign w:val="bottom"/>
            <w:tcBorders>
              <w:right w:val="single" w:sz="8" w:color="CFF0FC"/>
            </w:tcBorders>
            <w:gridSpan w:val="2"/>
            <w:vMerge w:val="restart"/>
            <w:shd w:val="clear" w:color="auto" w:fill="CFF0FC"/>
          </w:tcPr>
          <w:p>
            <w:pPr>
              <w:jc w:val="right"/>
              <w:ind w:right="180"/>
              <w:spacing w:after="0"/>
              <w:rPr>
                <w:sz w:val="20"/>
                <w:szCs w:val="20"/>
                <w:color w:val="auto"/>
              </w:rPr>
            </w:pPr>
            <w:r>
              <w:rPr>
                <w:rFonts w:ascii="Arial" w:cs="Arial" w:eastAsia="Arial" w:hAnsi="Arial"/>
                <w:sz w:val="16"/>
                <w:szCs w:val="16"/>
                <w:color w:val="auto"/>
              </w:rPr>
              <w:t>(122.9 )</w:t>
            </w:r>
          </w:p>
        </w:tc>
        <w:tc>
          <w:tcPr>
            <w:tcW w:w="100" w:type="dxa"/>
            <w:vAlign w:val="bottom"/>
            <w:shd w:val="clear" w:color="auto" w:fill="CFF0FC"/>
          </w:tcPr>
          <w:p>
            <w:pPr>
              <w:spacing w:after="0"/>
              <w:rPr>
                <w:sz w:val="13"/>
                <w:szCs w:val="13"/>
                <w:color w:val="auto"/>
              </w:rPr>
            </w:pPr>
          </w:p>
        </w:tc>
        <w:tc>
          <w:tcPr>
            <w:tcW w:w="1260" w:type="dxa"/>
            <w:vAlign w:val="bottom"/>
            <w:tcBorders>
              <w:right w:val="single" w:sz="8" w:color="CFF0FC"/>
            </w:tcBorders>
            <w:gridSpan w:val="2"/>
            <w:vMerge w:val="restart"/>
            <w:shd w:val="clear" w:color="auto" w:fill="CFF0FC"/>
          </w:tcPr>
          <w:p>
            <w:pPr>
              <w:jc w:val="right"/>
              <w:ind w:right="179"/>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3"/>
                <w:szCs w:val="13"/>
                <w:color w:val="auto"/>
              </w:rPr>
            </w:pPr>
          </w:p>
        </w:tc>
        <w:tc>
          <w:tcPr>
            <w:tcW w:w="920" w:type="dxa"/>
            <w:vAlign w:val="bottom"/>
            <w:tcBorders>
              <w:right w:val="single" w:sz="8" w:color="CFF0FC"/>
            </w:tcBorders>
            <w:gridSpan w:val="2"/>
            <w:vMerge w:val="restart"/>
            <w:shd w:val="clear" w:color="auto" w:fill="CFF0FC"/>
          </w:tcPr>
          <w:p>
            <w:pPr>
              <w:jc w:val="right"/>
              <w:ind w:right="179"/>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3"/>
                <w:szCs w:val="13"/>
                <w:color w:val="auto"/>
              </w:rPr>
            </w:pPr>
          </w:p>
        </w:tc>
        <w:tc>
          <w:tcPr>
            <w:tcW w:w="900" w:type="dxa"/>
            <w:vAlign w:val="bottom"/>
            <w:gridSpan w:val="2"/>
            <w:vMerge w:val="restart"/>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3"/>
                <w:szCs w:val="13"/>
                <w:color w:val="auto"/>
              </w:rPr>
            </w:pPr>
          </w:p>
        </w:tc>
        <w:tc>
          <w:tcPr>
            <w:tcW w:w="880" w:type="dxa"/>
            <w:vAlign w:val="bottom"/>
            <w:gridSpan w:val="2"/>
            <w:vMerge w:val="restart"/>
            <w:shd w:val="clear" w:color="auto" w:fill="CFF0FC"/>
          </w:tcPr>
          <w:p>
            <w:pPr>
              <w:jc w:val="right"/>
              <w:ind w:right="40"/>
              <w:spacing w:after="0"/>
              <w:rPr>
                <w:sz w:val="20"/>
                <w:szCs w:val="20"/>
                <w:color w:val="auto"/>
              </w:rPr>
            </w:pPr>
            <w:r>
              <w:rPr>
                <w:rFonts w:ascii="Arial" w:cs="Arial" w:eastAsia="Arial" w:hAnsi="Arial"/>
                <w:sz w:val="16"/>
                <w:szCs w:val="16"/>
                <w:color w:val="auto"/>
              </w:rPr>
              <w:t>(122.8 )</w:t>
            </w:r>
          </w:p>
        </w:tc>
        <w:tc>
          <w:tcPr>
            <w:tcW w:w="0" w:type="dxa"/>
            <w:vAlign w:val="bottom"/>
          </w:tcPr>
          <w:p>
            <w:pPr>
              <w:spacing w:after="0"/>
              <w:rPr>
                <w:sz w:val="1"/>
                <w:szCs w:val="1"/>
                <w:color w:val="auto"/>
              </w:rPr>
            </w:pPr>
          </w:p>
        </w:tc>
      </w:tr>
      <w:tr>
        <w:trPr>
          <w:trHeight w:val="199"/>
        </w:trPr>
        <w:tc>
          <w:tcPr>
            <w:tcW w:w="2680" w:type="dxa"/>
            <w:vAlign w:val="bottom"/>
            <w:shd w:val="clear" w:color="auto" w:fill="CFF0FC"/>
          </w:tcPr>
          <w:p>
            <w:pPr>
              <w:ind w:left="120"/>
              <w:spacing w:after="0"/>
              <w:rPr>
                <w:sz w:val="20"/>
                <w:szCs w:val="20"/>
                <w:color w:val="auto"/>
              </w:rPr>
            </w:pPr>
            <w:r>
              <w:rPr>
                <w:rFonts w:ascii="Arial" w:cs="Arial" w:eastAsia="Arial" w:hAnsi="Arial"/>
                <w:sz w:val="16"/>
                <w:szCs w:val="16"/>
                <w:color w:val="auto"/>
              </w:rPr>
              <w:t>share</w:t>
            </w:r>
          </w:p>
        </w:tc>
        <w:tc>
          <w:tcPr>
            <w:tcW w:w="1000" w:type="dxa"/>
            <w:vAlign w:val="bottom"/>
            <w:tcBorders>
              <w:right w:val="single" w:sz="8" w:color="CFF0FC"/>
            </w:tcBorders>
            <w:vMerge w:val="continue"/>
            <w:shd w:val="clear" w:color="auto" w:fill="CFF0FC"/>
          </w:tcPr>
          <w:p>
            <w:pPr>
              <w:spacing w:after="0"/>
              <w:rPr>
                <w:sz w:val="17"/>
                <w:szCs w:val="17"/>
                <w:color w:val="auto"/>
              </w:rPr>
            </w:pPr>
          </w:p>
        </w:tc>
        <w:tc>
          <w:tcPr>
            <w:tcW w:w="280" w:type="dxa"/>
            <w:vAlign w:val="bottom"/>
            <w:tcBorders>
              <w:right w:val="single" w:sz="8" w:color="CFF0FC"/>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40" w:type="dxa"/>
            <w:vAlign w:val="bottom"/>
            <w:tcBorders>
              <w:right w:val="single" w:sz="8" w:color="CFF0FC"/>
            </w:tcBorders>
            <w:vMerge w:val="continue"/>
            <w:shd w:val="clear" w:color="auto" w:fill="CFF0FC"/>
          </w:tcPr>
          <w:p>
            <w:pPr>
              <w:spacing w:after="0"/>
              <w:rPr>
                <w:sz w:val="17"/>
                <w:szCs w:val="17"/>
                <w:color w:val="auto"/>
              </w:rPr>
            </w:pPr>
          </w:p>
        </w:tc>
        <w:tc>
          <w:tcPr>
            <w:tcW w:w="240" w:type="dxa"/>
            <w:vAlign w:val="bottom"/>
            <w:tcBorders>
              <w:right w:val="single" w:sz="8" w:color="CFF0FC"/>
            </w:tcBorders>
            <w:vMerge w:val="continue"/>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40" w:type="dxa"/>
            <w:vAlign w:val="bottom"/>
            <w:vMerge w:val="continue"/>
            <w:shd w:val="clear" w:color="auto" w:fill="CFF0FC"/>
          </w:tcPr>
          <w:p>
            <w:pPr>
              <w:spacing w:after="0"/>
              <w:rPr>
                <w:sz w:val="17"/>
                <w:szCs w:val="17"/>
                <w:color w:val="auto"/>
              </w:rPr>
            </w:pPr>
          </w:p>
        </w:tc>
        <w:tc>
          <w:tcPr>
            <w:tcW w:w="260" w:type="dxa"/>
            <w:vAlign w:val="bottom"/>
            <w:tcBorders>
              <w:right w:val="single" w:sz="8" w:color="CFF0FC"/>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40" w:type="dxa"/>
            <w:vAlign w:val="bottom"/>
            <w:tcBorders>
              <w:right w:val="single" w:sz="8" w:color="CFF0FC"/>
            </w:tcBorders>
            <w:gridSpan w:val="2"/>
            <w:vMerge w:val="continue"/>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60" w:type="dxa"/>
            <w:vAlign w:val="bottom"/>
            <w:tcBorders>
              <w:right w:val="single" w:sz="8" w:color="CFF0FC"/>
            </w:tcBorders>
            <w:gridSpan w:val="2"/>
            <w:vMerge w:val="continue"/>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20" w:type="dxa"/>
            <w:vAlign w:val="bottom"/>
            <w:tcBorders>
              <w:right w:val="single" w:sz="8" w:color="CFF0FC"/>
            </w:tcBorders>
            <w:gridSpan w:val="2"/>
            <w:vMerge w:val="continue"/>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00" w:type="dxa"/>
            <w:vAlign w:val="bottom"/>
            <w:gridSpan w:val="2"/>
            <w:vMerge w:val="continue"/>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80" w:type="dxa"/>
            <w:vAlign w:val="bottom"/>
            <w:gridSpan w:val="2"/>
            <w:vMerge w:val="continue"/>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680" w:type="dxa"/>
            <w:vAlign w:val="bottom"/>
            <w:shd w:val="clear" w:color="auto" w:fill="CFF0FC"/>
          </w:tcPr>
          <w:p>
            <w:pPr>
              <w:spacing w:after="0" w:line="20" w:lineRule="exact"/>
              <w:rPr>
                <w:sz w:val="1"/>
                <w:szCs w:val="1"/>
                <w:color w:val="auto"/>
              </w:rPr>
            </w:pPr>
          </w:p>
        </w:tc>
        <w:tc>
          <w:tcPr>
            <w:tcW w:w="1000" w:type="dxa"/>
            <w:vAlign w:val="bottom"/>
            <w:tcBorders>
              <w:right w:val="single" w:sz="8" w:color="auto"/>
            </w:tcBorders>
            <w:shd w:val="clear" w:color="auto" w:fill="000000"/>
          </w:tcPr>
          <w:p>
            <w:pPr>
              <w:spacing w:after="0" w:line="20" w:lineRule="exact"/>
              <w:rPr>
                <w:sz w:val="1"/>
                <w:szCs w:val="1"/>
                <w:color w:val="auto"/>
              </w:rPr>
            </w:pPr>
          </w:p>
        </w:tc>
        <w:tc>
          <w:tcPr>
            <w:tcW w:w="280" w:type="dxa"/>
            <w:vAlign w:val="bottom"/>
            <w:tcBorders>
              <w:right w:val="single" w:sz="8" w:color="CFF0FC"/>
            </w:tcBorders>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4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tcBorders>
              <w:right w:val="single" w:sz="8" w:color="CFF0FC"/>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Borders>
              <w:right w:val="single" w:sz="8" w:color="CFF0FC"/>
            </w:tcBorders>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tcBorders>
              <w:right w:val="single" w:sz="8" w:color="CFF0FC"/>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Borders>
              <w:right w:val="single" w:sz="8" w:color="CFF0FC"/>
            </w:tcBorders>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tcBorders>
              <w:right w:val="single" w:sz="8" w:color="CFF0FC"/>
            </w:tcBorders>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680" w:type="dxa"/>
            <w:vAlign w:val="bottom"/>
          </w:tcPr>
          <w:p>
            <w:pPr>
              <w:ind w:left="20"/>
              <w:spacing w:after="0"/>
              <w:rPr>
                <w:sz w:val="20"/>
                <w:szCs w:val="20"/>
                <w:color w:val="auto"/>
              </w:rPr>
            </w:pPr>
            <w:r>
              <w:rPr>
                <w:rFonts w:ascii="Arial" w:cs="Arial" w:eastAsia="Arial" w:hAnsi="Arial"/>
                <w:sz w:val="16"/>
                <w:szCs w:val="16"/>
                <w:color w:val="auto"/>
              </w:rPr>
              <w:t>Balance, at September 30, 2021</w:t>
            </w:r>
          </w:p>
        </w:tc>
        <w:tc>
          <w:tcPr>
            <w:tcW w:w="1000" w:type="dxa"/>
            <w:vAlign w:val="bottom"/>
          </w:tcPr>
          <w:p>
            <w:pPr>
              <w:jc w:val="right"/>
              <w:spacing w:after="0"/>
              <w:rPr>
                <w:sz w:val="20"/>
                <w:szCs w:val="20"/>
                <w:color w:val="auto"/>
              </w:rPr>
            </w:pPr>
            <w:r>
              <w:rPr>
                <w:rFonts w:ascii="Arial" w:cs="Arial" w:eastAsia="Arial" w:hAnsi="Arial"/>
                <w:sz w:val="16"/>
                <w:szCs w:val="16"/>
                <w:color w:val="auto"/>
              </w:rPr>
              <w:t>267.3</w:t>
            </w:r>
          </w:p>
        </w:tc>
        <w:tc>
          <w:tcPr>
            <w:tcW w:w="280" w:type="dxa"/>
            <w:vAlign w:val="bottom"/>
          </w:tcPr>
          <w:p>
            <w:pPr>
              <w:spacing w:after="0"/>
              <w:rPr>
                <w:sz w:val="17"/>
                <w:szCs w:val="17"/>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340" w:type="dxa"/>
            <w:vAlign w:val="bottom"/>
          </w:tcPr>
          <w:p>
            <w:pPr>
              <w:jc w:val="right"/>
              <w:spacing w:after="0"/>
              <w:rPr>
                <w:sz w:val="20"/>
                <w:szCs w:val="20"/>
                <w:color w:val="auto"/>
              </w:rPr>
            </w:pPr>
            <w:r>
              <w:rPr>
                <w:rFonts w:ascii="Arial" w:cs="Arial" w:eastAsia="Arial" w:hAnsi="Arial"/>
                <w:sz w:val="16"/>
                <w:szCs w:val="16"/>
                <w:color w:val="auto"/>
              </w:rPr>
              <w:t>2.7</w:t>
            </w:r>
          </w:p>
        </w:tc>
        <w:tc>
          <w:tcPr>
            <w:tcW w:w="24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4,791.9</w:t>
            </w:r>
          </w:p>
        </w:tc>
        <w:tc>
          <w:tcPr>
            <w:tcW w:w="26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2,093.2</w:t>
            </w:r>
          </w:p>
        </w:tc>
        <w:tc>
          <w:tcPr>
            <w:tcW w:w="24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gridSpan w:val="2"/>
          </w:tcPr>
          <w:p>
            <w:pPr>
              <w:jc w:val="right"/>
              <w:ind w:right="99"/>
              <w:spacing w:after="0"/>
              <w:rPr>
                <w:sz w:val="20"/>
                <w:szCs w:val="20"/>
                <w:color w:val="auto"/>
              </w:rPr>
            </w:pPr>
            <w:r>
              <w:rPr>
                <w:rFonts w:ascii="Arial" w:cs="Arial" w:eastAsia="Arial" w:hAnsi="Arial"/>
                <w:sz w:val="16"/>
                <w:szCs w:val="16"/>
                <w:color w:val="auto"/>
              </w:rPr>
              <w:t>(245.9 )</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99"/>
              <w:spacing w:after="0"/>
              <w:rPr>
                <w:sz w:val="20"/>
                <w:szCs w:val="20"/>
                <w:color w:val="auto"/>
              </w:rPr>
            </w:pPr>
            <w:r>
              <w:rPr>
                <w:rFonts w:ascii="Arial" w:cs="Arial" w:eastAsia="Arial" w:hAnsi="Arial"/>
                <w:sz w:val="16"/>
                <w:szCs w:val="16"/>
                <w:color w:val="auto"/>
              </w:rPr>
              <w:t>(784.0 )</w:t>
            </w:r>
          </w:p>
        </w:tc>
        <w:tc>
          <w:tcPr>
            <w:tcW w:w="120" w:type="dxa"/>
            <w:vAlign w:val="bottom"/>
          </w:tcPr>
          <w:p>
            <w:pPr>
              <w:ind w:left="20"/>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57.5</w:t>
            </w:r>
          </w:p>
        </w:tc>
        <w:tc>
          <w:tcPr>
            <w:tcW w:w="240" w:type="dxa"/>
            <w:vAlign w:val="bottom"/>
          </w:tcPr>
          <w:p>
            <w:pPr>
              <w:spacing w:after="0"/>
              <w:rPr>
                <w:sz w:val="17"/>
                <w:szCs w:val="17"/>
                <w:color w:val="auto"/>
              </w:rPr>
            </w:pPr>
          </w:p>
        </w:tc>
        <w:tc>
          <w:tcPr>
            <w:tcW w:w="180" w:type="dxa"/>
            <w:vAlign w:val="bottom"/>
          </w:tcPr>
          <w:p>
            <w:pPr>
              <w:jc w:val="right"/>
              <w:ind w:right="2"/>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5,915.4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6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2327910</wp:posOffset>
            </wp:positionH>
            <wp:positionV relativeFrom="paragraph">
              <wp:posOffset>-3436620</wp:posOffset>
            </wp:positionV>
            <wp:extent cx="76835" cy="16319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6835" cy="163195"/>
                    </a:xfrm>
                    <a:prstGeom prst="rect">
                      <a:avLst/>
                    </a:prstGeom>
                    <a:noFill/>
                  </pic:spPr>
                </pic:pic>
              </a:graphicData>
            </a:graphic>
          </wp:anchor>
        </w:drawing>
        <w:drawing>
          <wp:anchor simplePos="0" relativeHeight="251657728" behindDoc="1" locked="0" layoutInCell="0" allowOverlap="1">
            <wp:simplePos x="0" y="0"/>
            <wp:positionH relativeFrom="column">
              <wp:posOffset>2868295</wp:posOffset>
            </wp:positionH>
            <wp:positionV relativeFrom="paragraph">
              <wp:posOffset>-3436620</wp:posOffset>
            </wp:positionV>
            <wp:extent cx="68580" cy="16319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3502660</wp:posOffset>
            </wp:positionH>
            <wp:positionV relativeFrom="paragraph">
              <wp:posOffset>-3436620</wp:posOffset>
            </wp:positionV>
            <wp:extent cx="68580" cy="16319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-3436620</wp:posOffset>
            </wp:positionV>
            <wp:extent cx="68580" cy="16319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-3436620</wp:posOffset>
            </wp:positionV>
            <wp:extent cx="68580" cy="16319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-3436620</wp:posOffset>
            </wp:positionV>
            <wp:extent cx="68580" cy="16319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-3436620</wp:posOffset>
            </wp:positionV>
            <wp:extent cx="68580" cy="16319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-3436620</wp:posOffset>
            </wp:positionV>
            <wp:extent cx="68580" cy="16319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2336800</wp:posOffset>
            </wp:positionH>
            <wp:positionV relativeFrom="paragraph">
              <wp:posOffset>-162560</wp:posOffset>
            </wp:positionV>
            <wp:extent cx="76835" cy="16319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6835" cy="163195"/>
                    </a:xfrm>
                    <a:prstGeom prst="rect">
                      <a:avLst/>
                    </a:prstGeom>
                    <a:noFill/>
                  </pic:spPr>
                </pic:pic>
              </a:graphicData>
            </a:graphic>
          </wp:anchor>
        </w:drawing>
        <w:drawing>
          <wp:anchor simplePos="0" relativeHeight="251657728" behindDoc="1" locked="0" layoutInCell="0" allowOverlap="1">
            <wp:simplePos x="0" y="0"/>
            <wp:positionH relativeFrom="column">
              <wp:posOffset>2876550</wp:posOffset>
            </wp:positionH>
            <wp:positionV relativeFrom="paragraph">
              <wp:posOffset>-162560</wp:posOffset>
            </wp:positionV>
            <wp:extent cx="68580" cy="16319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-162560</wp:posOffset>
            </wp:positionV>
            <wp:extent cx="68580" cy="16319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-162560</wp:posOffset>
            </wp:positionV>
            <wp:extent cx="68580" cy="16319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-162560</wp:posOffset>
            </wp:positionV>
            <wp:extent cx="68580" cy="16319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-162560</wp:posOffset>
            </wp:positionV>
            <wp:extent cx="68580" cy="16319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-162560</wp:posOffset>
            </wp:positionV>
            <wp:extent cx="68580" cy="16319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16319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16319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7" w:name="page8"/>
    <w:bookmarkEnd w:id="7"/>
    <w:p>
      <w:pPr>
        <w:ind w:right="5300"/>
        <w:spacing w:after="0" w:line="258" w:lineRule="auto"/>
        <w:rPr>
          <w:sz w:val="20"/>
          <w:szCs w:val="20"/>
          <w:color w:val="auto"/>
        </w:rPr>
      </w:pPr>
      <w:r>
        <w:rPr>
          <w:rFonts w:ascii="Arial" w:cs="Arial" w:eastAsia="Arial" w:hAnsi="Arial"/>
          <w:sz w:val="18"/>
          <w:szCs w:val="18"/>
          <w:b w:val="1"/>
          <w:bCs w:val="1"/>
          <w:color w:val="auto"/>
        </w:rPr>
        <w:t>SS&amp;C TECHNOLOGIES HOLDINGS, INC. AND SUBSIDIARIES NOTES TO CONDENSED CONSOLIDATED FINANCIAL STATEMENTS (Unaudited)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1—Basis of Presentation and Principles of Consolidation</w:t>
      </w:r>
    </w:p>
    <w:p>
      <w:pPr>
        <w:spacing w:after="0" w:line="108" w:lineRule="exact"/>
        <w:rPr>
          <w:sz w:val="20"/>
          <w:szCs w:val="20"/>
          <w:color w:val="auto"/>
        </w:rPr>
      </w:pPr>
    </w:p>
    <w:p>
      <w:pPr>
        <w:ind w:right="40" w:firstLine="509"/>
        <w:spacing w:after="0" w:line="274" w:lineRule="auto"/>
        <w:rPr>
          <w:sz w:val="20"/>
          <w:szCs w:val="20"/>
          <w:color w:val="auto"/>
        </w:rPr>
      </w:pPr>
      <w:r>
        <w:rPr>
          <w:rFonts w:ascii="Arial" w:cs="Arial" w:eastAsia="Arial" w:hAnsi="Arial"/>
          <w:sz w:val="16"/>
          <w:szCs w:val="16"/>
          <w:color w:val="auto"/>
        </w:rPr>
        <w:t>The accompanying financial statements have been prepared in accordance with accounting principles generally accepted in the United States of America (“GAAP”). These accounting principles were applied on a basis consistent with those of the audited Consolidated Financial Statements contained in our Annual Report on Form 10-K for the year ended December 31, 2021, filed with the Securities and Exchange Commission (the “SEC”) on February 25, 2022 (the “2021 Form 10-K”). In the opinion of management, the accompanying unaudited Condensed Consolidated Financial Statements contain all adjustments (consisting of only normal recurring adjustments, except as noted elsewhere in the notes to the Condensed Consolidated Financial Statements) necessary for a fair statement of our financial position as of September 30, 2022, the results of our operations for the three and nine months ended September 30, 2022 and 2021, and our cash flows for the nine months ended September 30, 2022 and 2021. These statements do not include all of the information and footnotes required by GAAP for annual financial statements. The Condensed Consolidated Financial Statements contained herein should be read in conjunction with the audited Consolidated Financial Statements and footnotes as of and for the year ended December 31, 2021, which were included in the 2021 Form 10-K. The December 31, 2021 Consolidated Balance Sheet data were derived from audited financial statements but do not include all disclosures required by GAAP for annual financial statements. The results of operations for the three and nine months ended September 30, 2022 are not necessarily indicative of the expected results for any subsequent quarters or the full year.</w:t>
      </w:r>
    </w:p>
    <w:p>
      <w:pPr>
        <w:spacing w:after="0" w:line="139" w:lineRule="exact"/>
        <w:rPr>
          <w:sz w:val="20"/>
          <w:szCs w:val="20"/>
          <w:color w:val="auto"/>
        </w:rPr>
      </w:pPr>
    </w:p>
    <w:p>
      <w:pPr>
        <w:ind w:right="140" w:firstLine="509"/>
        <w:spacing w:after="0" w:line="256" w:lineRule="auto"/>
        <w:rPr>
          <w:sz w:val="20"/>
          <w:szCs w:val="20"/>
          <w:color w:val="auto"/>
        </w:rPr>
      </w:pPr>
      <w:r>
        <w:rPr>
          <w:rFonts w:ascii="Arial" w:cs="Arial" w:eastAsia="Arial" w:hAnsi="Arial"/>
          <w:sz w:val="18"/>
          <w:szCs w:val="18"/>
          <w:color w:val="auto"/>
        </w:rPr>
        <w:t>The accompanying unaudited condensed consolidated financial statements include the accounts of SS&amp;C Technologies Holdings, Inc. and its subsidiaries, including a variable interest entity (“VIE”) for which we are the primary beneficiary. All intercompany balances and transactions have been eliminated in consolidation.</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Adopted Accounting Pronouncement</w:t>
      </w:r>
    </w:p>
    <w:p>
      <w:pPr>
        <w:spacing w:after="0" w:line="212" w:lineRule="exact"/>
        <w:rPr>
          <w:sz w:val="20"/>
          <w:szCs w:val="20"/>
          <w:color w:val="auto"/>
        </w:rPr>
      </w:pPr>
    </w:p>
    <w:p>
      <w:pPr>
        <w:ind w:left="520"/>
        <w:spacing w:after="0"/>
        <w:rPr>
          <w:sz w:val="20"/>
          <w:szCs w:val="20"/>
          <w:color w:val="auto"/>
        </w:rPr>
      </w:pPr>
      <w:r>
        <w:rPr>
          <w:rFonts w:ascii="Arial" w:cs="Arial" w:eastAsia="Arial" w:hAnsi="Arial"/>
          <w:sz w:val="17"/>
          <w:szCs w:val="17"/>
          <w:color w:val="auto"/>
        </w:rPr>
        <w:t xml:space="preserve">In October 2021, the FASB issued ASU 2021-08, </w:t>
      </w:r>
      <w:r>
        <w:rPr>
          <w:rFonts w:ascii="Arial" w:cs="Arial" w:eastAsia="Arial" w:hAnsi="Arial"/>
          <w:sz w:val="17"/>
          <w:szCs w:val="17"/>
          <w:i w:val="1"/>
          <w:iCs w:val="1"/>
          <w:color w:val="auto"/>
        </w:rPr>
        <w:t>Business Combinations (Topic 805): Accounting for Contract Assets and Contract Liabilities</w:t>
      </w:r>
    </w:p>
    <w:p>
      <w:pPr>
        <w:spacing w:after="0" w:line="35" w:lineRule="exact"/>
        <w:rPr>
          <w:sz w:val="20"/>
          <w:szCs w:val="20"/>
          <w:color w:val="auto"/>
        </w:rPr>
      </w:pPr>
    </w:p>
    <w:p>
      <w:pPr>
        <w:spacing w:after="0" w:line="274" w:lineRule="auto"/>
        <w:rPr>
          <w:sz w:val="20"/>
          <w:szCs w:val="20"/>
          <w:color w:val="auto"/>
        </w:rPr>
      </w:pPr>
      <w:r>
        <w:rPr>
          <w:rFonts w:ascii="Arial" w:cs="Arial" w:eastAsia="Arial" w:hAnsi="Arial"/>
          <w:sz w:val="16"/>
          <w:szCs w:val="16"/>
          <w:i w:val="1"/>
          <w:iCs w:val="1"/>
          <w:color w:val="auto"/>
        </w:rPr>
        <w:t>From Contracts with Customers</w:t>
      </w:r>
      <w:r>
        <w:rPr>
          <w:rFonts w:ascii="Arial" w:cs="Arial" w:eastAsia="Arial" w:hAnsi="Arial"/>
          <w:sz w:val="16"/>
          <w:szCs w:val="16"/>
          <w:color w:val="auto"/>
        </w:rPr>
        <w:t>. ASU 2021-08 requires companies to apply ASC 606 to recognize and measure contract assets and contract liabilities from</w:t>
      </w:r>
      <w:r>
        <w:rPr>
          <w:rFonts w:ascii="Arial" w:cs="Arial" w:eastAsia="Arial" w:hAnsi="Arial"/>
          <w:sz w:val="16"/>
          <w:szCs w:val="16"/>
          <w:i w:val="1"/>
          <w:iCs w:val="1"/>
          <w:color w:val="auto"/>
        </w:rPr>
        <w:t xml:space="preserve"> </w:t>
      </w:r>
      <w:r>
        <w:rPr>
          <w:rFonts w:ascii="Arial" w:cs="Arial" w:eastAsia="Arial" w:hAnsi="Arial"/>
          <w:sz w:val="16"/>
          <w:szCs w:val="16"/>
          <w:color w:val="auto"/>
        </w:rPr>
        <w:t>contracts with customers acquired in a business combination on the acquisition date. Generally, this new guidance will result in an acquirer recognizing contract assets and contract liabilities at the same amounts recorded by the acquiree. Under current GAAP, we have historically recognized contract assets and contract liabilities acquired in a business combination at fair value. ASU 2021-08 is effective for fiscal years beginning after December 15, 2022, and interim periods within those fiscal years. Early adoption is permitted, including adoption in an interim period. ASU 2021-08 should be applied prospectively to business combinations that occur after the effective date. We adopted ASU 2021-08 as of January 1, 2022 on a prospective basis. The adoption of this standard did not have a material impact on our financial position, results of operations or cash flows.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 Not Yet Effective</w:t>
      </w:r>
    </w:p>
    <w:p>
      <w:pPr>
        <w:spacing w:after="0" w:line="198" w:lineRule="exact"/>
        <w:rPr>
          <w:sz w:val="20"/>
          <w:szCs w:val="20"/>
          <w:color w:val="auto"/>
        </w:rPr>
      </w:pPr>
    </w:p>
    <w:p>
      <w:pPr>
        <w:ind w:left="520"/>
        <w:spacing w:after="0"/>
        <w:rPr>
          <w:sz w:val="20"/>
          <w:szCs w:val="20"/>
          <w:color w:val="auto"/>
        </w:rPr>
      </w:pPr>
      <w:r>
        <w:rPr>
          <w:rFonts w:ascii="Arial" w:cs="Arial" w:eastAsia="Arial" w:hAnsi="Arial"/>
          <w:sz w:val="17"/>
          <w:szCs w:val="17"/>
          <w:color w:val="auto"/>
        </w:rPr>
        <w:t xml:space="preserve">In March 2020, the FASB issued ASU 2020-04, </w:t>
      </w:r>
      <w:r>
        <w:rPr>
          <w:rFonts w:ascii="Arial" w:cs="Arial" w:eastAsia="Arial" w:hAnsi="Arial"/>
          <w:sz w:val="17"/>
          <w:szCs w:val="17"/>
          <w:i w:val="1"/>
          <w:iCs w:val="1"/>
          <w:color w:val="auto"/>
        </w:rPr>
        <w:t>Reference Rate Reform (Topic 848): Facilitation of the Effects of Reference Rate Reform on</w:t>
      </w:r>
    </w:p>
    <w:p>
      <w:pPr>
        <w:spacing w:after="0" w:line="35" w:lineRule="exact"/>
        <w:rPr>
          <w:sz w:val="20"/>
          <w:szCs w:val="20"/>
          <w:color w:val="auto"/>
        </w:rPr>
      </w:pPr>
    </w:p>
    <w:p>
      <w:pPr>
        <w:spacing w:after="0" w:line="275" w:lineRule="auto"/>
        <w:rPr>
          <w:sz w:val="20"/>
          <w:szCs w:val="20"/>
          <w:color w:val="auto"/>
        </w:rPr>
      </w:pPr>
      <w:r>
        <w:rPr>
          <w:rFonts w:ascii="Arial" w:cs="Arial" w:eastAsia="Arial" w:hAnsi="Arial"/>
          <w:sz w:val="16"/>
          <w:szCs w:val="16"/>
          <w:i w:val="1"/>
          <w:iCs w:val="1"/>
          <w:color w:val="auto"/>
        </w:rPr>
        <w:t>Financial Reporting</w:t>
      </w:r>
      <w:r>
        <w:rPr>
          <w:rFonts w:ascii="Arial" w:cs="Arial" w:eastAsia="Arial" w:hAnsi="Arial"/>
          <w:sz w:val="16"/>
          <w:szCs w:val="16"/>
          <w:color w:val="auto"/>
        </w:rPr>
        <w:t>. ASU 2020-04 provides optional expedients and exceptions for applying GAAP if certain criteria are met to contracts, hedging</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relationships and other transactions that reference LIBOR or another reference rate expected to be discontinued. In January 2021, the FASB issued Update 2021-01, </w:t>
      </w:r>
      <w:r>
        <w:rPr>
          <w:rFonts w:ascii="Arial" w:cs="Arial" w:eastAsia="Arial" w:hAnsi="Arial"/>
          <w:sz w:val="16"/>
          <w:szCs w:val="16"/>
          <w:i w:val="1"/>
          <w:iCs w:val="1"/>
          <w:color w:val="auto"/>
        </w:rPr>
        <w:t>Reference Rate Reform (Topic 848): Scope</w:t>
      </w:r>
      <w:r>
        <w:rPr>
          <w:rFonts w:ascii="Arial" w:cs="Arial" w:eastAsia="Arial" w:hAnsi="Arial"/>
          <w:sz w:val="16"/>
          <w:szCs w:val="16"/>
          <w:color w:val="auto"/>
        </w:rPr>
        <w:t>. The update provides additional optional guidance on the transition from LIBOR to include derivative instruments that use an interest rate for margining, discounting or contract price alignment. The standard will ease, if warranted, the requirements for accounting for the future effects of the rate reform. An entity may elect to apply the amendments prospectively to contract modifications made on or before December 31, 2022. A substantial portion of our indebtedness bears interest at variable interest rates, primarily based on USD-LIBOR. We continue to monitor the impact the discontinuance of LIBOR or another reference rate will have on our contracts, hedging relationships and other transactions. We are currently assessing the impact of this standard but do not expect it to have a material impact on our financial condition and results of operations.</w:t>
      </w:r>
    </w:p>
    <w:p>
      <w:pPr>
        <w:spacing w:after="0" w:line="1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24" w:right="37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Note 2—Property, Plant and Equipment, net</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Property, plant and equipment and the related accumulated depreciation are as follows (in millions):</w:t>
      </w:r>
    </w:p>
    <w:p>
      <w:pPr>
        <w:spacing w:after="0" w:line="109" w:lineRule="exact"/>
        <w:rPr>
          <w:sz w:val="20"/>
          <w:szCs w:val="20"/>
          <w:color w:val="auto"/>
        </w:rPr>
      </w:pPr>
    </w:p>
    <w:tbl>
      <w:tblPr>
        <w:tblLayout w:type="fixed"/>
        <w:tblInd w:w="580" w:type="dxa"/>
        <w:tblCellMar>
          <w:top w:w="0" w:type="dxa"/>
          <w:left w:w="0" w:type="dxa"/>
          <w:bottom w:w="0" w:type="dxa"/>
          <w:right w:w="0" w:type="dxa"/>
        </w:tblCellMar>
      </w:tblPr>
      <w:tr>
        <w:trPr>
          <w:trHeight w:val="176"/>
        </w:trPr>
        <w:tc>
          <w:tcPr>
            <w:tcW w:w="6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98"/>
              </w:rPr>
              <w:t>September 30,</w:t>
            </w:r>
          </w:p>
        </w:tc>
        <w:tc>
          <w:tcPr>
            <w:tcW w:w="160" w:type="dxa"/>
            <w:vAlign w:val="bottom"/>
          </w:tcPr>
          <w:p>
            <w:pPr>
              <w:spacing w:after="0"/>
              <w:rPr>
                <w:sz w:val="15"/>
                <w:szCs w:val="15"/>
                <w:color w:val="auto"/>
              </w:rPr>
            </w:pPr>
          </w:p>
        </w:tc>
        <w:tc>
          <w:tcPr>
            <w:tcW w:w="14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96"/>
              </w:rPr>
              <w:t>December 31,</w:t>
            </w:r>
          </w:p>
        </w:tc>
      </w:tr>
      <w:tr>
        <w:trPr>
          <w:trHeight w:val="185"/>
        </w:trPr>
        <w:tc>
          <w:tcPr>
            <w:tcW w:w="68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2022</w:t>
            </w:r>
          </w:p>
        </w:tc>
        <w:tc>
          <w:tcPr>
            <w:tcW w:w="3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2021</w:t>
            </w:r>
          </w:p>
        </w:tc>
        <w:tc>
          <w:tcPr>
            <w:tcW w:w="300" w:type="dxa"/>
            <w:vAlign w:val="bottom"/>
          </w:tcPr>
          <w:p>
            <w:pPr>
              <w:spacing w:after="0"/>
              <w:rPr>
                <w:sz w:val="16"/>
                <w:szCs w:val="16"/>
                <w:color w:val="auto"/>
              </w:rPr>
            </w:pPr>
          </w:p>
        </w:tc>
      </w:tr>
      <w:tr>
        <w:trPr>
          <w:trHeight w:val="210"/>
        </w:trPr>
        <w:tc>
          <w:tcPr>
            <w:tcW w:w="6820" w:type="dxa"/>
            <w:vAlign w:val="bottom"/>
            <w:shd w:val="clear" w:color="auto" w:fill="CFF0FC"/>
          </w:tcPr>
          <w:p>
            <w:pPr>
              <w:spacing w:after="0"/>
              <w:rPr>
                <w:sz w:val="20"/>
                <w:szCs w:val="20"/>
                <w:color w:val="auto"/>
              </w:rPr>
            </w:pPr>
            <w:r>
              <w:rPr>
                <w:rFonts w:ascii="Arial" w:cs="Arial" w:eastAsia="Arial" w:hAnsi="Arial"/>
                <w:sz w:val="18"/>
                <w:szCs w:val="18"/>
                <w:color w:val="auto"/>
              </w:rPr>
              <w:t>Land</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38.1</w:t>
            </w:r>
          </w:p>
        </w:tc>
        <w:tc>
          <w:tcPr>
            <w:tcW w:w="32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49.8</w:t>
            </w:r>
          </w:p>
        </w:tc>
        <w:tc>
          <w:tcPr>
            <w:tcW w:w="300" w:type="dxa"/>
            <w:vAlign w:val="bottom"/>
            <w:shd w:val="clear" w:color="auto" w:fill="CFF0FC"/>
          </w:tcPr>
          <w:p>
            <w:pPr>
              <w:spacing w:after="0"/>
              <w:rPr>
                <w:sz w:val="18"/>
                <w:szCs w:val="18"/>
                <w:color w:val="auto"/>
              </w:rPr>
            </w:pP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Building and improvements</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278.8</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307.5</w:t>
            </w:r>
          </w:p>
        </w:tc>
        <w:tc>
          <w:tcPr>
            <w:tcW w:w="300" w:type="dxa"/>
            <w:vAlign w:val="bottom"/>
          </w:tcPr>
          <w:p>
            <w:pPr>
              <w:spacing w:after="0"/>
              <w:rPr>
                <w:sz w:val="18"/>
                <w:szCs w:val="18"/>
                <w:color w:val="auto"/>
              </w:rPr>
            </w:pPr>
          </w:p>
        </w:tc>
      </w:tr>
      <w:tr>
        <w:trPr>
          <w:trHeight w:val="216"/>
        </w:trPr>
        <w:tc>
          <w:tcPr>
            <w:tcW w:w="68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Equipment, furniture, and fixtures</w:t>
            </w:r>
          </w:p>
        </w:tc>
        <w:tc>
          <w:tcPr>
            <w:tcW w:w="18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513.8</w:t>
            </w:r>
          </w:p>
        </w:tc>
        <w:tc>
          <w:tcPr>
            <w:tcW w:w="3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475.4</w:t>
            </w:r>
          </w:p>
        </w:tc>
        <w:tc>
          <w:tcPr>
            <w:tcW w:w="300" w:type="dxa"/>
            <w:vAlign w:val="bottom"/>
            <w:tcBorders>
              <w:bottom w:val="single" w:sz="8" w:color="CFF0FC"/>
            </w:tcBorders>
            <w:shd w:val="clear" w:color="auto" w:fill="CFF0FC"/>
          </w:tcPr>
          <w:p>
            <w:pPr>
              <w:spacing w:after="0"/>
              <w:rPr>
                <w:sz w:val="18"/>
                <w:szCs w:val="18"/>
                <w:color w:val="auto"/>
              </w:rPr>
            </w:pPr>
          </w:p>
        </w:tc>
      </w:tr>
      <w:tr>
        <w:trPr>
          <w:trHeight w:val="209"/>
        </w:trPr>
        <w:tc>
          <w:tcPr>
            <w:tcW w:w="6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830.7</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832.7</w:t>
            </w:r>
          </w:p>
        </w:tc>
        <w:tc>
          <w:tcPr>
            <w:tcW w:w="300" w:type="dxa"/>
            <w:vAlign w:val="bottom"/>
          </w:tcPr>
          <w:p>
            <w:pPr>
              <w:spacing w:after="0"/>
              <w:rPr>
                <w:sz w:val="18"/>
                <w:szCs w:val="18"/>
                <w:color w:val="auto"/>
              </w:rPr>
            </w:pPr>
          </w:p>
        </w:tc>
      </w:tr>
      <w:tr>
        <w:trPr>
          <w:trHeight w:val="216"/>
        </w:trPr>
        <w:tc>
          <w:tcPr>
            <w:tcW w:w="6820" w:type="dxa"/>
            <w:vAlign w:val="bottom"/>
            <w:shd w:val="clear" w:color="auto" w:fill="CFF0FC"/>
          </w:tcPr>
          <w:p>
            <w:pPr>
              <w:spacing w:after="0"/>
              <w:rPr>
                <w:sz w:val="20"/>
                <w:szCs w:val="20"/>
                <w:color w:val="auto"/>
              </w:rPr>
            </w:pPr>
            <w:r>
              <w:rPr>
                <w:rFonts w:ascii="Arial" w:cs="Arial" w:eastAsia="Arial" w:hAnsi="Arial"/>
                <w:sz w:val="18"/>
                <w:szCs w:val="18"/>
                <w:color w:val="auto"/>
              </w:rPr>
              <w:t>Less: accumulated depreciation</w:t>
            </w:r>
          </w:p>
        </w:tc>
        <w:tc>
          <w:tcPr>
            <w:tcW w:w="18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(484.6 )</w:t>
            </w:r>
          </w:p>
        </w:tc>
        <w:tc>
          <w:tcPr>
            <w:tcW w:w="16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(450.7 )</w:t>
            </w:r>
          </w:p>
        </w:tc>
      </w:tr>
      <w:tr>
        <w:trPr>
          <w:trHeight w:val="209"/>
        </w:trPr>
        <w:tc>
          <w:tcPr>
            <w:tcW w:w="6820" w:type="dxa"/>
            <w:vAlign w:val="bottom"/>
            <w:tcBorders>
              <w:top w:val="single" w:sz="8" w:color="CFF0FC"/>
            </w:tcBorders>
          </w:tcPr>
          <w:p>
            <w:pPr>
              <w:spacing w:after="0"/>
              <w:rPr>
                <w:sz w:val="20"/>
                <w:szCs w:val="20"/>
                <w:color w:val="auto"/>
              </w:rPr>
            </w:pPr>
            <w:r>
              <w:rPr>
                <w:rFonts w:ascii="Arial" w:cs="Arial" w:eastAsia="Arial" w:hAnsi="Arial"/>
                <w:sz w:val="18"/>
                <w:szCs w:val="18"/>
                <w:color w:val="auto"/>
              </w:rPr>
              <w:t>Total property, plant and equipment, net</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346.1</w:t>
            </w:r>
          </w:p>
        </w:tc>
        <w:tc>
          <w:tcPr>
            <w:tcW w:w="320" w:type="dxa"/>
            <w:vAlign w:val="bottom"/>
            <w:tcBorders>
              <w:top w:val="single" w:sz="8" w:color="CFF0FC"/>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382.0</w:t>
            </w:r>
          </w:p>
        </w:tc>
        <w:tc>
          <w:tcPr>
            <w:tcW w:w="300" w:type="dxa"/>
            <w:vAlign w:val="bottom"/>
            <w:tcBorders>
              <w:top w:val="single" w:sz="8" w:color="CFF0FC"/>
            </w:tcBorders>
          </w:tcPr>
          <w:p>
            <w:pPr>
              <w:spacing w:after="0"/>
              <w:rPr>
                <w:sz w:val="18"/>
                <w:szCs w:val="18"/>
                <w:color w:val="auto"/>
              </w:rPr>
            </w:pPr>
          </w:p>
        </w:tc>
      </w:tr>
      <w:tr>
        <w:trPr>
          <w:trHeight w:val="20"/>
        </w:trPr>
        <w:tc>
          <w:tcPr>
            <w:tcW w:w="68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5577205</wp:posOffset>
            </wp:positionH>
            <wp:positionV relativeFrom="paragraph">
              <wp:posOffset>-454025</wp:posOffset>
            </wp:positionV>
            <wp:extent cx="68580" cy="14541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6588760</wp:posOffset>
            </wp:positionH>
            <wp:positionV relativeFrom="paragraph">
              <wp:posOffset>-454025</wp:posOffset>
            </wp:positionV>
            <wp:extent cx="60325" cy="14541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0325" cy="14541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-170815</wp:posOffset>
            </wp:positionV>
            <wp:extent cx="68580" cy="1714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6588760</wp:posOffset>
            </wp:positionH>
            <wp:positionV relativeFrom="paragraph">
              <wp:posOffset>-170815</wp:posOffset>
            </wp:positionV>
            <wp:extent cx="60325" cy="1714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0325" cy="171450"/>
                    </a:xfrm>
                    <a:prstGeom prst="rect">
                      <a:avLst/>
                    </a:prstGeom>
                    <a:noFill/>
                  </pic:spPr>
                </pic:pic>
              </a:graphicData>
            </a:graphic>
          </wp:anchor>
        </w:drawing>
      </w:r>
    </w:p>
    <w:p>
      <w:pPr>
        <w:spacing w:after="0" w:line="168" w:lineRule="exact"/>
        <w:rPr>
          <w:sz w:val="20"/>
          <w:szCs w:val="20"/>
          <w:color w:val="auto"/>
        </w:rPr>
      </w:pPr>
    </w:p>
    <w:p>
      <w:pPr>
        <w:ind w:firstLine="509"/>
        <w:spacing w:after="0" w:line="267" w:lineRule="auto"/>
        <w:rPr>
          <w:sz w:val="20"/>
          <w:szCs w:val="20"/>
          <w:color w:val="auto"/>
        </w:rPr>
      </w:pPr>
      <w:r>
        <w:rPr>
          <w:rFonts w:ascii="Arial" w:cs="Arial" w:eastAsia="Arial" w:hAnsi="Arial"/>
          <w:sz w:val="17"/>
          <w:szCs w:val="17"/>
          <w:color w:val="auto"/>
        </w:rPr>
        <w:t>Depreciation expense for the three and nine months ended September 30, 2022 was $18.7 million and $56.9 million, respectively. Depreciation expense for the three and nine months ended September 30, 2021 was $18.1 million and $62.6 million, respectively. As of September 30, 2022, property, plant and equipment assets, net of $8.7 million have been reclassified as held for sale and are presented in prepaid expenses and other current assets in our condensed consolidated balance sheet. Unpaid property, plant and equipment additions of $3.7 million are included in accounts payable and other accrued expenses as of September 30, 2022 in our condensed consolidated balance sheet.</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3—Investments</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Investments are as follows (in millions):</w:t>
      </w:r>
    </w:p>
    <w:p>
      <w:pPr>
        <w:spacing w:after="0" w:line="122" w:lineRule="exact"/>
        <w:rPr>
          <w:sz w:val="20"/>
          <w:szCs w:val="20"/>
          <w:color w:val="auto"/>
        </w:rPr>
      </w:pPr>
    </w:p>
    <w:tbl>
      <w:tblPr>
        <w:tblLayout w:type="fixed"/>
        <w:tblInd w:w="580" w:type="dxa"/>
        <w:tblCellMar>
          <w:top w:w="0" w:type="dxa"/>
          <w:left w:w="0" w:type="dxa"/>
          <w:bottom w:w="0" w:type="dxa"/>
          <w:right w:w="0" w:type="dxa"/>
        </w:tblCellMar>
      </w:tblPr>
      <w:tr>
        <w:trPr>
          <w:trHeight w:val="176"/>
        </w:trPr>
        <w:tc>
          <w:tcPr>
            <w:tcW w:w="6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jc w:val="right"/>
              <w:ind w:right="135"/>
              <w:spacing w:after="0"/>
              <w:rPr>
                <w:sz w:val="20"/>
                <w:szCs w:val="20"/>
                <w:color w:val="auto"/>
              </w:rPr>
            </w:pPr>
            <w:r>
              <w:rPr>
                <w:rFonts w:ascii="Arial" w:cs="Arial" w:eastAsia="Arial" w:hAnsi="Arial"/>
                <w:sz w:val="14"/>
                <w:szCs w:val="14"/>
                <w:b w:val="1"/>
                <w:bCs w:val="1"/>
                <w:color w:val="auto"/>
                <w:w w:val="96"/>
              </w:rPr>
              <w:t>September 30,</w:t>
            </w: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tcPr>
          <w:p>
            <w:pPr>
              <w:jc w:val="right"/>
              <w:ind w:right="295"/>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5"/>
                <w:szCs w:val="15"/>
                <w:color w:val="auto"/>
              </w:rPr>
            </w:pPr>
          </w:p>
        </w:tc>
      </w:tr>
      <w:tr>
        <w:trPr>
          <w:trHeight w:val="185"/>
        </w:trPr>
        <w:tc>
          <w:tcPr>
            <w:tcW w:w="67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2022</w:t>
            </w:r>
          </w:p>
        </w:tc>
        <w:tc>
          <w:tcPr>
            <w:tcW w:w="3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r>
      <w:tr>
        <w:trPr>
          <w:trHeight w:val="210"/>
        </w:trPr>
        <w:tc>
          <w:tcPr>
            <w:tcW w:w="6740" w:type="dxa"/>
            <w:vAlign w:val="bottom"/>
            <w:shd w:val="clear" w:color="auto" w:fill="CFF0FC"/>
          </w:tcPr>
          <w:p>
            <w:pPr>
              <w:spacing w:after="0"/>
              <w:rPr>
                <w:sz w:val="20"/>
                <w:szCs w:val="20"/>
                <w:color w:val="auto"/>
              </w:rPr>
            </w:pPr>
            <w:r>
              <w:rPr>
                <w:rFonts w:ascii="Arial" w:cs="Arial" w:eastAsia="Arial" w:hAnsi="Arial"/>
                <w:sz w:val="18"/>
                <w:szCs w:val="18"/>
                <w:color w:val="auto"/>
              </w:rPr>
              <w:t>Non-marketable equity securities</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84.5</w:t>
            </w:r>
          </w:p>
        </w:tc>
        <w:tc>
          <w:tcPr>
            <w:tcW w:w="34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84.5</w:t>
            </w:r>
          </w:p>
        </w:tc>
        <w:tc>
          <w:tcPr>
            <w:tcW w:w="100" w:type="dxa"/>
            <w:vAlign w:val="bottom"/>
            <w:shd w:val="clear" w:color="auto" w:fill="CFF0FC"/>
          </w:tcPr>
          <w:p>
            <w:pPr>
              <w:spacing w:after="0"/>
              <w:rPr>
                <w:sz w:val="18"/>
                <w:szCs w:val="18"/>
                <w:color w:val="auto"/>
              </w:rPr>
            </w:pP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Seed capital investments</w:t>
            </w: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30.1</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32.0</w:t>
            </w:r>
          </w:p>
        </w:tc>
        <w:tc>
          <w:tcPr>
            <w:tcW w:w="100" w:type="dxa"/>
            <w:vAlign w:val="bottom"/>
          </w:tcPr>
          <w:p>
            <w:pPr>
              <w:spacing w:after="0"/>
              <w:rPr>
                <w:sz w:val="18"/>
                <w:szCs w:val="18"/>
                <w:color w:val="auto"/>
              </w:rPr>
            </w:pPr>
          </w:p>
        </w:tc>
      </w:tr>
      <w:tr>
        <w:trPr>
          <w:trHeight w:val="216"/>
        </w:trPr>
        <w:tc>
          <w:tcPr>
            <w:tcW w:w="6740" w:type="dxa"/>
            <w:vAlign w:val="bottom"/>
            <w:shd w:val="clear" w:color="auto" w:fill="CFF0FC"/>
          </w:tcPr>
          <w:p>
            <w:pPr>
              <w:spacing w:after="0"/>
              <w:rPr>
                <w:sz w:val="20"/>
                <w:szCs w:val="20"/>
                <w:color w:val="auto"/>
              </w:rPr>
            </w:pPr>
            <w:r>
              <w:rPr>
                <w:rFonts w:ascii="Arial" w:cs="Arial" w:eastAsia="Arial" w:hAnsi="Arial"/>
                <w:sz w:val="18"/>
                <w:szCs w:val="18"/>
                <w:color w:val="auto"/>
              </w:rPr>
              <w:t>Marketable equity securities</w:t>
            </w:r>
          </w:p>
        </w:tc>
        <w:tc>
          <w:tcPr>
            <w:tcW w:w="18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24.2</w:t>
            </w:r>
          </w:p>
        </w:tc>
        <w:tc>
          <w:tcPr>
            <w:tcW w:w="3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40.8</w:t>
            </w:r>
          </w:p>
        </w:tc>
        <w:tc>
          <w:tcPr>
            <w:tcW w:w="100" w:type="dxa"/>
            <w:vAlign w:val="bottom"/>
            <w:shd w:val="clear" w:color="auto" w:fill="CFF0FC"/>
          </w:tcPr>
          <w:p>
            <w:pPr>
              <w:spacing w:after="0"/>
              <w:rPr>
                <w:sz w:val="18"/>
                <w:szCs w:val="18"/>
                <w:color w:val="auto"/>
              </w:rPr>
            </w:pP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Partnership interests in private equity funds</w:t>
            </w: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w:t>
            </w:r>
          </w:p>
        </w:tc>
        <w:tc>
          <w:tcPr>
            <w:tcW w:w="3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w:t>
            </w:r>
          </w:p>
        </w:tc>
        <w:tc>
          <w:tcPr>
            <w:tcW w:w="100" w:type="dxa"/>
            <w:vAlign w:val="bottom"/>
          </w:tcPr>
          <w:p>
            <w:pPr>
              <w:spacing w:after="0"/>
              <w:rPr>
                <w:sz w:val="18"/>
                <w:szCs w:val="18"/>
                <w:color w:val="auto"/>
              </w:rPr>
            </w:pPr>
          </w:p>
        </w:tc>
      </w:tr>
      <w:tr>
        <w:trPr>
          <w:trHeight w:val="250"/>
        </w:trPr>
        <w:tc>
          <w:tcPr>
            <w:tcW w:w="674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18"/>
                <w:szCs w:val="18"/>
                <w:color w:val="auto"/>
              </w:rPr>
              <w:t>Total investments</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154.6</w:t>
            </w:r>
          </w:p>
        </w:tc>
        <w:tc>
          <w:tcPr>
            <w:tcW w:w="34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172.8</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5499735</wp:posOffset>
            </wp:positionH>
            <wp:positionV relativeFrom="paragraph">
              <wp:posOffset>-24765</wp:posOffset>
            </wp:positionV>
            <wp:extent cx="6032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-7620</wp:posOffset>
            </wp:positionV>
            <wp:extent cx="6032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6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Realized and unrealized gains and losses for our equity securities are as follows (in millions):</w:t>
      </w:r>
    </w:p>
    <w:p>
      <w:pPr>
        <w:spacing w:after="0" w:line="257"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5320" w:type="dxa"/>
            <w:vAlign w:val="bottom"/>
          </w:tcPr>
          <w:p>
            <w:pPr>
              <w:spacing w:after="0"/>
              <w:rPr>
                <w:sz w:val="16"/>
                <w:szCs w:val="16"/>
                <w:color w:val="auto"/>
              </w:rPr>
            </w:pPr>
          </w:p>
        </w:tc>
        <w:tc>
          <w:tcPr>
            <w:tcW w:w="2500" w:type="dxa"/>
            <w:vAlign w:val="bottom"/>
            <w:gridSpan w:val="6"/>
          </w:tcPr>
          <w:p>
            <w:pPr>
              <w:spacing w:after="0"/>
              <w:rPr>
                <w:sz w:val="20"/>
                <w:szCs w:val="20"/>
                <w:color w:val="auto"/>
              </w:rPr>
            </w:pPr>
            <w:r>
              <w:rPr>
                <w:rFonts w:ascii="Arial" w:cs="Arial" w:eastAsia="Arial" w:hAnsi="Arial"/>
                <w:sz w:val="14"/>
                <w:szCs w:val="14"/>
                <w:b w:val="1"/>
                <w:bCs w:val="1"/>
                <w:color w:val="auto"/>
              </w:rPr>
              <w:t>Three Months Ended September 30,</w:t>
            </w:r>
          </w:p>
        </w:tc>
        <w:tc>
          <w:tcPr>
            <w:tcW w:w="2180" w:type="dxa"/>
            <w:vAlign w:val="bottom"/>
            <w:gridSpan w:val="5"/>
          </w:tcPr>
          <w:p>
            <w:pPr>
              <w:ind w:left="20"/>
              <w:spacing w:after="0"/>
              <w:rPr>
                <w:sz w:val="20"/>
                <w:szCs w:val="20"/>
                <w:color w:val="auto"/>
              </w:rPr>
            </w:pPr>
            <w:r>
              <w:rPr>
                <w:rFonts w:ascii="Arial" w:cs="Arial" w:eastAsia="Arial" w:hAnsi="Arial"/>
                <w:sz w:val="14"/>
                <w:szCs w:val="14"/>
                <w:b w:val="1"/>
                <w:bCs w:val="1"/>
                <w:color w:val="auto"/>
                <w:w w:val="92"/>
              </w:rPr>
              <w:t>Nine Months Ended September 30,</w:t>
            </w:r>
          </w:p>
        </w:tc>
        <w:tc>
          <w:tcPr>
            <w:tcW w:w="100" w:type="dxa"/>
            <w:vAlign w:val="bottom"/>
          </w:tcPr>
          <w:p>
            <w:pPr>
              <w:spacing w:after="0"/>
              <w:rPr>
                <w:sz w:val="16"/>
                <w:szCs w:val="16"/>
                <w:color w:val="auto"/>
              </w:rPr>
            </w:pPr>
          </w:p>
        </w:tc>
      </w:tr>
      <w:tr>
        <w:trPr>
          <w:trHeight w:val="210"/>
        </w:trPr>
        <w:tc>
          <w:tcPr>
            <w:tcW w:w="5320" w:type="dxa"/>
            <w:vAlign w:val="bottom"/>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32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2022</w:t>
            </w:r>
          </w:p>
        </w:tc>
        <w:tc>
          <w:tcPr>
            <w:tcW w:w="24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8"/>
                <w:szCs w:val="18"/>
                <w:color w:val="auto"/>
              </w:rPr>
            </w:pPr>
          </w:p>
        </w:tc>
      </w:tr>
      <w:tr>
        <w:trPr>
          <w:trHeight w:val="168"/>
        </w:trPr>
        <w:tc>
          <w:tcPr>
            <w:tcW w:w="5320" w:type="dxa"/>
            <w:vAlign w:val="bottom"/>
            <w:shd w:val="clear" w:color="auto" w:fill="CFF0FC"/>
          </w:tcPr>
          <w:p>
            <w:pPr>
              <w:spacing w:after="0" w:line="168" w:lineRule="exact"/>
              <w:rPr>
                <w:sz w:val="20"/>
                <w:szCs w:val="20"/>
                <w:color w:val="auto"/>
              </w:rPr>
            </w:pPr>
            <w:r>
              <w:rPr>
                <w:rFonts w:ascii="Arial" w:cs="Arial" w:eastAsia="Arial" w:hAnsi="Arial"/>
                <w:sz w:val="18"/>
                <w:szCs w:val="18"/>
                <w:color w:val="auto"/>
                <w:w w:val="94"/>
              </w:rPr>
              <w:t>Unrealized (losses) gains on equity securities held as of the end of the</w:t>
            </w:r>
          </w:p>
        </w:tc>
        <w:tc>
          <w:tcPr>
            <w:tcW w:w="66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230"/>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period</w:t>
            </w:r>
          </w:p>
        </w:tc>
        <w:tc>
          <w:tcPr>
            <w:tcW w:w="66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w w:val="90"/>
              </w:rPr>
              <w:t>(3.4 )</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(2.0 )</w:t>
            </w:r>
          </w:p>
        </w:tc>
        <w:tc>
          <w:tcPr>
            <w:tcW w:w="220" w:type="dxa"/>
            <w:vAlign w:val="bottom"/>
            <w:shd w:val="clear" w:color="auto" w:fill="CFF0FC"/>
          </w:tcPr>
          <w:p>
            <w:pPr>
              <w:ind w:left="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(15.0 )</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w:t>
            </w:r>
          </w:p>
        </w:tc>
        <w:tc>
          <w:tcPr>
            <w:tcW w:w="100" w:type="dxa"/>
            <w:vAlign w:val="bottom"/>
            <w:shd w:val="clear" w:color="auto" w:fill="CFF0FC"/>
          </w:tcPr>
          <w:p>
            <w:pPr>
              <w:spacing w:after="0"/>
              <w:rPr>
                <w:sz w:val="20"/>
                <w:szCs w:val="20"/>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Realized (losses) gains for equity securities sold during the period</w:t>
            </w:r>
          </w:p>
        </w:tc>
        <w:tc>
          <w:tcPr>
            <w:tcW w:w="66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90"/>
              <w:spacing w:after="0"/>
              <w:rPr>
                <w:sz w:val="20"/>
                <w:szCs w:val="20"/>
                <w:color w:val="auto"/>
              </w:rPr>
            </w:pPr>
            <w:r>
              <w:rPr>
                <w:rFonts w:ascii="Arial" w:cs="Arial" w:eastAsia="Arial" w:hAnsi="Arial"/>
                <w:sz w:val="18"/>
                <w:szCs w:val="18"/>
                <w:color w:val="auto"/>
              </w:rPr>
              <w:t>(0.3 )</w:t>
            </w:r>
          </w:p>
        </w:tc>
        <w:tc>
          <w:tcPr>
            <w:tcW w:w="220" w:type="dxa"/>
            <w:vAlign w:val="bottom"/>
          </w:tcPr>
          <w:p>
            <w:pPr>
              <w:spacing w:after="0"/>
              <w:rPr>
                <w:sz w:val="18"/>
                <w:szCs w:val="18"/>
                <w:color w:val="auto"/>
              </w:rPr>
            </w:pPr>
          </w:p>
        </w:tc>
        <w:tc>
          <w:tcPr>
            <w:tcW w:w="980" w:type="dxa"/>
            <w:vAlign w:val="bottom"/>
            <w:gridSpan w:val="2"/>
          </w:tcPr>
          <w:p>
            <w:pPr>
              <w:jc w:val="right"/>
              <w:ind w:right="70"/>
              <w:spacing w:after="0"/>
              <w:rPr>
                <w:sz w:val="20"/>
                <w:szCs w:val="20"/>
                <w:color w:val="auto"/>
              </w:rPr>
            </w:pPr>
            <w:r>
              <w:rPr>
                <w:rFonts w:ascii="Arial" w:cs="Arial" w:eastAsia="Arial" w:hAnsi="Arial"/>
                <w:sz w:val="18"/>
                <w:szCs w:val="18"/>
                <w:color w:val="auto"/>
              </w:rPr>
              <w:t>(1.1 )</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18"/>
                <w:szCs w:val="18"/>
                <w:color w:val="auto"/>
              </w:rPr>
            </w:pPr>
          </w:p>
        </w:tc>
      </w:tr>
      <w:tr>
        <w:trPr>
          <w:trHeight w:val="250"/>
        </w:trPr>
        <w:tc>
          <w:tcPr>
            <w:tcW w:w="532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18"/>
                <w:szCs w:val="18"/>
                <w:color w:val="auto"/>
              </w:rPr>
              <w:t>Total (losses) gains recognized in other income, net</w:t>
            </w:r>
          </w:p>
        </w:tc>
        <w:tc>
          <w:tcPr>
            <w:tcW w:w="66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0"/>
              </w:rPr>
              <w:t>(3.4</w:t>
            </w:r>
          </w:p>
        </w:tc>
        <w:tc>
          <w:tcPr>
            <w:tcW w:w="260" w:type="dxa"/>
            <w:vAlign w:val="bottom"/>
            <w:tcBorders>
              <w:bottom w:val="single" w:sz="8" w:color="CFF0FC"/>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260" w:type="dxa"/>
            <w:vAlign w:val="bottom"/>
            <w:tcBorders>
              <w:bottom w:val="single" w:sz="8" w:color="CFF0FC"/>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auto"/>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(16.1</w:t>
            </w:r>
          </w:p>
        </w:tc>
        <w:tc>
          <w:tcPr>
            <w:tcW w:w="240" w:type="dxa"/>
            <w:vAlign w:val="bottom"/>
            <w:tcBorders>
              <w:bottom w:val="single" w:sz="8" w:color="CFF0FC"/>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15.9</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4368165</wp:posOffset>
            </wp:positionH>
            <wp:positionV relativeFrom="paragraph">
              <wp:posOffset>-24765</wp:posOffset>
            </wp:positionV>
            <wp:extent cx="6858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-7620</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-24765</wp:posOffset>
            </wp:positionV>
            <wp:extent cx="6858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-7620</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-24765</wp:posOffset>
            </wp:positionV>
            <wp:extent cx="5969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-7620</wp:posOffset>
            </wp:positionV>
            <wp:extent cx="5969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Measurement</w:t>
      </w:r>
    </w:p>
    <w:p>
      <w:pPr>
        <w:spacing w:after="0" w:line="104" w:lineRule="exact"/>
        <w:rPr>
          <w:sz w:val="20"/>
          <w:szCs w:val="20"/>
          <w:color w:val="auto"/>
        </w:rPr>
      </w:pPr>
    </w:p>
    <w:p>
      <w:pPr>
        <w:ind w:right="160" w:firstLine="562"/>
        <w:spacing w:after="0" w:line="249" w:lineRule="auto"/>
        <w:rPr>
          <w:sz w:val="20"/>
          <w:szCs w:val="20"/>
          <w:color w:val="auto"/>
        </w:rPr>
      </w:pPr>
      <w:r>
        <w:rPr>
          <w:rFonts w:ascii="Arial" w:cs="Arial" w:eastAsia="Arial" w:hAnsi="Arial"/>
          <w:sz w:val="18"/>
          <w:szCs w:val="18"/>
          <w:color w:val="auto"/>
        </w:rPr>
        <w:t>Authoritative accounting guidance on fair value measurements establishes a three-tier fair value hierarchy, which prioritizes the inputs used in measuring fair value. These tiers include: Level 1, defined as observable inputs such as quoted prices in active markets; Level 2, defined as inputs other than quoted prices in active markets that are either directly or indirectly observable; and Level 3, defined as unobservable inputs for which little or no market data exists, therefore requiring an entity to develop its own assumptions.</w:t>
      </w:r>
    </w:p>
    <w:p>
      <w:pPr>
        <w:spacing w:after="0" w:line="154" w:lineRule="exact"/>
        <w:rPr>
          <w:sz w:val="20"/>
          <w:szCs w:val="20"/>
          <w:color w:val="auto"/>
        </w:rPr>
      </w:pPr>
    </w:p>
    <w:p>
      <w:pPr>
        <w:ind w:right="40" w:firstLine="569"/>
        <w:spacing w:after="0" w:line="260" w:lineRule="auto"/>
        <w:rPr>
          <w:sz w:val="20"/>
          <w:szCs w:val="20"/>
          <w:color w:val="auto"/>
        </w:rPr>
      </w:pPr>
      <w:r>
        <w:rPr>
          <w:rFonts w:ascii="Arial" w:cs="Arial" w:eastAsia="Arial" w:hAnsi="Arial"/>
          <w:sz w:val="17"/>
          <w:szCs w:val="17"/>
          <w:color w:val="auto"/>
        </w:rPr>
        <w:t>As of September 30, 2022 and December 31, 2021, we held certain investment assets and certain liabilities that are required to be measured at fair value on a recurring basis. These investments include money market funds and marketable equity securities where fair value is determined using quoted prices in active markets. Accordingly, the fair value measurements of these investments have been classified as Level 1 in the tables below. Investments for which we elected net asset value as a practical expedient for fair value and investments measured using the fair value measurement alternative are excluded from the tables below. Fair value for deferred compensation liabilities that are credited with deemed gains or losses of the underlying hypothetical investments, primarily equity securities, have been classified as Level 1 in the tables below.</w:t>
      </w:r>
    </w:p>
    <w:p>
      <w:pPr>
        <w:spacing w:after="0" w:line="39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540" w:right="439" w:bottom="1440" w:gutter="0" w:footer="0" w:header="0"/>
        </w:sectPr>
      </w:pPr>
    </w:p>
    <w:bookmarkStart w:id="9" w:name="page10"/>
    <w:bookmarkEnd w:id="9"/>
    <w:p>
      <w:pPr>
        <w:ind w:left="560"/>
        <w:spacing w:after="0"/>
        <w:rPr>
          <w:sz w:val="20"/>
          <w:szCs w:val="20"/>
          <w:color w:val="auto"/>
        </w:rPr>
      </w:pPr>
      <w:r>
        <w:rPr>
          <w:rFonts w:ascii="Arial" w:cs="Arial" w:eastAsia="Arial" w:hAnsi="Arial"/>
          <w:sz w:val="18"/>
          <w:szCs w:val="18"/>
          <w:color w:val="auto"/>
        </w:rPr>
        <w:t>The following tables present assets and liabilities measured at fair value on a recurring basis (in millions):</w:t>
      </w:r>
    </w:p>
    <w:p>
      <w:pPr>
        <w:spacing w:after="0" w:line="55"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3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700" w:type="dxa"/>
            <w:vAlign w:val="bottom"/>
            <w:tcBorders>
              <w:bottom w:val="single" w:sz="8" w:color="auto"/>
            </w:tcBorders>
            <w:gridSpan w:val="9"/>
          </w:tcPr>
          <w:p>
            <w:pPr>
              <w:jc w:val="right"/>
              <w:ind w:right="621"/>
              <w:spacing w:after="0"/>
              <w:rPr>
                <w:sz w:val="20"/>
                <w:szCs w:val="20"/>
                <w:color w:val="auto"/>
              </w:rPr>
            </w:pPr>
            <w:r>
              <w:rPr>
                <w:rFonts w:ascii="Arial" w:cs="Arial" w:eastAsia="Arial" w:hAnsi="Arial"/>
                <w:sz w:val="14"/>
                <w:szCs w:val="14"/>
                <w:b w:val="1"/>
                <w:bCs w:val="1"/>
                <w:color w:val="auto"/>
              </w:rPr>
              <w:t>Fair Value Measurements at Reporting Date Using</w:t>
            </w:r>
          </w:p>
        </w:tc>
        <w:tc>
          <w:tcPr>
            <w:tcW w:w="3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3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40" w:type="dxa"/>
            <w:vAlign w:val="bottom"/>
            <w:gridSpan w:val="3"/>
          </w:tcPr>
          <w:p>
            <w:pPr>
              <w:jc w:val="center"/>
              <w:ind w:right="440"/>
              <w:spacing w:after="0" w:line="133" w:lineRule="exact"/>
              <w:rPr>
                <w:sz w:val="20"/>
                <w:szCs w:val="20"/>
                <w:color w:val="auto"/>
              </w:rPr>
            </w:pPr>
            <w:r>
              <w:rPr>
                <w:rFonts w:ascii="Arial" w:cs="Arial" w:eastAsia="Arial" w:hAnsi="Arial"/>
                <w:sz w:val="14"/>
                <w:szCs w:val="14"/>
                <w:b w:val="1"/>
                <w:bCs w:val="1"/>
                <w:color w:val="auto"/>
                <w:w w:val="90"/>
              </w:rPr>
              <w:t>Quoted prices in</w:t>
            </w:r>
          </w:p>
        </w:tc>
        <w:tc>
          <w:tcPr>
            <w:tcW w:w="40" w:type="dxa"/>
            <w:vAlign w:val="bottom"/>
          </w:tcPr>
          <w:p>
            <w:pPr>
              <w:spacing w:after="0"/>
              <w:rPr>
                <w:sz w:val="11"/>
                <w:szCs w:val="11"/>
                <w:color w:val="auto"/>
              </w:rPr>
            </w:pPr>
          </w:p>
        </w:tc>
        <w:tc>
          <w:tcPr>
            <w:tcW w:w="1320" w:type="dxa"/>
            <w:vAlign w:val="bottom"/>
            <w:vMerge w:val="restart"/>
          </w:tcPr>
          <w:p>
            <w:pPr>
              <w:jc w:val="center"/>
              <w:ind w:left="104"/>
              <w:spacing w:after="0"/>
              <w:rPr>
                <w:sz w:val="20"/>
                <w:szCs w:val="20"/>
                <w:color w:val="auto"/>
              </w:rPr>
            </w:pPr>
            <w:r>
              <w:rPr>
                <w:rFonts w:ascii="Arial" w:cs="Arial" w:eastAsia="Arial" w:hAnsi="Arial"/>
                <w:sz w:val="14"/>
                <w:szCs w:val="14"/>
                <w:b w:val="1"/>
                <w:bCs w:val="1"/>
                <w:color w:val="auto"/>
                <w:w w:val="93"/>
              </w:rPr>
              <w:t>Significant Other</w:t>
            </w: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80" w:type="dxa"/>
            <w:vAlign w:val="bottom"/>
            <w:vMerge w:val="restart"/>
          </w:tcPr>
          <w:p>
            <w:pPr>
              <w:jc w:val="center"/>
              <w:ind w:left="201"/>
              <w:spacing w:after="0"/>
              <w:rPr>
                <w:sz w:val="20"/>
                <w:szCs w:val="20"/>
                <w:color w:val="auto"/>
              </w:rPr>
            </w:pPr>
            <w:r>
              <w:rPr>
                <w:rFonts w:ascii="Arial" w:cs="Arial" w:eastAsia="Arial" w:hAnsi="Arial"/>
                <w:sz w:val="14"/>
                <w:szCs w:val="14"/>
                <w:b w:val="1"/>
                <w:bCs w:val="1"/>
                <w:color w:val="auto"/>
                <w:w w:val="92"/>
              </w:rPr>
              <w:t>Significant</w:t>
            </w: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40" w:type="dxa"/>
            <w:vAlign w:val="bottom"/>
            <w:gridSpan w:val="3"/>
          </w:tcPr>
          <w:p>
            <w:pPr>
              <w:jc w:val="center"/>
              <w:ind w:right="440"/>
              <w:spacing w:after="0" w:line="149" w:lineRule="exact"/>
              <w:rPr>
                <w:sz w:val="20"/>
                <w:szCs w:val="20"/>
                <w:color w:val="auto"/>
              </w:rPr>
            </w:pPr>
            <w:r>
              <w:rPr>
                <w:rFonts w:ascii="Arial" w:cs="Arial" w:eastAsia="Arial" w:hAnsi="Arial"/>
                <w:sz w:val="14"/>
                <w:szCs w:val="14"/>
                <w:b w:val="1"/>
                <w:bCs w:val="1"/>
                <w:color w:val="auto"/>
                <w:w w:val="95"/>
              </w:rPr>
              <w:t>Active Markets for</w:t>
            </w:r>
          </w:p>
        </w:tc>
        <w:tc>
          <w:tcPr>
            <w:tcW w:w="4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760" w:type="dxa"/>
            <w:vAlign w:val="bottom"/>
            <w:gridSpan w:val="4"/>
          </w:tcPr>
          <w:p>
            <w:pPr>
              <w:ind w:left="20"/>
              <w:spacing w:after="0" w:line="149" w:lineRule="exact"/>
              <w:rPr>
                <w:sz w:val="20"/>
                <w:szCs w:val="20"/>
                <w:color w:val="auto"/>
              </w:rPr>
            </w:pPr>
            <w:r>
              <w:rPr>
                <w:rFonts w:ascii="Arial" w:cs="Arial" w:eastAsia="Arial" w:hAnsi="Arial"/>
                <w:sz w:val="14"/>
                <w:szCs w:val="14"/>
                <w:b w:val="1"/>
                <w:bCs w:val="1"/>
                <w:color w:val="auto"/>
              </w:rPr>
              <w:t>Identical Assets (Level</w:t>
            </w:r>
          </w:p>
        </w:tc>
        <w:tc>
          <w:tcPr>
            <w:tcW w:w="40" w:type="dxa"/>
            <w:vAlign w:val="bottom"/>
          </w:tcPr>
          <w:p>
            <w:pPr>
              <w:spacing w:after="0"/>
              <w:rPr>
                <w:sz w:val="12"/>
                <w:szCs w:val="12"/>
                <w:color w:val="auto"/>
              </w:rPr>
            </w:pPr>
          </w:p>
        </w:tc>
        <w:tc>
          <w:tcPr>
            <w:tcW w:w="1320" w:type="dxa"/>
            <w:vAlign w:val="bottom"/>
          </w:tcPr>
          <w:p>
            <w:pPr>
              <w:jc w:val="center"/>
              <w:ind w:left="104"/>
              <w:spacing w:after="0" w:line="149" w:lineRule="exact"/>
              <w:rPr>
                <w:sz w:val="20"/>
                <w:szCs w:val="20"/>
                <w:color w:val="auto"/>
              </w:rPr>
            </w:pPr>
            <w:r>
              <w:rPr>
                <w:rFonts w:ascii="Arial" w:cs="Arial" w:eastAsia="Arial" w:hAnsi="Arial"/>
                <w:sz w:val="14"/>
                <w:szCs w:val="14"/>
                <w:b w:val="1"/>
                <w:bCs w:val="1"/>
                <w:color w:val="auto"/>
                <w:w w:val="93"/>
              </w:rPr>
              <w:t>Observable Inputs</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Unobservable Inputs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3240" w:type="dxa"/>
            <w:vAlign w:val="bottom"/>
          </w:tcPr>
          <w:p>
            <w:pPr>
              <w:spacing w:after="0"/>
              <w:rPr>
                <w:sz w:val="17"/>
                <w:szCs w:val="17"/>
                <w:color w:val="auto"/>
              </w:rPr>
            </w:pPr>
          </w:p>
        </w:tc>
        <w:tc>
          <w:tcPr>
            <w:tcW w:w="1620" w:type="dxa"/>
            <w:vAlign w:val="bottom"/>
            <w:gridSpan w:val="4"/>
          </w:tcPr>
          <w:p>
            <w:pPr>
              <w:ind w:left="60"/>
              <w:spacing w:after="0"/>
              <w:rPr>
                <w:sz w:val="20"/>
                <w:szCs w:val="20"/>
                <w:color w:val="auto"/>
              </w:rPr>
            </w:pPr>
            <w:r>
              <w:rPr>
                <w:rFonts w:ascii="Arial" w:cs="Arial" w:eastAsia="Arial" w:hAnsi="Arial"/>
                <w:sz w:val="14"/>
                <w:szCs w:val="14"/>
                <w:b w:val="1"/>
                <w:bCs w:val="1"/>
                <w:color w:val="auto"/>
              </w:rPr>
              <w:t>September 30, 2022</w:t>
            </w:r>
          </w:p>
        </w:tc>
        <w:tc>
          <w:tcPr>
            <w:tcW w:w="120" w:type="dxa"/>
            <w:vAlign w:val="bottom"/>
          </w:tcPr>
          <w:p>
            <w:pPr>
              <w:spacing w:after="0"/>
              <w:rPr>
                <w:sz w:val="17"/>
                <w:szCs w:val="17"/>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6"/>
              </w:rPr>
              <w:t>1)</w:t>
            </w: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320" w:type="dxa"/>
            <w:vAlign w:val="bottom"/>
          </w:tcPr>
          <w:p>
            <w:pPr>
              <w:jc w:val="center"/>
              <w:ind w:left="144"/>
              <w:spacing w:after="0"/>
              <w:rPr>
                <w:sz w:val="20"/>
                <w:szCs w:val="20"/>
                <w:color w:val="auto"/>
              </w:rPr>
            </w:pPr>
            <w:r>
              <w:rPr>
                <w:rFonts w:ascii="Arial" w:cs="Arial" w:eastAsia="Arial" w:hAnsi="Arial"/>
                <w:sz w:val="14"/>
                <w:szCs w:val="14"/>
                <w:b w:val="1"/>
                <w:bCs w:val="1"/>
                <w:color w:val="auto"/>
                <w:w w:val="94"/>
              </w:rPr>
              <w:t>(Level 2)</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jc w:val="center"/>
              <w:ind w:left="241"/>
              <w:spacing w:after="0"/>
              <w:rPr>
                <w:sz w:val="20"/>
                <w:szCs w:val="20"/>
                <w:color w:val="auto"/>
              </w:rPr>
            </w:pPr>
            <w:r>
              <w:rPr>
                <w:rFonts w:ascii="Arial" w:cs="Arial" w:eastAsia="Arial" w:hAnsi="Arial"/>
                <w:sz w:val="14"/>
                <w:szCs w:val="14"/>
                <w:b w:val="1"/>
                <w:bCs w:val="1"/>
                <w:color w:val="auto"/>
                <w:w w:val="94"/>
              </w:rPr>
              <w:t>(Level 3)</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240" w:type="dxa"/>
            <w:vAlign w:val="bottom"/>
            <w:shd w:val="clear" w:color="auto" w:fill="CFF0FC"/>
          </w:tcPr>
          <w:p>
            <w:pPr>
              <w:spacing w:after="0"/>
              <w:rPr>
                <w:sz w:val="20"/>
                <w:szCs w:val="20"/>
                <w:color w:val="auto"/>
              </w:rPr>
            </w:pPr>
            <w:r>
              <w:rPr>
                <w:rFonts w:ascii="Arial" w:cs="Arial" w:eastAsia="Arial" w:hAnsi="Arial"/>
                <w:sz w:val="18"/>
                <w:szCs w:val="18"/>
                <w:color w:val="auto"/>
              </w:rPr>
              <w:t>Money market funds (1)</w:t>
            </w:r>
          </w:p>
        </w:tc>
        <w:tc>
          <w:tcPr>
            <w:tcW w:w="460" w:type="dxa"/>
            <w:vAlign w:val="bottom"/>
            <w:tcBorders>
              <w:top w:val="single" w:sz="8" w:color="auto"/>
            </w:tcBorders>
            <w:gridSpan w:val="2"/>
            <w:shd w:val="clear" w:color="auto" w:fill="CFF0FC"/>
          </w:tcPr>
          <w:p>
            <w:pPr>
              <w:jc w:val="right"/>
              <w:ind w:right="256"/>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363.5</w:t>
            </w:r>
          </w:p>
        </w:tc>
        <w:tc>
          <w:tcPr>
            <w:tcW w:w="320" w:type="dxa"/>
            <w:vAlign w:val="bottom"/>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363.5</w:t>
            </w:r>
          </w:p>
        </w:tc>
        <w:tc>
          <w:tcPr>
            <w:tcW w:w="3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320" w:type="dxa"/>
            <w:vAlign w:val="bottom"/>
            <w:tcBorders>
              <w:top w:val="single" w:sz="8" w:color="auto"/>
            </w:tcBorders>
            <w:shd w:val="clear" w:color="auto" w:fill="CFF0FC"/>
          </w:tcPr>
          <w:p>
            <w:pPr>
              <w:jc w:val="right"/>
              <w:ind w:right="1144"/>
              <w:spacing w:after="0"/>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tcBorders>
            <w:gridSpan w:val="2"/>
            <w:shd w:val="clear" w:color="auto" w:fill="CFF0FC"/>
          </w:tcPr>
          <w:p>
            <w:pPr>
              <w:ind w:left="20"/>
              <w:spacing w:after="0"/>
              <w:rPr>
                <w:sz w:val="20"/>
                <w:szCs w:val="20"/>
                <w:color w:val="auto"/>
              </w:rPr>
            </w:pPr>
            <w:r>
              <w:rPr>
                <w:rFonts w:ascii="Arial" w:cs="Arial" w:eastAsia="Arial" w:hAnsi="Arial"/>
                <w:sz w:val="18"/>
                <w:szCs w:val="18"/>
                <w:color w:val="auto"/>
                <w:w w:val="99"/>
              </w:rPr>
              <w:t>—</w:t>
            </w:r>
          </w:p>
        </w:tc>
        <w:tc>
          <w:tcPr>
            <w:tcW w:w="300" w:type="dxa"/>
            <w:vAlign w:val="bottom"/>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jc w:val="right"/>
              <w:ind w:right="1001"/>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tcBorders>
            <w:shd w:val="clear" w:color="auto" w:fill="CFF0FC"/>
          </w:tcPr>
          <w:p>
            <w:pPr>
              <w:ind w:left="12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40" w:type="dxa"/>
            <w:vAlign w:val="bottom"/>
          </w:tcPr>
          <w:p>
            <w:pPr>
              <w:spacing w:after="0"/>
              <w:rPr>
                <w:sz w:val="20"/>
                <w:szCs w:val="20"/>
                <w:color w:val="auto"/>
              </w:rPr>
            </w:pPr>
            <w:r>
              <w:rPr>
                <w:rFonts w:ascii="Arial" w:cs="Arial" w:eastAsia="Arial" w:hAnsi="Arial"/>
                <w:sz w:val="18"/>
                <w:szCs w:val="18"/>
                <w:color w:val="auto"/>
              </w:rPr>
              <w:t>Seed capital investments (2)</w:t>
            </w: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30.1</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30.1</w:t>
            </w: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20" w:type="dxa"/>
            <w:vAlign w:val="bottom"/>
            <w:gridSpan w:val="2"/>
          </w:tcPr>
          <w:p>
            <w:pPr>
              <w:ind w:left="20"/>
              <w:spacing w:after="0"/>
              <w:rPr>
                <w:sz w:val="20"/>
                <w:szCs w:val="20"/>
                <w:color w:val="auto"/>
              </w:rPr>
            </w:pPr>
            <w:r>
              <w:rPr>
                <w:rFonts w:ascii="Arial" w:cs="Arial" w:eastAsia="Arial" w:hAnsi="Arial"/>
                <w:sz w:val="18"/>
                <w:szCs w:val="18"/>
                <w:color w:val="auto"/>
                <w:w w:val="99"/>
              </w:rPr>
              <w:t>—</w:t>
            </w: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20" w:type="dxa"/>
            <w:vAlign w:val="bottom"/>
          </w:tcPr>
          <w:p>
            <w:pPr>
              <w:ind w:left="12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40" w:type="dxa"/>
            <w:vAlign w:val="bottom"/>
            <w:shd w:val="clear" w:color="auto" w:fill="CFF0FC"/>
          </w:tcPr>
          <w:p>
            <w:pPr>
              <w:spacing w:after="0"/>
              <w:rPr>
                <w:sz w:val="20"/>
                <w:szCs w:val="20"/>
                <w:color w:val="auto"/>
              </w:rPr>
            </w:pPr>
            <w:r>
              <w:rPr>
                <w:rFonts w:ascii="Arial" w:cs="Arial" w:eastAsia="Arial" w:hAnsi="Arial"/>
                <w:sz w:val="18"/>
                <w:szCs w:val="18"/>
                <w:color w:val="auto"/>
              </w:rPr>
              <w:t>Marketable equity securities (2)</w:t>
            </w:r>
          </w:p>
        </w:tc>
        <w:tc>
          <w:tcPr>
            <w:tcW w:w="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24.2</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24.2</w:t>
            </w:r>
          </w:p>
        </w:tc>
        <w:tc>
          <w:tcPr>
            <w:tcW w:w="3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22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w w:val="99"/>
              </w:rPr>
              <w:t>—</w:t>
            </w:r>
          </w:p>
        </w:tc>
        <w:tc>
          <w:tcPr>
            <w:tcW w:w="30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320" w:type="dxa"/>
            <w:vAlign w:val="bottom"/>
            <w:shd w:val="clear" w:color="auto" w:fill="CFF0FC"/>
          </w:tcPr>
          <w:p>
            <w:pPr>
              <w:ind w:left="12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Deferred compensation liabilities (3)</w:t>
            </w: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(13.5 )</w:t>
            </w:r>
          </w:p>
        </w:tc>
        <w:tc>
          <w:tcPr>
            <w:tcW w:w="120" w:type="dxa"/>
            <w:vAlign w:val="bottom"/>
          </w:tcPr>
          <w:p>
            <w:pPr>
              <w:spacing w:after="0"/>
              <w:rPr>
                <w:sz w:val="18"/>
                <w:szCs w:val="18"/>
                <w:color w:val="auto"/>
              </w:rPr>
            </w:pPr>
          </w:p>
        </w:tc>
        <w:tc>
          <w:tcPr>
            <w:tcW w:w="1640" w:type="dxa"/>
            <w:vAlign w:val="bottom"/>
            <w:gridSpan w:val="3"/>
          </w:tcPr>
          <w:p>
            <w:pPr>
              <w:jc w:val="right"/>
              <w:ind w:right="220"/>
              <w:spacing w:after="0"/>
              <w:rPr>
                <w:sz w:val="20"/>
                <w:szCs w:val="20"/>
                <w:color w:val="auto"/>
              </w:rPr>
            </w:pPr>
            <w:r>
              <w:rPr>
                <w:rFonts w:ascii="Arial" w:cs="Arial" w:eastAsia="Arial" w:hAnsi="Arial"/>
                <w:sz w:val="18"/>
                <w:szCs w:val="18"/>
                <w:color w:val="auto"/>
              </w:rPr>
              <w:t>(13.5 )</w:t>
            </w:r>
          </w:p>
        </w:tc>
        <w:tc>
          <w:tcPr>
            <w:tcW w:w="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gridSpan w:val="2"/>
          </w:tcPr>
          <w:p>
            <w:pPr>
              <w:ind w:left="20"/>
              <w:spacing w:after="0"/>
              <w:rPr>
                <w:sz w:val="20"/>
                <w:szCs w:val="20"/>
                <w:color w:val="auto"/>
              </w:rPr>
            </w:pPr>
            <w:r>
              <w:rPr>
                <w:rFonts w:ascii="Arial" w:cs="Arial" w:eastAsia="Arial" w:hAnsi="Arial"/>
                <w:sz w:val="18"/>
                <w:szCs w:val="18"/>
                <w:color w:val="auto"/>
                <w:w w:val="99"/>
              </w:rPr>
              <w:t>—</w:t>
            </w: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20" w:type="dxa"/>
            <w:vAlign w:val="bottom"/>
          </w:tcPr>
          <w:p>
            <w:pPr>
              <w:ind w:left="12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324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18"/>
                <w:szCs w:val="18"/>
                <w:color w:val="auto"/>
              </w:rPr>
              <w:t>Total</w:t>
            </w:r>
          </w:p>
        </w:tc>
        <w:tc>
          <w:tcPr>
            <w:tcW w:w="460" w:type="dxa"/>
            <w:vAlign w:val="bottom"/>
            <w:tcBorders>
              <w:top w:val="single" w:sz="8" w:color="auto"/>
              <w:bottom w:val="single" w:sz="8" w:color="auto"/>
            </w:tcBorders>
            <w:gridSpan w:val="2"/>
            <w:shd w:val="clear" w:color="auto" w:fill="CFF0FC"/>
          </w:tcPr>
          <w:p>
            <w:pPr>
              <w:jc w:val="right"/>
              <w:ind w:right="256"/>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404.3</w:t>
            </w:r>
          </w:p>
        </w:tc>
        <w:tc>
          <w:tcPr>
            <w:tcW w:w="3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top w:val="single" w:sz="8" w:color="auto"/>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404.3</w:t>
            </w:r>
          </w:p>
        </w:tc>
        <w:tc>
          <w:tcPr>
            <w:tcW w:w="300" w:type="dxa"/>
            <w:vAlign w:val="bottom"/>
            <w:tcBorders>
              <w:bottom w:val="single" w:sz="8" w:color="CFF0FC"/>
            </w:tcBorders>
            <w:shd w:val="clear" w:color="auto" w:fill="CFF0FC"/>
          </w:tcPr>
          <w:p>
            <w:pPr>
              <w:spacing w:after="0"/>
              <w:rPr>
                <w:sz w:val="21"/>
                <w:szCs w:val="21"/>
                <w:color w:val="auto"/>
              </w:rPr>
            </w:pPr>
          </w:p>
        </w:tc>
        <w:tc>
          <w:tcPr>
            <w:tcW w:w="40" w:type="dxa"/>
            <w:vAlign w:val="bottom"/>
            <w:tcBorders>
              <w:bottom w:val="single" w:sz="8" w:color="CFF0FC"/>
            </w:tcBorders>
            <w:shd w:val="clear" w:color="auto" w:fill="CFF0FC"/>
          </w:tcPr>
          <w:p>
            <w:pPr>
              <w:spacing w:after="0"/>
              <w:rPr>
                <w:sz w:val="21"/>
                <w:szCs w:val="21"/>
                <w:color w:val="auto"/>
              </w:rPr>
            </w:pPr>
          </w:p>
        </w:tc>
        <w:tc>
          <w:tcPr>
            <w:tcW w:w="1320" w:type="dxa"/>
            <w:vAlign w:val="bottom"/>
            <w:tcBorders>
              <w:top w:val="single" w:sz="8" w:color="auto"/>
              <w:bottom w:val="single" w:sz="8" w:color="auto"/>
            </w:tcBorders>
            <w:shd w:val="clear" w:color="auto" w:fill="CFF0FC"/>
          </w:tcPr>
          <w:p>
            <w:pPr>
              <w:jc w:val="right"/>
              <w:ind w:right="1144"/>
              <w:spacing w:after="0"/>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bottom w:val="single" w:sz="8" w:color="auto"/>
            </w:tcBorders>
            <w:gridSpan w:val="2"/>
            <w:shd w:val="clear" w:color="auto" w:fill="CFF0FC"/>
          </w:tcPr>
          <w:p>
            <w:pPr>
              <w:ind w:left="20"/>
              <w:spacing w:after="0"/>
              <w:rPr>
                <w:sz w:val="20"/>
                <w:szCs w:val="20"/>
                <w:color w:val="auto"/>
              </w:rPr>
            </w:pPr>
            <w:r>
              <w:rPr>
                <w:rFonts w:ascii="Arial" w:cs="Arial" w:eastAsia="Arial" w:hAnsi="Arial"/>
                <w:sz w:val="18"/>
                <w:szCs w:val="18"/>
                <w:color w:val="auto"/>
                <w:w w:val="99"/>
              </w:rPr>
              <w:t>—</w:t>
            </w:r>
          </w:p>
        </w:tc>
        <w:tc>
          <w:tcPr>
            <w:tcW w:w="300" w:type="dxa"/>
            <w:vAlign w:val="bottom"/>
            <w:tcBorders>
              <w:bottom w:val="single" w:sz="8" w:color="CFF0FC"/>
            </w:tcBorders>
            <w:shd w:val="clear" w:color="auto" w:fill="CFF0FC"/>
          </w:tcPr>
          <w:p>
            <w:pPr>
              <w:spacing w:after="0"/>
              <w:rPr>
                <w:sz w:val="21"/>
                <w:szCs w:val="21"/>
                <w:color w:val="auto"/>
              </w:rPr>
            </w:pPr>
          </w:p>
        </w:tc>
        <w:tc>
          <w:tcPr>
            <w:tcW w:w="1180" w:type="dxa"/>
            <w:vAlign w:val="bottom"/>
            <w:tcBorders>
              <w:top w:val="single" w:sz="8" w:color="auto"/>
              <w:bottom w:val="single" w:sz="8" w:color="auto"/>
            </w:tcBorders>
            <w:shd w:val="clear" w:color="auto" w:fill="CFF0FC"/>
          </w:tcPr>
          <w:p>
            <w:pPr>
              <w:jc w:val="right"/>
              <w:ind w:right="1001"/>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bottom w:val="single" w:sz="8" w:color="auto"/>
            </w:tcBorders>
            <w:shd w:val="clear" w:color="auto" w:fill="CFF0FC"/>
          </w:tcPr>
          <w:p>
            <w:pPr>
              <w:ind w:left="12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399"/>
        </w:trPr>
        <w:tc>
          <w:tcPr>
            <w:tcW w:w="3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700" w:type="dxa"/>
            <w:vAlign w:val="bottom"/>
            <w:tcBorders>
              <w:bottom w:val="single" w:sz="8" w:color="auto"/>
            </w:tcBorders>
            <w:gridSpan w:val="9"/>
          </w:tcPr>
          <w:p>
            <w:pPr>
              <w:jc w:val="right"/>
              <w:ind w:right="621"/>
              <w:spacing w:after="0"/>
              <w:rPr>
                <w:sz w:val="20"/>
                <w:szCs w:val="20"/>
                <w:color w:val="auto"/>
              </w:rPr>
            </w:pPr>
            <w:r>
              <w:rPr>
                <w:rFonts w:ascii="Arial" w:cs="Arial" w:eastAsia="Arial" w:hAnsi="Arial"/>
                <w:sz w:val="14"/>
                <w:szCs w:val="14"/>
                <w:b w:val="1"/>
                <w:bCs w:val="1"/>
                <w:color w:val="auto"/>
              </w:rPr>
              <w:t>Fair Value Measurements at Reporting Date Using</w:t>
            </w:r>
          </w:p>
        </w:tc>
        <w:tc>
          <w:tcPr>
            <w:tcW w:w="3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3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40" w:type="dxa"/>
            <w:vAlign w:val="bottom"/>
            <w:gridSpan w:val="3"/>
          </w:tcPr>
          <w:p>
            <w:pPr>
              <w:jc w:val="center"/>
              <w:ind w:right="460"/>
              <w:spacing w:after="0" w:line="133" w:lineRule="exact"/>
              <w:rPr>
                <w:sz w:val="20"/>
                <w:szCs w:val="20"/>
                <w:color w:val="auto"/>
              </w:rPr>
            </w:pPr>
            <w:r>
              <w:rPr>
                <w:rFonts w:ascii="Arial" w:cs="Arial" w:eastAsia="Arial" w:hAnsi="Arial"/>
                <w:sz w:val="14"/>
                <w:szCs w:val="14"/>
                <w:b w:val="1"/>
                <w:bCs w:val="1"/>
                <w:color w:val="auto"/>
                <w:w w:val="92"/>
              </w:rPr>
              <w:t>Quoted prices in</w:t>
            </w:r>
          </w:p>
        </w:tc>
        <w:tc>
          <w:tcPr>
            <w:tcW w:w="40" w:type="dxa"/>
            <w:vAlign w:val="bottom"/>
          </w:tcPr>
          <w:p>
            <w:pPr>
              <w:spacing w:after="0"/>
              <w:rPr>
                <w:sz w:val="11"/>
                <w:szCs w:val="11"/>
                <w:color w:val="auto"/>
              </w:rPr>
            </w:pPr>
          </w:p>
        </w:tc>
        <w:tc>
          <w:tcPr>
            <w:tcW w:w="1320" w:type="dxa"/>
            <w:vAlign w:val="bottom"/>
            <w:vMerge w:val="restart"/>
          </w:tcPr>
          <w:p>
            <w:pPr>
              <w:jc w:val="center"/>
              <w:ind w:left="64"/>
              <w:spacing w:after="0"/>
              <w:rPr>
                <w:sz w:val="20"/>
                <w:szCs w:val="20"/>
                <w:color w:val="auto"/>
              </w:rPr>
            </w:pPr>
            <w:r>
              <w:rPr>
                <w:rFonts w:ascii="Arial" w:cs="Arial" w:eastAsia="Arial" w:hAnsi="Arial"/>
                <w:sz w:val="14"/>
                <w:szCs w:val="14"/>
                <w:b w:val="1"/>
                <w:bCs w:val="1"/>
                <w:color w:val="auto"/>
                <w:w w:val="93"/>
              </w:rPr>
              <w:t>Significant Other</w:t>
            </w: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80" w:type="dxa"/>
            <w:vAlign w:val="bottom"/>
            <w:vMerge w:val="restart"/>
          </w:tcPr>
          <w:p>
            <w:pPr>
              <w:jc w:val="center"/>
              <w:ind w:left="201"/>
              <w:spacing w:after="0"/>
              <w:rPr>
                <w:sz w:val="20"/>
                <w:szCs w:val="20"/>
                <w:color w:val="auto"/>
              </w:rPr>
            </w:pPr>
            <w:r>
              <w:rPr>
                <w:rFonts w:ascii="Arial" w:cs="Arial" w:eastAsia="Arial" w:hAnsi="Arial"/>
                <w:sz w:val="14"/>
                <w:szCs w:val="14"/>
                <w:b w:val="1"/>
                <w:bCs w:val="1"/>
                <w:color w:val="auto"/>
                <w:w w:val="92"/>
              </w:rPr>
              <w:t>Significant</w:t>
            </w: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40" w:type="dxa"/>
            <w:vAlign w:val="bottom"/>
            <w:gridSpan w:val="3"/>
          </w:tcPr>
          <w:p>
            <w:pPr>
              <w:jc w:val="center"/>
              <w:ind w:right="480"/>
              <w:spacing w:after="0" w:line="149" w:lineRule="exact"/>
              <w:rPr>
                <w:sz w:val="20"/>
                <w:szCs w:val="20"/>
                <w:color w:val="auto"/>
              </w:rPr>
            </w:pPr>
            <w:r>
              <w:rPr>
                <w:rFonts w:ascii="Arial" w:cs="Arial" w:eastAsia="Arial" w:hAnsi="Arial"/>
                <w:sz w:val="14"/>
                <w:szCs w:val="14"/>
                <w:b w:val="1"/>
                <w:bCs w:val="1"/>
                <w:color w:val="auto"/>
                <w:w w:val="95"/>
              </w:rPr>
              <w:t>Active Markets for</w:t>
            </w:r>
          </w:p>
        </w:tc>
        <w:tc>
          <w:tcPr>
            <w:tcW w:w="4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760" w:type="dxa"/>
            <w:vAlign w:val="bottom"/>
            <w:gridSpan w:val="4"/>
          </w:tcPr>
          <w:p>
            <w:pPr>
              <w:ind w:left="20"/>
              <w:spacing w:after="0" w:line="149" w:lineRule="exact"/>
              <w:rPr>
                <w:sz w:val="20"/>
                <w:szCs w:val="20"/>
                <w:color w:val="auto"/>
              </w:rPr>
            </w:pPr>
            <w:r>
              <w:rPr>
                <w:rFonts w:ascii="Arial" w:cs="Arial" w:eastAsia="Arial" w:hAnsi="Arial"/>
                <w:sz w:val="14"/>
                <w:szCs w:val="14"/>
                <w:b w:val="1"/>
                <w:bCs w:val="1"/>
                <w:color w:val="auto"/>
              </w:rPr>
              <w:t>Identical Assets (Level</w:t>
            </w:r>
          </w:p>
        </w:tc>
        <w:tc>
          <w:tcPr>
            <w:tcW w:w="40" w:type="dxa"/>
            <w:vAlign w:val="bottom"/>
          </w:tcPr>
          <w:p>
            <w:pPr>
              <w:spacing w:after="0"/>
              <w:rPr>
                <w:sz w:val="12"/>
                <w:szCs w:val="12"/>
                <w:color w:val="auto"/>
              </w:rPr>
            </w:pPr>
          </w:p>
        </w:tc>
        <w:tc>
          <w:tcPr>
            <w:tcW w:w="1320" w:type="dxa"/>
            <w:vAlign w:val="bottom"/>
          </w:tcPr>
          <w:p>
            <w:pPr>
              <w:jc w:val="center"/>
              <w:ind w:left="64"/>
              <w:spacing w:after="0" w:line="149" w:lineRule="exact"/>
              <w:rPr>
                <w:sz w:val="20"/>
                <w:szCs w:val="20"/>
                <w:color w:val="auto"/>
              </w:rPr>
            </w:pPr>
            <w:r>
              <w:rPr>
                <w:rFonts w:ascii="Arial" w:cs="Arial" w:eastAsia="Arial" w:hAnsi="Arial"/>
                <w:sz w:val="14"/>
                <w:szCs w:val="14"/>
                <w:b w:val="1"/>
                <w:bCs w:val="1"/>
                <w:color w:val="auto"/>
                <w:w w:val="93"/>
              </w:rPr>
              <w:t>Observable Inputs</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Unobservable Inputs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3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560" w:type="dxa"/>
            <w:vAlign w:val="bottom"/>
            <w:gridSpan w:val="3"/>
          </w:tcPr>
          <w:p>
            <w:pPr>
              <w:ind w:left="40"/>
              <w:spacing w:after="0"/>
              <w:rPr>
                <w:sz w:val="20"/>
                <w:szCs w:val="20"/>
                <w:color w:val="auto"/>
              </w:rPr>
            </w:pPr>
            <w:r>
              <w:rPr>
                <w:rFonts w:ascii="Arial" w:cs="Arial" w:eastAsia="Arial" w:hAnsi="Arial"/>
                <w:sz w:val="14"/>
                <w:szCs w:val="14"/>
                <w:b w:val="1"/>
                <w:bCs w:val="1"/>
                <w:color w:val="auto"/>
              </w:rPr>
              <w:t>December 31, 2021</w:t>
            </w:r>
          </w:p>
        </w:tc>
        <w:tc>
          <w:tcPr>
            <w:tcW w:w="120" w:type="dxa"/>
            <w:vAlign w:val="bottom"/>
          </w:tcPr>
          <w:p>
            <w:pPr>
              <w:spacing w:after="0"/>
              <w:rPr>
                <w:sz w:val="17"/>
                <w:szCs w:val="17"/>
                <w:color w:val="auto"/>
              </w:rPr>
            </w:pPr>
          </w:p>
        </w:tc>
        <w:tc>
          <w:tcPr>
            <w:tcW w:w="1320" w:type="dxa"/>
            <w:vAlign w:val="bottom"/>
          </w:tcPr>
          <w:p>
            <w:pPr>
              <w:jc w:val="center"/>
              <w:ind w:right="38"/>
              <w:spacing w:after="0"/>
              <w:rPr>
                <w:sz w:val="20"/>
                <w:szCs w:val="20"/>
                <w:color w:val="auto"/>
              </w:rPr>
            </w:pPr>
            <w:r>
              <w:rPr>
                <w:rFonts w:ascii="Arial" w:cs="Arial" w:eastAsia="Arial" w:hAnsi="Arial"/>
                <w:sz w:val="14"/>
                <w:szCs w:val="14"/>
                <w:b w:val="1"/>
                <w:bCs w:val="1"/>
                <w:color w:val="auto"/>
                <w:w w:val="96"/>
              </w:rPr>
              <w:t>1)</w:t>
            </w: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320" w:type="dxa"/>
            <w:vAlign w:val="bottom"/>
          </w:tcPr>
          <w:p>
            <w:pPr>
              <w:jc w:val="center"/>
              <w:ind w:left="104"/>
              <w:spacing w:after="0"/>
              <w:rPr>
                <w:sz w:val="20"/>
                <w:szCs w:val="20"/>
                <w:color w:val="auto"/>
              </w:rPr>
            </w:pPr>
            <w:r>
              <w:rPr>
                <w:rFonts w:ascii="Arial" w:cs="Arial" w:eastAsia="Arial" w:hAnsi="Arial"/>
                <w:sz w:val="14"/>
                <w:szCs w:val="14"/>
                <w:b w:val="1"/>
                <w:bCs w:val="1"/>
                <w:color w:val="auto"/>
                <w:w w:val="94"/>
              </w:rPr>
              <w:t>(Level 2)</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jc w:val="center"/>
              <w:ind w:left="241"/>
              <w:spacing w:after="0"/>
              <w:rPr>
                <w:sz w:val="20"/>
                <w:szCs w:val="20"/>
                <w:color w:val="auto"/>
              </w:rPr>
            </w:pPr>
            <w:r>
              <w:rPr>
                <w:rFonts w:ascii="Arial" w:cs="Arial" w:eastAsia="Arial" w:hAnsi="Arial"/>
                <w:sz w:val="14"/>
                <w:szCs w:val="14"/>
                <w:b w:val="1"/>
                <w:bCs w:val="1"/>
                <w:color w:val="auto"/>
                <w:w w:val="94"/>
              </w:rPr>
              <w:t>(Level 3)</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240" w:type="dxa"/>
            <w:vAlign w:val="bottom"/>
            <w:shd w:val="clear" w:color="auto" w:fill="CFF0FC"/>
          </w:tcPr>
          <w:p>
            <w:pPr>
              <w:spacing w:after="0"/>
              <w:rPr>
                <w:sz w:val="20"/>
                <w:szCs w:val="20"/>
                <w:color w:val="auto"/>
              </w:rPr>
            </w:pPr>
            <w:r>
              <w:rPr>
                <w:rFonts w:ascii="Arial" w:cs="Arial" w:eastAsia="Arial" w:hAnsi="Arial"/>
                <w:sz w:val="18"/>
                <w:szCs w:val="18"/>
                <w:color w:val="auto"/>
              </w:rPr>
              <w:t>Money market funds (1)</w:t>
            </w:r>
          </w:p>
        </w:tc>
        <w:tc>
          <w:tcPr>
            <w:tcW w:w="60" w:type="dxa"/>
            <w:vAlign w:val="bottom"/>
            <w:shd w:val="clear" w:color="auto" w:fill="CFF0FC"/>
          </w:tcPr>
          <w:p>
            <w:pPr>
              <w:spacing w:after="0"/>
              <w:rPr>
                <w:sz w:val="19"/>
                <w:szCs w:val="19"/>
                <w:color w:val="auto"/>
              </w:rPr>
            </w:pPr>
          </w:p>
        </w:tc>
        <w:tc>
          <w:tcPr>
            <w:tcW w:w="40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1,961.0</w:t>
            </w:r>
          </w:p>
        </w:tc>
        <w:tc>
          <w:tcPr>
            <w:tcW w:w="320" w:type="dxa"/>
            <w:vAlign w:val="bottom"/>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1,961.0</w:t>
            </w: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60" w:type="dxa"/>
            <w:vAlign w:val="bottom"/>
            <w:tcBorders>
              <w:top w:val="single" w:sz="8" w:color="auto"/>
            </w:tcBorders>
            <w:gridSpan w:val="2"/>
            <w:shd w:val="clear" w:color="auto" w:fill="CFF0FC"/>
          </w:tcPr>
          <w:p>
            <w:pPr>
              <w:jc w:val="right"/>
              <w:ind w:right="1184"/>
              <w:spacing w:after="0"/>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w w:val="88"/>
              </w:rPr>
              <w:t>—</w:t>
            </w: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jc w:val="right"/>
              <w:ind w:right="1001"/>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tcBorders>
            <w:shd w:val="clear" w:color="auto" w:fill="CFF0FC"/>
          </w:tcPr>
          <w:p>
            <w:pPr>
              <w:ind w:left="12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40" w:type="dxa"/>
            <w:vAlign w:val="bottom"/>
          </w:tcPr>
          <w:p>
            <w:pPr>
              <w:spacing w:after="0"/>
              <w:rPr>
                <w:sz w:val="20"/>
                <w:szCs w:val="20"/>
                <w:color w:val="auto"/>
              </w:rPr>
            </w:pPr>
            <w:r>
              <w:rPr>
                <w:rFonts w:ascii="Arial" w:cs="Arial" w:eastAsia="Arial" w:hAnsi="Arial"/>
                <w:sz w:val="18"/>
                <w:szCs w:val="18"/>
                <w:color w:val="auto"/>
              </w:rPr>
              <w:t>Seed capital investments (2)</w:t>
            </w: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32.0</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32.0</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20" w:type="dxa"/>
            <w:vAlign w:val="bottom"/>
            <w:gridSpan w:val="2"/>
          </w:tcPr>
          <w:p>
            <w:pPr>
              <w:ind w:left="20"/>
              <w:spacing w:after="0"/>
              <w:rPr>
                <w:sz w:val="20"/>
                <w:szCs w:val="20"/>
                <w:color w:val="auto"/>
              </w:rPr>
            </w:pPr>
            <w:r>
              <w:rPr>
                <w:rFonts w:ascii="Arial" w:cs="Arial" w:eastAsia="Arial" w:hAnsi="Arial"/>
                <w:sz w:val="18"/>
                <w:szCs w:val="18"/>
                <w:color w:val="auto"/>
                <w:w w:val="99"/>
              </w:rPr>
              <w:t>—</w:t>
            </w: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20" w:type="dxa"/>
            <w:vAlign w:val="bottom"/>
          </w:tcPr>
          <w:p>
            <w:pPr>
              <w:ind w:left="12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40" w:type="dxa"/>
            <w:vAlign w:val="bottom"/>
            <w:shd w:val="clear" w:color="auto" w:fill="CFF0FC"/>
          </w:tcPr>
          <w:p>
            <w:pPr>
              <w:spacing w:after="0"/>
              <w:rPr>
                <w:sz w:val="20"/>
                <w:szCs w:val="20"/>
                <w:color w:val="auto"/>
              </w:rPr>
            </w:pPr>
            <w:r>
              <w:rPr>
                <w:rFonts w:ascii="Arial" w:cs="Arial" w:eastAsia="Arial" w:hAnsi="Arial"/>
                <w:sz w:val="18"/>
                <w:szCs w:val="18"/>
                <w:color w:val="auto"/>
              </w:rPr>
              <w:t>Marketable equity securities (2)</w:t>
            </w:r>
          </w:p>
        </w:tc>
        <w:tc>
          <w:tcPr>
            <w:tcW w:w="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40.8</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40.8</w:t>
            </w: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22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w w:val="99"/>
              </w:rPr>
              <w:t>—</w:t>
            </w:r>
          </w:p>
        </w:tc>
        <w:tc>
          <w:tcPr>
            <w:tcW w:w="30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320" w:type="dxa"/>
            <w:vAlign w:val="bottom"/>
            <w:shd w:val="clear" w:color="auto" w:fill="CFF0FC"/>
          </w:tcPr>
          <w:p>
            <w:pPr>
              <w:ind w:left="12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Deferred compensation liabilities (3)</w:t>
            </w: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(21.3 )</w:t>
            </w:r>
          </w:p>
        </w:tc>
        <w:tc>
          <w:tcPr>
            <w:tcW w:w="120" w:type="dxa"/>
            <w:vAlign w:val="bottom"/>
          </w:tcPr>
          <w:p>
            <w:pPr>
              <w:spacing w:after="0"/>
              <w:rPr>
                <w:sz w:val="18"/>
                <w:szCs w:val="18"/>
                <w:color w:val="auto"/>
              </w:rPr>
            </w:pPr>
          </w:p>
        </w:tc>
        <w:tc>
          <w:tcPr>
            <w:tcW w:w="1640" w:type="dxa"/>
            <w:vAlign w:val="bottom"/>
            <w:gridSpan w:val="3"/>
          </w:tcPr>
          <w:p>
            <w:pPr>
              <w:jc w:val="right"/>
              <w:ind w:right="240"/>
              <w:spacing w:after="0"/>
              <w:rPr>
                <w:sz w:val="20"/>
                <w:szCs w:val="20"/>
                <w:color w:val="auto"/>
              </w:rPr>
            </w:pPr>
            <w:r>
              <w:rPr>
                <w:rFonts w:ascii="Arial" w:cs="Arial" w:eastAsia="Arial" w:hAnsi="Arial"/>
                <w:sz w:val="18"/>
                <w:szCs w:val="18"/>
                <w:color w:val="auto"/>
              </w:rPr>
              <w:t>(21.3 )</w:t>
            </w:r>
          </w:p>
        </w:tc>
        <w:tc>
          <w:tcPr>
            <w:tcW w:w="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gridSpan w:val="2"/>
          </w:tcPr>
          <w:p>
            <w:pPr>
              <w:ind w:left="20"/>
              <w:spacing w:after="0"/>
              <w:rPr>
                <w:sz w:val="20"/>
                <w:szCs w:val="20"/>
                <w:color w:val="auto"/>
              </w:rPr>
            </w:pPr>
            <w:r>
              <w:rPr>
                <w:rFonts w:ascii="Arial" w:cs="Arial" w:eastAsia="Arial" w:hAnsi="Arial"/>
                <w:sz w:val="18"/>
                <w:szCs w:val="18"/>
                <w:color w:val="auto"/>
                <w:w w:val="99"/>
              </w:rPr>
              <w:t>—</w:t>
            </w: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20" w:type="dxa"/>
            <w:vAlign w:val="bottom"/>
          </w:tcPr>
          <w:p>
            <w:pPr>
              <w:ind w:left="12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24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18"/>
                <w:szCs w:val="18"/>
                <w:color w:val="auto"/>
              </w:rPr>
              <w:t>Total</w:t>
            </w:r>
          </w:p>
        </w:tc>
        <w:tc>
          <w:tcPr>
            <w:tcW w:w="6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top w:val="single" w:sz="8" w:color="auto"/>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2,012.5</w:t>
            </w:r>
          </w:p>
        </w:tc>
        <w:tc>
          <w:tcPr>
            <w:tcW w:w="3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top w:val="single" w:sz="8" w:color="auto"/>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2,012.5</w:t>
            </w:r>
          </w:p>
        </w:tc>
        <w:tc>
          <w:tcPr>
            <w:tcW w:w="2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1360" w:type="dxa"/>
            <w:vAlign w:val="bottom"/>
            <w:tcBorders>
              <w:top w:val="single" w:sz="8" w:color="auto"/>
              <w:bottom w:val="single" w:sz="8" w:color="auto"/>
            </w:tcBorders>
            <w:gridSpan w:val="2"/>
            <w:shd w:val="clear" w:color="auto" w:fill="CFF0FC"/>
          </w:tcPr>
          <w:p>
            <w:pPr>
              <w:jc w:val="right"/>
              <w:ind w:right="1184"/>
              <w:spacing w:after="0"/>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w w:val="88"/>
              </w:rPr>
              <w:t>—</w:t>
            </w:r>
          </w:p>
        </w:tc>
        <w:tc>
          <w:tcPr>
            <w:tcW w:w="2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1180" w:type="dxa"/>
            <w:vAlign w:val="bottom"/>
            <w:tcBorders>
              <w:top w:val="single" w:sz="8" w:color="auto"/>
              <w:bottom w:val="single" w:sz="8" w:color="auto"/>
            </w:tcBorders>
            <w:shd w:val="clear" w:color="auto" w:fill="CFF0FC"/>
          </w:tcPr>
          <w:p>
            <w:pPr>
              <w:jc w:val="right"/>
              <w:ind w:right="1001"/>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bottom w:val="single" w:sz="8" w:color="auto"/>
            </w:tcBorders>
            <w:shd w:val="clear" w:color="auto" w:fill="CFF0FC"/>
          </w:tcPr>
          <w:p>
            <w:pPr>
              <w:ind w:left="12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3253740</wp:posOffset>
            </wp:positionH>
            <wp:positionV relativeFrom="paragraph">
              <wp:posOffset>-1456690</wp:posOffset>
            </wp:positionV>
            <wp:extent cx="6858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3253740</wp:posOffset>
            </wp:positionH>
            <wp:positionV relativeFrom="paragraph">
              <wp:posOffset>-1439545</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-1456690</wp:posOffset>
            </wp:positionV>
            <wp:extent cx="6858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-1439545</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-1456690</wp:posOffset>
            </wp:positionV>
            <wp:extent cx="5969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-1439545</wp:posOffset>
            </wp:positionV>
            <wp:extent cx="5969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-1456690</wp:posOffset>
            </wp:positionV>
            <wp:extent cx="6032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-1439545</wp:posOffset>
            </wp:positionV>
            <wp:extent cx="6032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3253740</wp:posOffset>
            </wp:positionH>
            <wp:positionV relativeFrom="paragraph">
              <wp:posOffset>-24765</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3253740</wp:posOffset>
            </wp:positionH>
            <wp:positionV relativeFrom="paragraph">
              <wp:posOffset>-7620</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-24765</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-7620</wp:posOffset>
            </wp:positionV>
            <wp:extent cx="685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-24765</wp:posOffset>
            </wp:positionV>
            <wp:extent cx="6032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-7620</wp:posOffset>
            </wp:positionV>
            <wp:extent cx="6032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36" w:lineRule="auto"/>
        <w:rPr>
          <w:sz w:val="20"/>
          <w:szCs w:val="20"/>
          <w:color w:val="auto"/>
        </w:rPr>
      </w:pPr>
      <w:r>
        <w:rPr>
          <w:rFonts w:ascii="Arial" w:cs="Arial" w:eastAsia="Arial" w:hAnsi="Arial"/>
          <w:sz w:val="18"/>
          <w:szCs w:val="18"/>
          <w:color w:val="auto"/>
        </w:rPr>
        <w:t>_____________________________________________________</w:t>
      </w:r>
    </w:p>
    <w:p>
      <w:pPr>
        <w:spacing w:after="0" w:line="1" w:lineRule="exact"/>
        <w:rPr>
          <w:sz w:val="20"/>
          <w:szCs w:val="20"/>
          <w:color w:val="auto"/>
        </w:rPr>
      </w:pPr>
    </w:p>
    <w:p>
      <w:pPr>
        <w:ind w:left="380" w:hanging="372"/>
        <w:spacing w:after="0"/>
        <w:tabs>
          <w:tab w:leader="none" w:pos="380" w:val="left"/>
        </w:tabs>
        <w:numPr>
          <w:ilvl w:val="0"/>
          <w:numId w:val="1"/>
        </w:numPr>
        <w:rPr>
          <w:rFonts w:ascii="Arial" w:cs="Arial" w:eastAsia="Arial" w:hAnsi="Arial"/>
          <w:sz w:val="16"/>
          <w:szCs w:val="16"/>
          <w:color w:val="auto"/>
        </w:rPr>
      </w:pPr>
      <w:r>
        <w:rPr>
          <w:rFonts w:ascii="Arial" w:cs="Arial" w:eastAsia="Arial" w:hAnsi="Arial"/>
          <w:sz w:val="16"/>
          <w:szCs w:val="16"/>
          <w:color w:val="auto"/>
        </w:rPr>
        <w:t>Included in Cash and cash equivalents and Funds receivable and funds held on behalf of clients on the Condensed Consolidated Balance Sheet.</w:t>
      </w:r>
    </w:p>
    <w:p>
      <w:pPr>
        <w:spacing w:after="0" w:line="30" w:lineRule="exact"/>
        <w:rPr>
          <w:rFonts w:ascii="Arial" w:cs="Arial" w:eastAsia="Arial" w:hAnsi="Arial"/>
          <w:sz w:val="16"/>
          <w:szCs w:val="16"/>
          <w:color w:val="auto"/>
        </w:rPr>
      </w:pPr>
    </w:p>
    <w:p>
      <w:pPr>
        <w:ind w:left="380" w:hanging="372"/>
        <w:spacing w:after="0" w:line="236" w:lineRule="auto"/>
        <w:tabs>
          <w:tab w:leader="none" w:pos="38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Included in Investments on the Condensed Consolidated Balance Sheet.</w:t>
      </w:r>
    </w:p>
    <w:p>
      <w:pPr>
        <w:ind w:left="380" w:hanging="372"/>
        <w:spacing w:after="0"/>
        <w:tabs>
          <w:tab w:leader="none" w:pos="38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Included in Other long-term liabilities on the Condensed Consolidated Balance Sheet.</w:t>
      </w:r>
    </w:p>
    <w:p>
      <w:pPr>
        <w:spacing w:after="0" w:line="169" w:lineRule="exact"/>
        <w:rPr>
          <w:sz w:val="20"/>
          <w:szCs w:val="20"/>
          <w:color w:val="auto"/>
        </w:rPr>
      </w:pPr>
    </w:p>
    <w:p>
      <w:pPr>
        <w:ind w:firstLine="562"/>
        <w:spacing w:after="0" w:line="245" w:lineRule="auto"/>
        <w:rPr>
          <w:sz w:val="20"/>
          <w:szCs w:val="20"/>
          <w:color w:val="auto"/>
        </w:rPr>
      </w:pPr>
      <w:r>
        <w:rPr>
          <w:rFonts w:ascii="Arial" w:cs="Arial" w:eastAsia="Arial" w:hAnsi="Arial"/>
          <w:sz w:val="18"/>
          <w:szCs w:val="18"/>
          <w:color w:val="auto"/>
        </w:rPr>
        <w:t>We have partnership interests in various private equity funds that are not included in the tables above. Our investments in private equity funds were $15.8 million and $15.5 million at September 30, 2022 and December 31, 2021, respectively, of which $11.6 million and $12.7 million, respectively, were measured using net asset value as a practical expedient for fair value and $4.2 million and $2.8 million, respectively, were accounted for under the equity method of accounting. The investments in private equity funds represent underlying investments in domestic and international markets across various industry sectors.</w:t>
      </w:r>
    </w:p>
    <w:p>
      <w:pPr>
        <w:spacing w:after="0" w:line="78" w:lineRule="exact"/>
        <w:rPr>
          <w:sz w:val="20"/>
          <w:szCs w:val="20"/>
          <w:color w:val="auto"/>
        </w:rPr>
      </w:pPr>
    </w:p>
    <w:p>
      <w:pPr>
        <w:jc w:val="both"/>
        <w:ind w:right="340" w:firstLine="569"/>
        <w:spacing w:after="0" w:line="256" w:lineRule="auto"/>
        <w:rPr>
          <w:sz w:val="20"/>
          <w:szCs w:val="20"/>
          <w:color w:val="auto"/>
        </w:rPr>
      </w:pPr>
      <w:r>
        <w:rPr>
          <w:rFonts w:ascii="Arial" w:cs="Arial" w:eastAsia="Arial" w:hAnsi="Arial"/>
          <w:sz w:val="18"/>
          <w:szCs w:val="18"/>
          <w:color w:val="auto"/>
        </w:rPr>
        <w:t>Generally, our investments in private equity funds are non-transferable or are subject to long holding periods, and withdrawals from the private equity firm partnerships are typically not permitted. The maximum risk of loss related to our private equity fund investments is limited to the carrying value of its investments in the entities.</w:t>
      </w:r>
    </w:p>
    <w:p>
      <w:pPr>
        <w:spacing w:after="0" w:line="67" w:lineRule="exact"/>
        <w:rPr>
          <w:sz w:val="20"/>
          <w:szCs w:val="20"/>
          <w:color w:val="auto"/>
        </w:rPr>
      </w:pPr>
    </w:p>
    <w:p>
      <w:pPr>
        <w:ind w:right="220" w:firstLine="569"/>
        <w:spacing w:after="0" w:line="303" w:lineRule="auto"/>
        <w:rPr>
          <w:sz w:val="20"/>
          <w:szCs w:val="20"/>
          <w:color w:val="auto"/>
        </w:rPr>
      </w:pPr>
      <w:r>
        <w:rPr>
          <w:rFonts w:ascii="Arial" w:cs="Arial" w:eastAsia="Arial" w:hAnsi="Arial"/>
          <w:sz w:val="16"/>
          <w:szCs w:val="16"/>
          <w:color w:val="auto"/>
        </w:rPr>
        <w:t>We add new investment products such as mutual funds and exchange traded funds, through our subsidiary, ALPS Advisors, from time to time by providing the initial cash investments as seed capital. We consolidate seed capital investments when our ownership percentage exceeds 50%. Shares in those investments not owned by us are reflected as a redeemable noncontrolling interest on the condensed consolidated balance sheet.</w:t>
      </w: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8" w:right="35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Note 4—Unconsolidated Affiliates</w:t>
      </w:r>
    </w:p>
    <w:p>
      <w:pPr>
        <w:spacing w:after="0" w:line="12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Investments in unconsolidated affiliates are as follows (in millions):</w:t>
      </w:r>
    </w:p>
    <w:p>
      <w:pPr>
        <w:spacing w:after="0" w:line="109"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4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4"/>
          </w:tcPr>
          <w:p>
            <w:pPr>
              <w:jc w:val="right"/>
              <w:ind w:right="437"/>
              <w:spacing w:after="0"/>
              <w:rPr>
                <w:sz w:val="20"/>
                <w:szCs w:val="20"/>
                <w:color w:val="auto"/>
              </w:rPr>
            </w:pPr>
            <w:r>
              <w:rPr>
                <w:rFonts w:ascii="Arial" w:cs="Arial" w:eastAsia="Arial" w:hAnsi="Arial"/>
                <w:sz w:val="14"/>
                <w:szCs w:val="14"/>
                <w:b w:val="1"/>
                <w:bCs w:val="1"/>
                <w:color w:val="auto"/>
              </w:rPr>
              <w:t>September 30, 2022</w:t>
            </w:r>
          </w:p>
        </w:tc>
        <w:tc>
          <w:tcPr>
            <w:tcW w:w="2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4"/>
          </w:tcPr>
          <w:p>
            <w:pPr>
              <w:jc w:val="center"/>
              <w:ind w:right="35"/>
              <w:spacing w:after="0"/>
              <w:rPr>
                <w:sz w:val="20"/>
                <w:szCs w:val="20"/>
                <w:color w:val="auto"/>
              </w:rPr>
            </w:pPr>
            <w:r>
              <w:rPr>
                <w:rFonts w:ascii="Arial" w:cs="Arial" w:eastAsia="Arial" w:hAnsi="Arial"/>
                <w:sz w:val="14"/>
                <w:szCs w:val="14"/>
                <w:b w:val="1"/>
                <w:bCs w:val="1"/>
                <w:color w:val="auto"/>
                <w:w w:val="91"/>
              </w:rPr>
              <w:t>December 31, 2021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4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gridSpan w:val="2"/>
          </w:tcPr>
          <w:p>
            <w:pPr>
              <w:jc w:val="center"/>
              <w:spacing w:after="0" w:line="133" w:lineRule="exact"/>
              <w:rPr>
                <w:sz w:val="20"/>
                <w:szCs w:val="20"/>
                <w:color w:val="auto"/>
              </w:rPr>
            </w:pPr>
            <w:r>
              <w:rPr>
                <w:rFonts w:ascii="Arial" w:cs="Arial" w:eastAsia="Arial" w:hAnsi="Arial"/>
                <w:sz w:val="14"/>
                <w:szCs w:val="14"/>
                <w:b w:val="1"/>
                <w:bCs w:val="1"/>
                <w:color w:val="auto"/>
                <w:w w:val="89"/>
              </w:rPr>
              <w:t>Excess carrying</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89"/>
              </w:rPr>
              <w:t>Excess carrying</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center"/>
              <w:ind w:right="57"/>
              <w:spacing w:after="0" w:line="149" w:lineRule="exact"/>
              <w:rPr>
                <w:sz w:val="20"/>
                <w:szCs w:val="20"/>
                <w:color w:val="auto"/>
              </w:rPr>
            </w:pPr>
            <w:r>
              <w:rPr>
                <w:rFonts w:ascii="Arial" w:cs="Arial" w:eastAsia="Arial" w:hAnsi="Arial"/>
                <w:sz w:val="14"/>
                <w:szCs w:val="14"/>
                <w:b w:val="1"/>
                <w:bCs w:val="1"/>
                <w:color w:val="auto"/>
                <w:w w:val="90"/>
              </w:rPr>
              <w:t>value of</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investment over</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jc w:val="center"/>
              <w:ind w:right="75"/>
              <w:spacing w:after="0" w:line="149" w:lineRule="exact"/>
              <w:rPr>
                <w:sz w:val="20"/>
                <w:szCs w:val="20"/>
                <w:color w:val="auto"/>
              </w:rPr>
            </w:pPr>
            <w:r>
              <w:rPr>
                <w:rFonts w:ascii="Arial" w:cs="Arial" w:eastAsia="Arial" w:hAnsi="Arial"/>
                <w:sz w:val="14"/>
                <w:szCs w:val="14"/>
                <w:b w:val="1"/>
                <w:bCs w:val="1"/>
                <w:color w:val="auto"/>
                <w:w w:val="90"/>
              </w:rPr>
              <w:t>value of</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080" w:type="dxa"/>
            <w:vAlign w:val="bottom"/>
          </w:tcPr>
          <w:p>
            <w:pPr>
              <w:spacing w:after="0"/>
              <w:rPr>
                <w:sz w:val="14"/>
                <w:szCs w:val="14"/>
                <w:color w:val="auto"/>
              </w:rPr>
            </w:pPr>
          </w:p>
        </w:tc>
        <w:tc>
          <w:tcPr>
            <w:tcW w:w="122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Ownership</w:t>
            </w:r>
          </w:p>
        </w:tc>
        <w:tc>
          <w:tcPr>
            <w:tcW w:w="140" w:type="dxa"/>
            <w:vAlign w:val="bottom"/>
          </w:tcPr>
          <w:p>
            <w:pPr>
              <w:spacing w:after="0"/>
              <w:rPr>
                <w:sz w:val="14"/>
                <w:szCs w:val="14"/>
                <w:color w:val="auto"/>
              </w:rPr>
            </w:pPr>
          </w:p>
        </w:tc>
        <w:tc>
          <w:tcPr>
            <w:tcW w:w="820" w:type="dxa"/>
            <w:vAlign w:val="bottom"/>
            <w:vMerge w:val="restart"/>
          </w:tcPr>
          <w:p>
            <w:pPr>
              <w:jc w:val="right"/>
              <w:ind w:right="136"/>
              <w:spacing w:after="0"/>
              <w:rPr>
                <w:sz w:val="20"/>
                <w:szCs w:val="20"/>
                <w:color w:val="auto"/>
              </w:rPr>
            </w:pPr>
            <w:r>
              <w:rPr>
                <w:rFonts w:ascii="Arial" w:cs="Arial" w:eastAsia="Arial" w:hAnsi="Arial"/>
                <w:sz w:val="14"/>
                <w:szCs w:val="14"/>
                <w:b w:val="1"/>
                <w:bCs w:val="1"/>
                <w:color w:val="auto"/>
              </w:rPr>
              <w:t>Carrying</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center"/>
              <w:ind w:right="37"/>
              <w:spacing w:after="0"/>
              <w:rPr>
                <w:sz w:val="20"/>
                <w:szCs w:val="20"/>
                <w:color w:val="auto"/>
              </w:rPr>
            </w:pPr>
            <w:r>
              <w:rPr>
                <w:rFonts w:ascii="Arial" w:cs="Arial" w:eastAsia="Arial" w:hAnsi="Arial"/>
                <w:sz w:val="14"/>
                <w:szCs w:val="14"/>
                <w:b w:val="1"/>
                <w:bCs w:val="1"/>
                <w:color w:val="auto"/>
                <w:w w:val="94"/>
              </w:rPr>
              <w:t>proportionate</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vMerge w:val="restart"/>
          </w:tcPr>
          <w:p>
            <w:pPr>
              <w:jc w:val="right"/>
              <w:ind w:right="96"/>
              <w:spacing w:after="0"/>
              <w:rPr>
                <w:sz w:val="20"/>
                <w:szCs w:val="20"/>
                <w:color w:val="auto"/>
              </w:rPr>
            </w:pPr>
            <w:r>
              <w:rPr>
                <w:rFonts w:ascii="Arial" w:cs="Arial" w:eastAsia="Arial" w:hAnsi="Arial"/>
                <w:sz w:val="14"/>
                <w:szCs w:val="14"/>
                <w:b w:val="1"/>
                <w:bCs w:val="1"/>
                <w:color w:val="auto"/>
                <w:w w:val="97"/>
              </w:rPr>
              <w:t>Carrying</w:t>
            </w:r>
          </w:p>
        </w:tc>
        <w:tc>
          <w:tcPr>
            <w:tcW w:w="200" w:type="dxa"/>
            <w:vAlign w:val="bottom"/>
          </w:tcPr>
          <w:p>
            <w:pPr>
              <w:spacing w:after="0"/>
              <w:rPr>
                <w:sz w:val="14"/>
                <w:szCs w:val="14"/>
                <w:color w:val="auto"/>
              </w:rPr>
            </w:pPr>
          </w:p>
        </w:tc>
        <w:tc>
          <w:tcPr>
            <w:tcW w:w="11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investment over</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08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center"/>
              <w:ind w:right="57"/>
              <w:spacing w:after="0" w:line="149" w:lineRule="exact"/>
              <w:rPr>
                <w:sz w:val="20"/>
                <w:szCs w:val="20"/>
                <w:color w:val="auto"/>
              </w:rPr>
            </w:pPr>
            <w:r>
              <w:rPr>
                <w:rFonts w:ascii="Arial" w:cs="Arial" w:eastAsia="Arial" w:hAnsi="Arial"/>
                <w:sz w:val="14"/>
                <w:szCs w:val="14"/>
                <w:b w:val="1"/>
                <w:bCs w:val="1"/>
                <w:color w:val="auto"/>
                <w:w w:val="90"/>
              </w:rPr>
              <w:t>share of net</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jc w:val="center"/>
              <w:ind w:right="75"/>
              <w:spacing w:after="0" w:line="149" w:lineRule="exact"/>
              <w:rPr>
                <w:sz w:val="20"/>
                <w:szCs w:val="20"/>
                <w:color w:val="auto"/>
              </w:rPr>
            </w:pPr>
            <w:r>
              <w:rPr>
                <w:rFonts w:ascii="Arial" w:cs="Arial" w:eastAsia="Arial" w:hAnsi="Arial"/>
                <w:sz w:val="14"/>
                <w:szCs w:val="14"/>
                <w:b w:val="1"/>
                <w:bCs w:val="1"/>
                <w:color w:val="auto"/>
                <w:w w:val="92"/>
              </w:rPr>
              <w:t>proportionate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4080" w:type="dxa"/>
            <w:vAlign w:val="bottom"/>
          </w:tcPr>
          <w:p>
            <w:pPr>
              <w:spacing w:after="0"/>
              <w:rPr>
                <w:sz w:val="16"/>
                <w:szCs w:val="16"/>
                <w:color w:val="auto"/>
              </w:rPr>
            </w:pPr>
          </w:p>
        </w:tc>
        <w:tc>
          <w:tcPr>
            <w:tcW w:w="1220" w:type="dxa"/>
            <w:vAlign w:val="bottom"/>
            <w:gridSpan w:val="2"/>
          </w:tcPr>
          <w:p>
            <w:pPr>
              <w:ind w:left="200"/>
              <w:spacing w:after="0"/>
              <w:rPr>
                <w:sz w:val="20"/>
                <w:szCs w:val="20"/>
                <w:color w:val="auto"/>
              </w:rPr>
            </w:pPr>
            <w:r>
              <w:rPr>
                <w:rFonts w:ascii="Arial" w:cs="Arial" w:eastAsia="Arial" w:hAnsi="Arial"/>
                <w:sz w:val="14"/>
                <w:szCs w:val="14"/>
                <w:b w:val="1"/>
                <w:bCs w:val="1"/>
                <w:color w:val="auto"/>
              </w:rPr>
              <w:t>Percentage</w:t>
            </w:r>
          </w:p>
        </w:tc>
        <w:tc>
          <w:tcPr>
            <w:tcW w:w="140" w:type="dxa"/>
            <w:vAlign w:val="bottom"/>
          </w:tcPr>
          <w:p>
            <w:pPr>
              <w:spacing w:after="0"/>
              <w:rPr>
                <w:sz w:val="16"/>
                <w:szCs w:val="16"/>
                <w:color w:val="auto"/>
              </w:rPr>
            </w:pPr>
          </w:p>
        </w:tc>
        <w:tc>
          <w:tcPr>
            <w:tcW w:w="820" w:type="dxa"/>
            <w:vAlign w:val="bottom"/>
          </w:tcPr>
          <w:p>
            <w:pPr>
              <w:jc w:val="right"/>
              <w:ind w:right="216"/>
              <w:spacing w:after="0"/>
              <w:rPr>
                <w:sz w:val="20"/>
                <w:szCs w:val="20"/>
                <w:color w:val="auto"/>
              </w:rPr>
            </w:pPr>
            <w:r>
              <w:rPr>
                <w:rFonts w:ascii="Arial" w:cs="Arial" w:eastAsia="Arial" w:hAnsi="Arial"/>
                <w:sz w:val="14"/>
                <w:szCs w:val="14"/>
                <w:b w:val="1"/>
                <w:bCs w:val="1"/>
                <w:color w:val="auto"/>
              </w:rPr>
              <w:t>Value</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center"/>
              <w:ind w:right="17"/>
              <w:spacing w:after="0"/>
              <w:rPr>
                <w:sz w:val="20"/>
                <w:szCs w:val="20"/>
                <w:color w:val="auto"/>
              </w:rPr>
            </w:pPr>
            <w:r>
              <w:rPr>
                <w:rFonts w:ascii="Arial" w:cs="Arial" w:eastAsia="Arial" w:hAnsi="Arial"/>
                <w:sz w:val="14"/>
                <w:szCs w:val="14"/>
                <w:b w:val="1"/>
                <w:bCs w:val="1"/>
                <w:color w:val="auto"/>
                <w:w w:val="82"/>
              </w:rPr>
              <w:t>assets</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ind w:right="176"/>
              <w:spacing w:after="0"/>
              <w:rPr>
                <w:sz w:val="20"/>
                <w:szCs w:val="20"/>
                <w:color w:val="auto"/>
              </w:rPr>
            </w:pPr>
            <w:r>
              <w:rPr>
                <w:rFonts w:ascii="Arial" w:cs="Arial" w:eastAsia="Arial" w:hAnsi="Arial"/>
                <w:sz w:val="14"/>
                <w:szCs w:val="14"/>
                <w:b w:val="1"/>
                <w:bCs w:val="1"/>
                <w:color w:val="auto"/>
              </w:rPr>
              <w:t>Value</w:t>
            </w:r>
          </w:p>
        </w:tc>
        <w:tc>
          <w:tcPr>
            <w:tcW w:w="200" w:type="dxa"/>
            <w:vAlign w:val="bottom"/>
          </w:tcPr>
          <w:p>
            <w:pPr>
              <w:spacing w:after="0"/>
              <w:rPr>
                <w:sz w:val="16"/>
                <w:szCs w:val="16"/>
                <w:color w:val="auto"/>
              </w:rPr>
            </w:pPr>
          </w:p>
        </w:tc>
        <w:tc>
          <w:tcPr>
            <w:tcW w:w="11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share of net assets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080" w:type="dxa"/>
            <w:vAlign w:val="bottom"/>
            <w:shd w:val="clear" w:color="auto" w:fill="CFF0FC"/>
          </w:tcPr>
          <w:p>
            <w:pPr>
              <w:spacing w:after="0"/>
              <w:rPr>
                <w:sz w:val="20"/>
                <w:szCs w:val="20"/>
                <w:color w:val="auto"/>
              </w:rPr>
            </w:pPr>
            <w:r>
              <w:rPr>
                <w:rFonts w:ascii="Arial" w:cs="Arial" w:eastAsia="Arial" w:hAnsi="Arial"/>
                <w:sz w:val="18"/>
                <w:szCs w:val="18"/>
                <w:color w:val="auto"/>
              </w:rPr>
              <w:t>Orbit Private Investments L.P.</w:t>
            </w:r>
          </w:p>
        </w:tc>
        <w:tc>
          <w:tcPr>
            <w:tcW w:w="11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2"/>
              </w:rPr>
              <w:t>9.8%</w:t>
            </w:r>
          </w:p>
        </w:tc>
        <w:tc>
          <w:tcPr>
            <w:tcW w:w="12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86.0</w:t>
            </w:r>
          </w:p>
        </w:tc>
        <w:tc>
          <w:tcPr>
            <w:tcW w:w="22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86.0</w:t>
            </w:r>
          </w:p>
        </w:tc>
        <w:tc>
          <w:tcPr>
            <w:tcW w:w="20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International Financial Data Services L.P.</w:t>
            </w:r>
          </w:p>
        </w:tc>
        <w:tc>
          <w:tcPr>
            <w:tcW w:w="1100" w:type="dxa"/>
            <w:vAlign w:val="bottom"/>
          </w:tcPr>
          <w:p>
            <w:pPr>
              <w:jc w:val="center"/>
              <w:spacing w:after="0"/>
              <w:rPr>
                <w:sz w:val="20"/>
                <w:szCs w:val="20"/>
                <w:color w:val="auto"/>
              </w:rPr>
            </w:pPr>
            <w:r>
              <w:rPr>
                <w:rFonts w:ascii="Arial" w:cs="Arial" w:eastAsia="Arial" w:hAnsi="Arial"/>
                <w:sz w:val="18"/>
                <w:szCs w:val="18"/>
                <w:color w:val="auto"/>
                <w:w w:val="90"/>
              </w:rPr>
              <w:t>50.0%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83.1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35.6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87.8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38.2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FF0FC"/>
          </w:tcPr>
          <w:p>
            <w:pPr>
              <w:spacing w:after="0"/>
              <w:rPr>
                <w:sz w:val="20"/>
                <w:szCs w:val="20"/>
                <w:color w:val="auto"/>
              </w:rPr>
            </w:pPr>
            <w:r>
              <w:rPr>
                <w:rFonts w:ascii="Arial" w:cs="Arial" w:eastAsia="Arial" w:hAnsi="Arial"/>
                <w:sz w:val="18"/>
                <w:szCs w:val="18"/>
                <w:color w:val="auto"/>
              </w:rPr>
              <w:t>Pershing Road Development Company, LLC</w:t>
            </w:r>
          </w:p>
        </w:tc>
        <w:tc>
          <w:tcPr>
            <w:tcW w:w="11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50.0%</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58.5</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74.0</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Broadway Square Partners, LLP</w:t>
            </w:r>
          </w:p>
        </w:tc>
        <w:tc>
          <w:tcPr>
            <w:tcW w:w="1100" w:type="dxa"/>
            <w:vAlign w:val="bottom"/>
          </w:tcPr>
          <w:p>
            <w:pPr>
              <w:jc w:val="center"/>
              <w:spacing w:after="0"/>
              <w:rPr>
                <w:sz w:val="20"/>
                <w:szCs w:val="20"/>
                <w:color w:val="auto"/>
              </w:rPr>
            </w:pPr>
            <w:r>
              <w:rPr>
                <w:rFonts w:ascii="Arial" w:cs="Arial" w:eastAsia="Arial" w:hAnsi="Arial"/>
                <w:sz w:val="18"/>
                <w:szCs w:val="18"/>
                <w:color w:val="auto"/>
                <w:w w:val="90"/>
              </w:rPr>
              <w:t>50.0%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54.0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30.6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54.3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Other unconsolidated affiliates</w:t>
            </w:r>
          </w:p>
        </w:tc>
        <w:tc>
          <w:tcPr>
            <w:tcW w:w="11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2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2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80" w:type="dxa"/>
            <w:vAlign w:val="bottom"/>
          </w:tcPr>
          <w:p>
            <w:pPr>
              <w:ind w:left="100"/>
              <w:spacing w:after="0"/>
              <w:rPr>
                <w:sz w:val="20"/>
                <w:szCs w:val="20"/>
                <w:color w:val="auto"/>
              </w:rPr>
            </w:pPr>
            <w:r>
              <w:rPr>
                <w:rFonts w:ascii="Arial" w:cs="Arial" w:eastAsia="Arial" w:hAnsi="Arial"/>
                <w:sz w:val="18"/>
                <w:szCs w:val="18"/>
                <w:color w:val="auto"/>
              </w:rPr>
              <w:t>Total</w:t>
            </w: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236.2</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124.7</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306.1</w:t>
            </w:r>
          </w:p>
        </w:tc>
        <w:tc>
          <w:tcPr>
            <w:tcW w:w="320" w:type="dxa"/>
            <w:vAlign w:val="bottom"/>
            <w:gridSpan w:val="2"/>
          </w:tcPr>
          <w:p>
            <w:pPr>
              <w:jc w:val="center"/>
              <w:ind w:left="1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133.9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4342765</wp:posOffset>
            </wp:positionH>
            <wp:positionV relativeFrom="paragraph">
              <wp:posOffset>-170815</wp:posOffset>
            </wp:positionV>
            <wp:extent cx="68580" cy="17145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-170815</wp:posOffset>
            </wp:positionV>
            <wp:extent cx="60325" cy="17145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0325" cy="171450"/>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-170815</wp:posOffset>
            </wp:positionV>
            <wp:extent cx="59690" cy="17145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9690" cy="17145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-170815</wp:posOffset>
            </wp:positionV>
            <wp:extent cx="60325" cy="17145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0325" cy="171450"/>
                    </a:xfrm>
                    <a:prstGeom prst="rect">
                      <a:avLst/>
                    </a:prstGeom>
                    <a:noFill/>
                  </pic:spPr>
                </pic:pic>
              </a:graphicData>
            </a:graphic>
          </wp:anchor>
        </w:drawing>
      </w:r>
    </w:p>
    <w:p>
      <w:pPr>
        <w:spacing w:after="0" w:line="168" w:lineRule="exact"/>
        <w:rPr>
          <w:sz w:val="20"/>
          <w:szCs w:val="20"/>
          <w:color w:val="auto"/>
        </w:rPr>
      </w:pPr>
    </w:p>
    <w:p>
      <w:pPr>
        <w:ind w:right="120" w:firstLine="562"/>
        <w:spacing w:after="0" w:line="256" w:lineRule="auto"/>
        <w:rPr>
          <w:sz w:val="20"/>
          <w:szCs w:val="20"/>
          <w:color w:val="auto"/>
        </w:rPr>
      </w:pPr>
      <w:r>
        <w:rPr>
          <w:rFonts w:ascii="Arial" w:cs="Arial" w:eastAsia="Arial" w:hAnsi="Arial"/>
          <w:sz w:val="18"/>
          <w:szCs w:val="18"/>
          <w:color w:val="auto"/>
        </w:rPr>
        <w:t>Investments in unconsolidated affiliates are accounted for under the equity method of accounting. We record our proportionate share of the results of the unconsolidated affiliates and amortization expense related to basis differences in Equity in earnings of unconsolidated affiliates, net on the Condensed Consolidated Statements of Comprehensive (Loss) Income.</w:t>
      </w:r>
    </w:p>
    <w:p>
      <w:pPr>
        <w:spacing w:after="0" w:line="67" w:lineRule="exact"/>
        <w:rPr>
          <w:sz w:val="20"/>
          <w:szCs w:val="20"/>
          <w:color w:val="auto"/>
        </w:rPr>
      </w:pPr>
    </w:p>
    <w:p>
      <w:pPr>
        <w:ind w:right="60" w:firstLine="569"/>
        <w:spacing w:after="0" w:line="268" w:lineRule="auto"/>
        <w:rPr>
          <w:sz w:val="20"/>
          <w:szCs w:val="20"/>
          <w:color w:val="auto"/>
        </w:rPr>
      </w:pPr>
      <w:r>
        <w:rPr>
          <w:rFonts w:ascii="Arial" w:cs="Arial" w:eastAsia="Arial" w:hAnsi="Arial"/>
          <w:sz w:val="17"/>
          <w:szCs w:val="17"/>
          <w:color w:val="auto"/>
        </w:rPr>
        <w:t>During the three months ended September 30, 2022, we received a distribution of $64.5 million from our unconsolidated affiliate, Pershing Road Development Company, LLC ("PRDC") which reduced our investment in the affiliate. In addition, the interest rate swap agreement to which PRDC was a party was terminated during the three months ended September 30, 2022. Amounts that had been recorded in Accumulated other comprehensive loss were reclassified to Equity in earnings of unconsolidated affiliates, net as a result of the swap termination.</w:t>
      </w:r>
    </w:p>
    <w:p>
      <w:pPr>
        <w:spacing w:after="0" w:line="16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Equity in earnings of unconsolidated affiliates, net are as follows (in millions):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280" w:type="dxa"/>
            <w:vAlign w:val="bottom"/>
          </w:tcPr>
          <w:p>
            <w:pPr>
              <w:spacing w:after="0"/>
              <w:rPr>
                <w:sz w:val="16"/>
                <w:szCs w:val="16"/>
                <w:color w:val="auto"/>
              </w:rPr>
            </w:pPr>
          </w:p>
        </w:tc>
        <w:tc>
          <w:tcPr>
            <w:tcW w:w="25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32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4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Nine Months Ended September 30,</w:t>
            </w:r>
          </w:p>
        </w:tc>
        <w:tc>
          <w:tcPr>
            <w:tcW w:w="3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09"/>
        </w:trPr>
        <w:tc>
          <w:tcPr>
            <w:tcW w:w="5280" w:type="dxa"/>
            <w:vAlign w:val="bottom"/>
          </w:tcPr>
          <w:p>
            <w:pPr>
              <w:spacing w:after="0"/>
              <w:rPr>
                <w:sz w:val="18"/>
                <w:szCs w:val="18"/>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2022</w:t>
            </w:r>
          </w:p>
        </w:tc>
        <w:tc>
          <w:tcPr>
            <w:tcW w:w="40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2021</w:t>
            </w:r>
          </w:p>
        </w:tc>
        <w:tc>
          <w:tcPr>
            <w:tcW w:w="32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2022</w:t>
            </w:r>
          </w:p>
        </w:tc>
        <w:tc>
          <w:tcPr>
            <w:tcW w:w="38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2021</w:t>
            </w:r>
          </w:p>
        </w:tc>
        <w:tc>
          <w:tcPr>
            <w:tcW w:w="3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5280" w:type="dxa"/>
            <w:vAlign w:val="bottom"/>
          </w:tcPr>
          <w:p>
            <w:pPr>
              <w:ind w:left="20"/>
              <w:spacing w:after="0"/>
              <w:rPr>
                <w:sz w:val="20"/>
                <w:szCs w:val="20"/>
                <w:color w:val="auto"/>
              </w:rPr>
            </w:pPr>
            <w:r>
              <w:rPr>
                <w:rFonts w:ascii="Arial" w:cs="Arial" w:eastAsia="Arial" w:hAnsi="Arial"/>
                <w:sz w:val="18"/>
                <w:szCs w:val="18"/>
                <w:color w:val="auto"/>
              </w:rPr>
              <w:t>International Financial Data Services L.P.</w:t>
            </w:r>
          </w:p>
        </w:tc>
        <w:tc>
          <w:tcPr>
            <w:tcW w:w="880" w:type="dxa"/>
            <w:vAlign w:val="bottom"/>
          </w:tcPr>
          <w:p>
            <w:pPr>
              <w:jc w:val="right"/>
              <w:ind w:right="699"/>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(0.6</w:t>
            </w:r>
          </w:p>
        </w:tc>
        <w:tc>
          <w:tcPr>
            <w:tcW w:w="28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796"/>
              <w:spacing w:after="0"/>
              <w:rPr>
                <w:sz w:val="20"/>
                <w:szCs w:val="20"/>
                <w:color w:val="auto"/>
              </w:rPr>
            </w:pPr>
            <w:r>
              <w:rPr>
                <w:rFonts w:ascii="Arial" w:cs="Arial" w:eastAsia="Arial" w:hAnsi="Arial"/>
                <w:sz w:val="18"/>
                <w:szCs w:val="18"/>
                <w:color w:val="auto"/>
                <w:w w:val="79"/>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90"/>
              </w:rPr>
              <w:t>(0.4</w:t>
            </w:r>
          </w:p>
        </w:tc>
        <w:tc>
          <w:tcPr>
            <w:tcW w:w="240" w:type="dxa"/>
            <w:vAlign w:val="bottom"/>
          </w:tcPr>
          <w:p>
            <w:pPr>
              <w:jc w:val="right"/>
              <w:ind w:right="101"/>
              <w:spacing w:after="0"/>
              <w:rPr>
                <w:sz w:val="20"/>
                <w:szCs w:val="20"/>
                <w:color w:val="auto"/>
              </w:rPr>
            </w:pPr>
            <w:r>
              <w:rPr>
                <w:rFonts w:ascii="Arial" w:cs="Arial" w:eastAsia="Arial" w:hAnsi="Arial"/>
                <w:sz w:val="16"/>
                <w:szCs w:val="16"/>
                <w:color w:val="auto"/>
                <w:w w:val="74"/>
              </w:rPr>
              <w:t>)</w:t>
            </w:r>
          </w:p>
        </w:tc>
        <w:tc>
          <w:tcPr>
            <w:tcW w:w="880" w:type="dxa"/>
            <w:vAlign w:val="bottom"/>
          </w:tcPr>
          <w:p>
            <w:pPr>
              <w:jc w:val="right"/>
              <w:ind w:right="699"/>
              <w:spacing w:after="0"/>
              <w:rPr>
                <w:sz w:val="20"/>
                <w:szCs w:val="20"/>
                <w:color w:val="auto"/>
              </w:rPr>
            </w:pPr>
            <w:r>
              <w:rPr>
                <w:rFonts w:ascii="Arial" w:cs="Arial" w:eastAsia="Arial" w:hAnsi="Arial"/>
                <w:sz w:val="18"/>
                <w:szCs w:val="18"/>
                <w:color w:val="auto"/>
                <w:w w:val="79"/>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0.6</w:t>
            </w:r>
          </w:p>
        </w:tc>
        <w:tc>
          <w:tcPr>
            <w:tcW w:w="220" w:type="dxa"/>
            <w:vAlign w:val="bottom"/>
          </w:tcPr>
          <w:p>
            <w:pPr>
              <w:spacing w:after="0"/>
              <w:rPr>
                <w:sz w:val="19"/>
                <w:szCs w:val="19"/>
                <w:color w:val="auto"/>
              </w:rPr>
            </w:pPr>
          </w:p>
        </w:tc>
        <w:tc>
          <w:tcPr>
            <w:tcW w:w="980" w:type="dxa"/>
            <w:vAlign w:val="bottom"/>
          </w:tcPr>
          <w:p>
            <w:pPr>
              <w:jc w:val="right"/>
              <w:ind w:right="796"/>
              <w:spacing w:after="0"/>
              <w:rPr>
                <w:sz w:val="20"/>
                <w:szCs w:val="20"/>
                <w:color w:val="auto"/>
              </w:rPr>
            </w:pPr>
            <w:r>
              <w:rPr>
                <w:rFonts w:ascii="Arial" w:cs="Arial" w:eastAsia="Arial" w:hAnsi="Arial"/>
                <w:sz w:val="18"/>
                <w:szCs w:val="18"/>
                <w:color w:val="auto"/>
                <w:w w:val="79"/>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r>
      <w:tr>
        <w:trPr>
          <w:trHeight w:val="230"/>
        </w:trPr>
        <w:tc>
          <w:tcPr>
            <w:tcW w:w="5280" w:type="dxa"/>
            <w:vAlign w:val="bottom"/>
            <w:shd w:val="clear" w:color="auto" w:fill="CFF0FC"/>
          </w:tcPr>
          <w:p>
            <w:pPr>
              <w:ind w:left="20"/>
              <w:spacing w:after="0"/>
              <w:rPr>
                <w:sz w:val="20"/>
                <w:szCs w:val="20"/>
                <w:color w:val="auto"/>
              </w:rPr>
            </w:pPr>
            <w:r>
              <w:rPr>
                <w:rFonts w:ascii="Arial" w:cs="Arial" w:eastAsia="Arial" w:hAnsi="Arial"/>
                <w:sz w:val="18"/>
                <w:szCs w:val="18"/>
                <w:color w:val="auto"/>
              </w:rPr>
              <w:t>Pershing Road Development Company, LLC</w:t>
            </w:r>
          </w:p>
        </w:tc>
        <w:tc>
          <w:tcPr>
            <w:tcW w:w="88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(5.2 )</w:t>
            </w:r>
          </w:p>
        </w:tc>
        <w:tc>
          <w:tcPr>
            <w:tcW w:w="980" w:type="dxa"/>
            <w:vAlign w:val="bottom"/>
            <w:shd w:val="clear" w:color="auto" w:fill="CFF0FC"/>
          </w:tcPr>
          <w:p>
            <w:pPr>
              <w:spacing w:after="0"/>
              <w:rPr>
                <w:sz w:val="19"/>
                <w:szCs w:val="19"/>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(5.1 )</w:t>
            </w:r>
          </w:p>
        </w:tc>
        <w:tc>
          <w:tcPr>
            <w:tcW w:w="980" w:type="dxa"/>
            <w:vAlign w:val="bottom"/>
            <w:shd w:val="clear" w:color="auto" w:fill="CFF0FC"/>
          </w:tcPr>
          <w:p>
            <w:pPr>
              <w:spacing w:after="0"/>
              <w:rPr>
                <w:sz w:val="19"/>
                <w:szCs w:val="19"/>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FF0FC"/>
          </w:tcPr>
          <w:p>
            <w:pPr>
              <w:spacing w:after="0"/>
              <w:rPr>
                <w:sz w:val="19"/>
                <w:szCs w:val="19"/>
                <w:color w:val="auto"/>
              </w:rPr>
            </w:pPr>
          </w:p>
        </w:tc>
      </w:tr>
      <w:tr>
        <w:trPr>
          <w:trHeight w:val="229"/>
        </w:trPr>
        <w:tc>
          <w:tcPr>
            <w:tcW w:w="5280" w:type="dxa"/>
            <w:vAlign w:val="bottom"/>
          </w:tcPr>
          <w:p>
            <w:pPr>
              <w:ind w:left="20"/>
              <w:spacing w:after="0"/>
              <w:rPr>
                <w:sz w:val="20"/>
                <w:szCs w:val="20"/>
                <w:color w:val="auto"/>
              </w:rPr>
            </w:pPr>
            <w:r>
              <w:rPr>
                <w:rFonts w:ascii="Arial" w:cs="Arial" w:eastAsia="Arial" w:hAnsi="Arial"/>
                <w:sz w:val="18"/>
                <w:szCs w:val="18"/>
                <w:color w:val="auto"/>
              </w:rPr>
              <w:t>Broadway Square Partners, LLP</w:t>
            </w:r>
          </w:p>
        </w:tc>
        <w:tc>
          <w:tcPr>
            <w:tcW w:w="88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0.7</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0.3</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1.9</w:t>
            </w: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r>
      <w:tr>
        <w:trPr>
          <w:trHeight w:val="216"/>
        </w:trPr>
        <w:tc>
          <w:tcPr>
            <w:tcW w:w="528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unconsolidated affiliates</w:t>
            </w:r>
          </w:p>
        </w:tc>
        <w:tc>
          <w:tcPr>
            <w:tcW w:w="880" w:type="dxa"/>
            <w:vAlign w:val="bottom"/>
            <w:shd w:val="clear" w:color="auto" w:fill="CFF0FC"/>
          </w:tcPr>
          <w:p>
            <w:pPr>
              <w:spacing w:after="0"/>
              <w:rPr>
                <w:sz w:val="18"/>
                <w:szCs w:val="18"/>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6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(0.1 )</w:t>
            </w:r>
          </w:p>
        </w:tc>
        <w:tc>
          <w:tcPr>
            <w:tcW w:w="980" w:type="dxa"/>
            <w:vAlign w:val="bottom"/>
            <w:shd w:val="clear" w:color="auto" w:fill="CFF0FC"/>
          </w:tcPr>
          <w:p>
            <w:pPr>
              <w:spacing w:after="0"/>
              <w:rPr>
                <w:sz w:val="18"/>
                <w:szCs w:val="18"/>
                <w:color w:val="auto"/>
              </w:rPr>
            </w:pPr>
          </w:p>
        </w:tc>
        <w:tc>
          <w:tcPr>
            <w:tcW w:w="4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w w:val="80"/>
              </w:rPr>
              <w:t>(3.1 )</w:t>
            </w:r>
          </w:p>
        </w:tc>
      </w:tr>
      <w:tr>
        <w:trPr>
          <w:trHeight w:val="20"/>
        </w:trPr>
        <w:tc>
          <w:tcPr>
            <w:tcW w:w="528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5280" w:type="dxa"/>
            <w:vAlign w:val="bottom"/>
          </w:tcPr>
          <w:p>
            <w:pPr>
              <w:ind w:left="120"/>
              <w:spacing w:after="0"/>
              <w:rPr>
                <w:sz w:val="20"/>
                <w:szCs w:val="20"/>
                <w:color w:val="auto"/>
              </w:rPr>
            </w:pPr>
            <w:r>
              <w:rPr>
                <w:rFonts w:ascii="Arial" w:cs="Arial" w:eastAsia="Arial" w:hAnsi="Arial"/>
                <w:sz w:val="18"/>
                <w:szCs w:val="18"/>
                <w:color w:val="auto"/>
              </w:rPr>
              <w:t>Total</w:t>
            </w:r>
          </w:p>
        </w:tc>
        <w:tc>
          <w:tcPr>
            <w:tcW w:w="880" w:type="dxa"/>
            <w:vAlign w:val="bottom"/>
          </w:tcPr>
          <w:p>
            <w:pPr>
              <w:jc w:val="right"/>
              <w:ind w:right="699"/>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110"/>
              <w:spacing w:after="0"/>
              <w:rPr>
                <w:sz w:val="20"/>
                <w:szCs w:val="20"/>
                <w:color w:val="auto"/>
              </w:rPr>
            </w:pPr>
            <w:r>
              <w:rPr>
                <w:rFonts w:ascii="Arial" w:cs="Arial" w:eastAsia="Arial" w:hAnsi="Arial"/>
                <w:sz w:val="18"/>
                <w:szCs w:val="18"/>
                <w:color w:val="auto"/>
              </w:rPr>
              <w:t>(5.1 )</w:t>
            </w:r>
          </w:p>
        </w:tc>
        <w:tc>
          <w:tcPr>
            <w:tcW w:w="980" w:type="dxa"/>
            <w:vAlign w:val="bottom"/>
          </w:tcPr>
          <w:p>
            <w:pPr>
              <w:jc w:val="right"/>
              <w:ind w:right="796"/>
              <w:spacing w:after="0"/>
              <w:rPr>
                <w:sz w:val="20"/>
                <w:szCs w:val="20"/>
                <w:color w:val="auto"/>
              </w:rPr>
            </w:pPr>
            <w:r>
              <w:rPr>
                <w:rFonts w:ascii="Arial" w:cs="Arial" w:eastAsia="Arial" w:hAnsi="Arial"/>
                <w:sz w:val="18"/>
                <w:szCs w:val="18"/>
                <w:color w:val="auto"/>
                <w:w w:val="79"/>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2.0</w:t>
            </w:r>
          </w:p>
        </w:tc>
        <w:tc>
          <w:tcPr>
            <w:tcW w:w="240" w:type="dxa"/>
            <w:vAlign w:val="bottom"/>
          </w:tcPr>
          <w:p>
            <w:pPr>
              <w:spacing w:after="0"/>
              <w:rPr>
                <w:sz w:val="18"/>
                <w:szCs w:val="18"/>
                <w:color w:val="auto"/>
              </w:rPr>
            </w:pPr>
          </w:p>
        </w:tc>
        <w:tc>
          <w:tcPr>
            <w:tcW w:w="880" w:type="dxa"/>
            <w:vAlign w:val="bottom"/>
          </w:tcPr>
          <w:p>
            <w:pPr>
              <w:jc w:val="right"/>
              <w:ind w:right="699"/>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(2.7 )</w:t>
            </w:r>
          </w:p>
        </w:tc>
        <w:tc>
          <w:tcPr>
            <w:tcW w:w="980" w:type="dxa"/>
            <w:vAlign w:val="bottom"/>
          </w:tcPr>
          <w:p>
            <w:pPr>
              <w:jc w:val="right"/>
              <w:ind w:right="796"/>
              <w:spacing w:after="0"/>
              <w:rPr>
                <w:sz w:val="20"/>
                <w:szCs w:val="20"/>
                <w:color w:val="auto"/>
              </w:rPr>
            </w:pPr>
            <w:r>
              <w:rPr>
                <w:rFonts w:ascii="Arial" w:cs="Arial" w:eastAsia="Arial" w:hAnsi="Arial"/>
                <w:sz w:val="18"/>
                <w:szCs w:val="18"/>
                <w:color w:val="auto"/>
                <w:w w:val="79"/>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8"/>
                <w:szCs w:val="18"/>
                <w:color w:val="auto"/>
              </w:rPr>
            </w:pPr>
          </w:p>
        </w:tc>
      </w:tr>
      <w:tr>
        <w:trPr>
          <w:trHeight w:val="20"/>
        </w:trPr>
        <w:tc>
          <w:tcPr>
            <w:tcW w:w="52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-170815</wp:posOffset>
            </wp:positionV>
            <wp:extent cx="77470" cy="17145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-170815</wp:posOffset>
            </wp:positionV>
            <wp:extent cx="68580" cy="17145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-170815</wp:posOffset>
            </wp:positionV>
            <wp:extent cx="68580" cy="17145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17145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5—Acquisitions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Blue Prism</w:t>
      </w:r>
    </w:p>
    <w:p>
      <w:pPr>
        <w:spacing w:after="0" w:line="104" w:lineRule="exact"/>
        <w:rPr>
          <w:sz w:val="20"/>
          <w:szCs w:val="20"/>
          <w:color w:val="auto"/>
        </w:rPr>
      </w:pPr>
    </w:p>
    <w:p>
      <w:pPr>
        <w:ind w:right="40" w:firstLine="749"/>
        <w:spacing w:after="0" w:line="249" w:lineRule="auto"/>
        <w:rPr>
          <w:sz w:val="20"/>
          <w:szCs w:val="20"/>
          <w:color w:val="auto"/>
        </w:rPr>
      </w:pPr>
      <w:r>
        <w:rPr>
          <w:rFonts w:ascii="Arial" w:cs="Arial" w:eastAsia="Arial" w:hAnsi="Arial"/>
          <w:sz w:val="18"/>
          <w:szCs w:val="18"/>
          <w:color w:val="auto"/>
        </w:rPr>
        <w:t>On March 16, 2022, we purchased all of the outstanding stock of Blue Prism Group plc (“Blue Prism”) for approximately $1.6 billion in cash, plus the costs of effecting the transaction pursuant to a Scheme of Arrangement entered into under the U.K. Takeover Code. We financed the acquisition by entering into an Incremental Joinder (the “Incremental Joinder”) to the amended and restated credit agreement. Blue Prism is a global leader in enterprise robotics process automation and intelligent automation.</w:t>
      </w:r>
    </w:p>
    <w:p>
      <w:pPr>
        <w:spacing w:after="0" w:line="154" w:lineRule="exact"/>
        <w:rPr>
          <w:sz w:val="20"/>
          <w:szCs w:val="20"/>
          <w:color w:val="auto"/>
        </w:rPr>
      </w:pPr>
    </w:p>
    <w:p>
      <w:pPr>
        <w:ind w:right="100" w:firstLine="749"/>
        <w:spacing w:after="0" w:line="259" w:lineRule="auto"/>
        <w:rPr>
          <w:sz w:val="20"/>
          <w:szCs w:val="20"/>
          <w:color w:val="auto"/>
        </w:rPr>
      </w:pPr>
      <w:r>
        <w:rPr>
          <w:rFonts w:ascii="Arial" w:cs="Arial" w:eastAsia="Arial" w:hAnsi="Arial"/>
          <w:sz w:val="17"/>
          <w:szCs w:val="17"/>
          <w:color w:val="auto"/>
        </w:rPr>
        <w:t>The net assets and results of operations of Blue Prism have been included in our Condensed Consolidated Financial Statements from March 16, 2022. The preliminary fair value of the intangible assets, consisting of customer relationships, completed technologies and trade names, was determined using the income approach. Specifically, the relief-from-royalty method was utilized for completed technologies and trade names, and the excess earnings method was utilized for customer relationships. Completed technologies and customer relationships are amortized each year based on the ratio that the projected cash flows for the intangible assets bear to the total of current and expected future cash flows for the intangible assets. Trade names are amortized on a straight-line basis. Customer relationships, completed technologies and trade names are expected to be amortized over approximately fifteen, eight and fourteen years, respectively, in each case the estimated life of the assets. The remainder of the purchase price was allocated to goodwill and is not tax deductible.</w:t>
      </w:r>
    </w:p>
    <w:p>
      <w:pPr>
        <w:spacing w:after="0" w:line="148" w:lineRule="exact"/>
        <w:rPr>
          <w:sz w:val="20"/>
          <w:szCs w:val="20"/>
          <w:color w:val="auto"/>
        </w:rPr>
      </w:pPr>
    </w:p>
    <w:p>
      <w:pPr>
        <w:ind w:right="360" w:firstLine="749"/>
        <w:spacing w:after="0" w:line="248" w:lineRule="auto"/>
        <w:rPr>
          <w:sz w:val="20"/>
          <w:szCs w:val="20"/>
          <w:color w:val="auto"/>
        </w:rPr>
      </w:pPr>
      <w:r>
        <w:rPr>
          <w:rFonts w:ascii="Arial" w:cs="Arial" w:eastAsia="Arial" w:hAnsi="Arial"/>
          <w:sz w:val="18"/>
          <w:szCs w:val="18"/>
          <w:color w:val="auto"/>
        </w:rPr>
        <w:t>There are $62.5 million and $136.0 million in revenues from Blue Prism’s operations included in the Condensed Consolidated Statements of Comprehensive (Loss) Income for the three and nine months ended September 30, 2022, respectively. Blue Prism generates revenues primarily from software license fees and related maintenance and service fees.</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i w:val="1"/>
          <w:iCs w:val="1"/>
          <w:color w:val="auto"/>
        </w:rPr>
        <w:t>Hubwise</w:t>
      </w:r>
    </w:p>
    <w:p>
      <w:pPr>
        <w:spacing w:after="0" w:line="117" w:lineRule="exact"/>
        <w:rPr>
          <w:sz w:val="20"/>
          <w:szCs w:val="20"/>
          <w:color w:val="auto"/>
        </w:rPr>
      </w:pPr>
    </w:p>
    <w:p>
      <w:pPr>
        <w:jc w:val="both"/>
        <w:ind w:right="300" w:firstLine="749"/>
        <w:spacing w:after="0" w:line="248" w:lineRule="auto"/>
        <w:rPr>
          <w:sz w:val="20"/>
          <w:szCs w:val="20"/>
          <w:color w:val="auto"/>
        </w:rPr>
      </w:pPr>
      <w:r>
        <w:rPr>
          <w:rFonts w:ascii="Arial" w:cs="Arial" w:eastAsia="Arial" w:hAnsi="Arial"/>
          <w:sz w:val="18"/>
          <w:szCs w:val="18"/>
          <w:color w:val="auto"/>
        </w:rPr>
        <w:t>On March 25, 2022, we purchased all of the outstanding stock of Hubwise Holdings Limited (“Hubwise”) for approximately $75.0 million in cash, plus the costs of effecting the transaction. Hubwise is a regulated business-to-business investment platform serving advisers, discretionary wealth managers and self-directed direct-to-consumer propositions.</w:t>
      </w:r>
    </w:p>
    <w:p>
      <w:pPr>
        <w:spacing w:after="0" w:line="155" w:lineRule="exact"/>
        <w:rPr>
          <w:sz w:val="20"/>
          <w:szCs w:val="20"/>
          <w:color w:val="auto"/>
        </w:rPr>
      </w:pPr>
    </w:p>
    <w:p>
      <w:pPr>
        <w:ind w:right="100" w:firstLine="749"/>
        <w:spacing w:after="0" w:line="259" w:lineRule="auto"/>
        <w:rPr>
          <w:sz w:val="20"/>
          <w:szCs w:val="20"/>
          <w:color w:val="auto"/>
        </w:rPr>
      </w:pPr>
      <w:r>
        <w:rPr>
          <w:rFonts w:ascii="Arial" w:cs="Arial" w:eastAsia="Arial" w:hAnsi="Arial"/>
          <w:sz w:val="17"/>
          <w:szCs w:val="17"/>
          <w:color w:val="auto"/>
        </w:rPr>
        <w:t>The net assets and results of operations of Hubwise have been included in our Condensed Consolidated Financial Statements from March 25, 2022. The preliminary fair value of the intangible assets, consisting of customer relationships, completed technologies and trade names, was determined using the income approach. Specifically, the relief-from-royalty method was utilized for completed technologies and trade names, and the excess earnings method was utilized for customer relationships. Completed technologies and customer relationships are amortized each year based on the ratio that the projected cash flows for the intangible assets bear to the total of current and expected future cash flows for the intangible assets. Trade names are amortized on a straight-line basis. Customer relationships, completed technologies and trade name are expected to be amortized over approximately twelve, eight and fourteen years, respectively, in each case the estimated life of the assets. The remainder of the purchase price was allocated to goodwill and is not tax deductible.</w:t>
      </w:r>
    </w:p>
    <w:p>
      <w:pPr>
        <w:spacing w:after="0" w:line="148" w:lineRule="exact"/>
        <w:rPr>
          <w:sz w:val="20"/>
          <w:szCs w:val="20"/>
          <w:color w:val="auto"/>
        </w:rPr>
      </w:pPr>
    </w:p>
    <w:p>
      <w:pPr>
        <w:ind w:right="800" w:firstLine="749"/>
        <w:spacing w:after="0" w:line="261" w:lineRule="auto"/>
        <w:rPr>
          <w:sz w:val="20"/>
          <w:szCs w:val="20"/>
          <w:color w:val="auto"/>
        </w:rPr>
      </w:pPr>
      <w:r>
        <w:rPr>
          <w:rFonts w:ascii="Arial" w:cs="Arial" w:eastAsia="Arial" w:hAnsi="Arial"/>
          <w:sz w:val="18"/>
          <w:szCs w:val="18"/>
          <w:color w:val="auto"/>
        </w:rPr>
        <w:t>There are $1.4 million and $3.0 million in revenues from Hubwise’s operations included in the Condensed Consolidated Statements of Comprehensive (Loss) Income for the three and nine months ended September 30, 2022, respectively.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Tier1</w:t>
      </w:r>
    </w:p>
    <w:p>
      <w:pPr>
        <w:spacing w:after="0" w:line="104" w:lineRule="exact"/>
        <w:rPr>
          <w:sz w:val="20"/>
          <w:szCs w:val="20"/>
          <w:color w:val="auto"/>
        </w:rPr>
      </w:pPr>
    </w:p>
    <w:p>
      <w:pPr>
        <w:ind w:right="180" w:firstLine="749"/>
        <w:spacing w:after="0" w:line="245" w:lineRule="auto"/>
        <w:rPr>
          <w:sz w:val="20"/>
          <w:szCs w:val="20"/>
          <w:color w:val="auto"/>
        </w:rPr>
      </w:pPr>
      <w:r>
        <w:rPr>
          <w:rFonts w:ascii="Arial" w:cs="Arial" w:eastAsia="Arial" w:hAnsi="Arial"/>
          <w:sz w:val="18"/>
          <w:szCs w:val="18"/>
          <w:color w:val="auto"/>
        </w:rPr>
        <w:t>On August 23, 2022, we purchased the sell-side Tier1 customer relationship management business (“Tier1”) and related assets from Tier1 Financial Solutions for approximately $32.5 million in cash, plus the costs of effecting the transaction. Tier1 is a leading provider of sell-side customer relationship management solutions targeting capital markets and investment banks. Tier1 supplies customer relationship management capabilities to sell-side financial services firms, including research, trading, and sales teams within capital markets groups, and provides deal management experience to investment banks.</w:t>
      </w:r>
    </w:p>
    <w:p>
      <w:pPr>
        <w:spacing w:after="0" w:line="159" w:lineRule="exact"/>
        <w:rPr>
          <w:sz w:val="20"/>
          <w:szCs w:val="20"/>
          <w:color w:val="auto"/>
        </w:rPr>
      </w:pPr>
    </w:p>
    <w:p>
      <w:pPr>
        <w:ind w:right="80" w:firstLine="749"/>
        <w:spacing w:after="0" w:line="261" w:lineRule="auto"/>
        <w:rPr>
          <w:sz w:val="20"/>
          <w:szCs w:val="20"/>
          <w:color w:val="auto"/>
        </w:rPr>
      </w:pPr>
      <w:r>
        <w:rPr>
          <w:rFonts w:ascii="Arial" w:cs="Arial" w:eastAsia="Arial" w:hAnsi="Arial"/>
          <w:sz w:val="17"/>
          <w:szCs w:val="17"/>
          <w:color w:val="auto"/>
        </w:rPr>
        <w:t>The net assets and results of operations of Tier1 have been included in our Condensed Consolidated Financial Statements from August 23, 2022. The preliminary fair value of the intangible assets, consisting of customer relationships and completed technologies, was determined using the income approach. Specifically, the relief-from-royalty method was utilized for completed technologies, and the excess earnings method was utilized for customer relationships. Completed technologies and customer relationships are amortized each year based on the ratio that the projected cash flows for the intangible assets bear to the total of current and expected future cash flows for the intangible assets. Customer relationships and completed technologies are expected to be amortized over approximately fourteen and six years, respectively, in each case the estimated life of the assets. The remainder of the purchase price was allocated to goodwill and is tax deductible.</w:t>
      </w:r>
    </w:p>
    <w:p>
      <w:pPr>
        <w:spacing w:after="0" w:line="132" w:lineRule="exact"/>
        <w:rPr>
          <w:sz w:val="20"/>
          <w:szCs w:val="20"/>
          <w:color w:val="auto"/>
        </w:rPr>
      </w:pPr>
    </w:p>
    <w:p>
      <w:pPr>
        <w:ind w:right="20" w:firstLine="749"/>
        <w:spacing w:after="0" w:line="277" w:lineRule="auto"/>
        <w:rPr>
          <w:sz w:val="20"/>
          <w:szCs w:val="20"/>
          <w:color w:val="auto"/>
        </w:rPr>
      </w:pPr>
      <w:r>
        <w:rPr>
          <w:rFonts w:ascii="Arial" w:cs="Arial" w:eastAsia="Arial" w:hAnsi="Arial"/>
          <w:sz w:val="18"/>
          <w:szCs w:val="18"/>
          <w:color w:val="auto"/>
        </w:rPr>
        <w:t>There are $1.4 million in revenues from Tier1’s operations included in the Condensed Consolidated Statements of Comprehensive (Loss) Income for the three and nine months ended September 30, 2022.</w:t>
      </w:r>
    </w:p>
    <w:p>
      <w:pPr>
        <w:spacing w:after="0" w:line="116" w:lineRule="exact"/>
        <w:rPr>
          <w:sz w:val="20"/>
          <w:szCs w:val="20"/>
          <w:color w:val="auto"/>
        </w:rPr>
      </w:pPr>
    </w:p>
    <w:p>
      <w:pPr>
        <w:ind w:right="340" w:firstLine="749"/>
        <w:spacing w:after="0" w:line="256" w:lineRule="auto"/>
        <w:rPr>
          <w:sz w:val="20"/>
          <w:szCs w:val="20"/>
          <w:color w:val="auto"/>
        </w:rPr>
      </w:pPr>
      <w:r>
        <w:rPr>
          <w:rFonts w:ascii="Arial" w:cs="Arial" w:eastAsia="Arial" w:hAnsi="Arial"/>
          <w:sz w:val="18"/>
          <w:szCs w:val="18"/>
          <w:color w:val="auto"/>
        </w:rPr>
        <w:t>The following summarizes the preliminary allocation of the purchase price for the 2022 acquisitions of Blue Prism, Hubwise and Tier1 (in millions). The fair values of the acquired intangible assets, and the related evaluation of taxes, are provisional pending receipt of the final valuation for those assets. The valuation of the acquired liabilities is also preliminary.</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44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Blue Prism</w:t>
            </w:r>
          </w:p>
        </w:tc>
        <w:tc>
          <w:tcPr>
            <w:tcW w:w="240" w:type="dxa"/>
            <w:vAlign w:val="bottom"/>
          </w:tcPr>
          <w:p>
            <w:pPr>
              <w:spacing w:after="0"/>
              <w:rPr>
                <w:sz w:val="16"/>
                <w:szCs w:val="16"/>
                <w:color w:val="auto"/>
              </w:rPr>
            </w:pPr>
          </w:p>
        </w:tc>
        <w:tc>
          <w:tcPr>
            <w:tcW w:w="130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Hubwise</w:t>
            </w:r>
          </w:p>
        </w:tc>
        <w:tc>
          <w:tcPr>
            <w:tcW w:w="260" w:type="dxa"/>
            <w:vAlign w:val="bottom"/>
          </w:tcPr>
          <w:p>
            <w:pPr>
              <w:spacing w:after="0"/>
              <w:rPr>
                <w:sz w:val="16"/>
                <w:szCs w:val="16"/>
                <w:color w:val="auto"/>
              </w:rPr>
            </w:pPr>
          </w:p>
        </w:tc>
        <w:tc>
          <w:tcPr>
            <w:tcW w:w="118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Tier1</w:t>
            </w:r>
          </w:p>
        </w:tc>
        <w:tc>
          <w:tcPr>
            <w:tcW w:w="0" w:type="dxa"/>
            <w:vAlign w:val="bottom"/>
          </w:tcPr>
          <w:p>
            <w:pPr>
              <w:spacing w:after="0"/>
              <w:rPr>
                <w:sz w:val="1"/>
                <w:szCs w:val="1"/>
                <w:color w:val="auto"/>
              </w:rPr>
            </w:pPr>
          </w:p>
        </w:tc>
      </w:tr>
      <w:tr>
        <w:trPr>
          <w:trHeight w:val="210"/>
        </w:trPr>
        <w:tc>
          <w:tcPr>
            <w:tcW w:w="444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Accounts receivable</w:t>
            </w:r>
          </w:p>
        </w:tc>
        <w:tc>
          <w:tcPr>
            <w:tcW w:w="226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50.1</w:t>
            </w:r>
          </w:p>
        </w:tc>
        <w:tc>
          <w:tcPr>
            <w:tcW w:w="28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0.7</w:t>
            </w:r>
          </w:p>
        </w:tc>
        <w:tc>
          <w:tcPr>
            <w:tcW w:w="28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0.3</w:t>
            </w:r>
          </w:p>
        </w:tc>
        <w:tc>
          <w:tcPr>
            <w:tcW w:w="2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tcPr>
          <w:p>
            <w:pPr>
              <w:ind w:left="20"/>
              <w:spacing w:after="0"/>
              <w:rPr>
                <w:sz w:val="20"/>
                <w:szCs w:val="20"/>
                <w:color w:val="auto"/>
              </w:rPr>
            </w:pPr>
            <w:r>
              <w:rPr>
                <w:rFonts w:ascii="Arial" w:cs="Arial" w:eastAsia="Arial" w:hAnsi="Arial"/>
                <w:sz w:val="18"/>
                <w:szCs w:val="18"/>
                <w:color w:val="auto"/>
              </w:rPr>
              <w:t>Property, plant and equipment</w:t>
            </w:r>
          </w:p>
        </w:tc>
        <w:tc>
          <w:tcPr>
            <w:tcW w:w="2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0.1</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0.1</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assets</w:t>
            </w:r>
          </w:p>
        </w:tc>
        <w:tc>
          <w:tcPr>
            <w:tcW w:w="2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w:t>
            </w: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w:t>
            </w:r>
          </w:p>
        </w:tc>
        <w:tc>
          <w:tcPr>
            <w:tcW w:w="2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tcPr>
          <w:p>
            <w:pPr>
              <w:ind w:left="20"/>
              <w:spacing w:after="0"/>
              <w:rPr>
                <w:sz w:val="20"/>
                <w:szCs w:val="20"/>
                <w:color w:val="auto"/>
              </w:rPr>
            </w:pPr>
            <w:r>
              <w:rPr>
                <w:rFonts w:ascii="Arial" w:cs="Arial" w:eastAsia="Arial" w:hAnsi="Arial"/>
                <w:sz w:val="18"/>
                <w:szCs w:val="18"/>
                <w:color w:val="auto"/>
              </w:rPr>
              <w:t>Operating lease right-of-use assets</w:t>
            </w:r>
          </w:p>
        </w:tc>
        <w:tc>
          <w:tcPr>
            <w:tcW w:w="2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4.4</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Customer relationships</w:t>
            </w:r>
          </w:p>
        </w:tc>
        <w:tc>
          <w:tcPr>
            <w:tcW w:w="2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520.0</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23.0</w:t>
            </w: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w:t>
            </w:r>
          </w:p>
        </w:tc>
        <w:tc>
          <w:tcPr>
            <w:tcW w:w="2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tcPr>
          <w:p>
            <w:pPr>
              <w:ind w:left="20"/>
              <w:spacing w:after="0"/>
              <w:rPr>
                <w:sz w:val="20"/>
                <w:szCs w:val="20"/>
                <w:color w:val="auto"/>
              </w:rPr>
            </w:pPr>
            <w:r>
              <w:rPr>
                <w:rFonts w:ascii="Arial" w:cs="Arial" w:eastAsia="Arial" w:hAnsi="Arial"/>
                <w:sz w:val="18"/>
                <w:szCs w:val="18"/>
                <w:color w:val="auto"/>
              </w:rPr>
              <w:t>Completed technologies</w:t>
            </w:r>
          </w:p>
        </w:tc>
        <w:tc>
          <w:tcPr>
            <w:tcW w:w="2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250.0</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8.7</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6.4</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shd w:val="clear" w:color="auto" w:fill="CFF0FC"/>
          </w:tcPr>
          <w:p>
            <w:pPr>
              <w:ind w:left="20"/>
              <w:spacing w:after="0"/>
              <w:rPr>
                <w:sz w:val="20"/>
                <w:szCs w:val="20"/>
                <w:color w:val="auto"/>
              </w:rPr>
            </w:pPr>
            <w:r>
              <w:rPr>
                <w:rFonts w:ascii="Arial" w:cs="Arial" w:eastAsia="Arial" w:hAnsi="Arial"/>
                <w:sz w:val="18"/>
                <w:szCs w:val="18"/>
                <w:color w:val="auto"/>
              </w:rPr>
              <w:t>Trade names</w:t>
            </w:r>
          </w:p>
        </w:tc>
        <w:tc>
          <w:tcPr>
            <w:tcW w:w="2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38.0</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40" w:type="dxa"/>
            <w:vAlign w:val="bottom"/>
          </w:tcPr>
          <w:p>
            <w:pPr>
              <w:ind w:left="20"/>
              <w:spacing w:after="0"/>
              <w:rPr>
                <w:sz w:val="20"/>
                <w:szCs w:val="20"/>
                <w:color w:val="auto"/>
              </w:rPr>
            </w:pPr>
            <w:r>
              <w:rPr>
                <w:rFonts w:ascii="Arial" w:cs="Arial" w:eastAsia="Arial" w:hAnsi="Arial"/>
                <w:sz w:val="18"/>
                <w:szCs w:val="18"/>
                <w:color w:val="auto"/>
              </w:rPr>
              <w:t>Goodwill</w:t>
            </w:r>
          </w:p>
        </w:tc>
        <w:tc>
          <w:tcPr>
            <w:tcW w:w="2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945.3</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50.5</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21.3</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Accounts payable</w:t>
            </w:r>
          </w:p>
        </w:tc>
        <w:tc>
          <w:tcPr>
            <w:tcW w:w="2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(6.6 )</w:t>
            </w:r>
          </w:p>
        </w:tc>
        <w:tc>
          <w:tcPr>
            <w:tcW w:w="24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(0.2 )</w:t>
            </w:r>
          </w:p>
        </w:tc>
        <w:tc>
          <w:tcPr>
            <w:tcW w:w="26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216"/>
        </w:trPr>
        <w:tc>
          <w:tcPr>
            <w:tcW w:w="4440" w:type="dxa"/>
            <w:vAlign w:val="bottom"/>
          </w:tcPr>
          <w:p>
            <w:pPr>
              <w:ind w:left="20"/>
              <w:spacing w:after="0"/>
              <w:rPr>
                <w:sz w:val="20"/>
                <w:szCs w:val="20"/>
                <w:color w:val="auto"/>
              </w:rPr>
            </w:pPr>
            <w:r>
              <w:rPr>
                <w:rFonts w:ascii="Arial" w:cs="Arial" w:eastAsia="Arial" w:hAnsi="Arial"/>
                <w:sz w:val="18"/>
                <w:szCs w:val="18"/>
                <w:color w:val="auto"/>
              </w:rPr>
              <w:t>Accrued employee compensation and benefits</w:t>
            </w:r>
          </w:p>
        </w:tc>
        <w:tc>
          <w:tcPr>
            <w:tcW w:w="2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(23.2 )</w:t>
            </w:r>
          </w:p>
        </w:tc>
        <w:tc>
          <w:tcPr>
            <w:tcW w:w="240" w:type="dxa"/>
            <w:vAlign w:val="bottom"/>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(0.5 )</w:t>
            </w:r>
          </w:p>
        </w:tc>
        <w:tc>
          <w:tcPr>
            <w:tcW w:w="0" w:type="dxa"/>
            <w:vAlign w:val="bottom"/>
          </w:tcPr>
          <w:p>
            <w:pPr>
              <w:spacing w:after="0"/>
              <w:rPr>
                <w:sz w:val="1"/>
                <w:szCs w:val="1"/>
                <w:color w:val="auto"/>
              </w:rPr>
            </w:pPr>
          </w:p>
        </w:tc>
      </w:tr>
      <w:tr>
        <w:trPr>
          <w:trHeight w:val="216"/>
        </w:trPr>
        <w:tc>
          <w:tcPr>
            <w:tcW w:w="444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Deferred revenue</w:t>
            </w:r>
          </w:p>
        </w:tc>
        <w:tc>
          <w:tcPr>
            <w:tcW w:w="2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(166.9 )</w:t>
            </w:r>
          </w:p>
        </w:tc>
        <w:tc>
          <w:tcPr>
            <w:tcW w:w="24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(8.6 )</w:t>
            </w:r>
          </w:p>
        </w:tc>
        <w:tc>
          <w:tcPr>
            <w:tcW w:w="0" w:type="dxa"/>
            <w:vAlign w:val="bottom"/>
          </w:tcPr>
          <w:p>
            <w:pPr>
              <w:spacing w:after="0"/>
              <w:rPr>
                <w:sz w:val="1"/>
                <w:szCs w:val="1"/>
                <w:color w:val="auto"/>
              </w:rPr>
            </w:pPr>
          </w:p>
        </w:tc>
      </w:tr>
      <w:tr>
        <w:trPr>
          <w:trHeight w:val="216"/>
        </w:trPr>
        <w:tc>
          <w:tcPr>
            <w:tcW w:w="4440" w:type="dxa"/>
            <w:vAlign w:val="bottom"/>
          </w:tcPr>
          <w:p>
            <w:pPr>
              <w:ind w:left="20"/>
              <w:spacing w:after="0"/>
              <w:rPr>
                <w:sz w:val="20"/>
                <w:szCs w:val="20"/>
                <w:color w:val="auto"/>
              </w:rPr>
            </w:pPr>
            <w:r>
              <w:rPr>
                <w:rFonts w:ascii="Arial" w:cs="Arial" w:eastAsia="Arial" w:hAnsi="Arial"/>
                <w:sz w:val="18"/>
                <w:szCs w:val="18"/>
                <w:color w:val="auto"/>
              </w:rPr>
              <w:t>Deferred income taxes</w:t>
            </w:r>
          </w:p>
        </w:tc>
        <w:tc>
          <w:tcPr>
            <w:tcW w:w="2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(109.7 )</w:t>
            </w:r>
          </w:p>
        </w:tc>
        <w:tc>
          <w:tcPr>
            <w:tcW w:w="24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(7.9 )</w:t>
            </w:r>
          </w:p>
        </w:tc>
        <w:tc>
          <w:tcPr>
            <w:tcW w:w="26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4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liabilities assumed</w:t>
            </w:r>
          </w:p>
        </w:tc>
        <w:tc>
          <w:tcPr>
            <w:tcW w:w="2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(36.5 )</w:t>
            </w:r>
          </w:p>
        </w:tc>
        <w:tc>
          <w:tcPr>
            <w:tcW w:w="24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(0.7 )</w:t>
            </w:r>
          </w:p>
        </w:tc>
        <w:tc>
          <w:tcPr>
            <w:tcW w:w="26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(2.0 )</w:t>
            </w:r>
          </w:p>
        </w:tc>
        <w:tc>
          <w:tcPr>
            <w:tcW w:w="0" w:type="dxa"/>
            <w:vAlign w:val="bottom"/>
          </w:tcPr>
          <w:p>
            <w:pPr>
              <w:spacing w:after="0"/>
              <w:rPr>
                <w:sz w:val="1"/>
                <w:szCs w:val="1"/>
                <w:color w:val="auto"/>
              </w:rPr>
            </w:pPr>
          </w:p>
        </w:tc>
      </w:tr>
      <w:tr>
        <w:trPr>
          <w:trHeight w:val="210"/>
        </w:trPr>
        <w:tc>
          <w:tcPr>
            <w:tcW w:w="4440" w:type="dxa"/>
            <w:vAlign w:val="bottom"/>
          </w:tcPr>
          <w:p>
            <w:pPr>
              <w:ind w:left="120"/>
              <w:spacing w:after="0"/>
              <w:rPr>
                <w:sz w:val="20"/>
                <w:szCs w:val="20"/>
                <w:color w:val="auto"/>
              </w:rPr>
            </w:pPr>
            <w:r>
              <w:rPr>
                <w:rFonts w:ascii="Arial" w:cs="Arial" w:eastAsia="Arial" w:hAnsi="Arial"/>
                <w:sz w:val="18"/>
                <w:szCs w:val="18"/>
                <w:color w:val="auto"/>
              </w:rPr>
              <w:t>Consideration paid, net of cash acquired</w:t>
            </w:r>
          </w:p>
        </w:tc>
        <w:tc>
          <w:tcPr>
            <w:tcW w:w="226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1,477.5</w:t>
            </w:r>
          </w:p>
        </w:tc>
        <w:tc>
          <w:tcPr>
            <w:tcW w:w="28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75.5</w:t>
            </w:r>
          </w:p>
        </w:tc>
        <w:tc>
          <w:tcPr>
            <w:tcW w:w="28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32.5</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2260" w:type="dxa"/>
            <w:vAlign w:val="bottom"/>
            <w:vMerge w:val="restart"/>
          </w:tcPr>
          <w:p>
            <w:pPr>
              <w:jc w:val="right"/>
              <w:ind w:right="890"/>
              <w:spacing w:after="0"/>
              <w:rPr>
                <w:sz w:val="20"/>
                <w:szCs w:val="20"/>
                <w:color w:val="auto"/>
              </w:rPr>
            </w:pPr>
            <w:r>
              <w:rPr>
                <w:rFonts w:ascii="Arial" w:cs="Arial" w:eastAsia="Arial" w:hAnsi="Arial"/>
                <w:sz w:val="18"/>
                <w:szCs w:val="18"/>
                <w:color w:val="auto"/>
              </w:rPr>
              <w:t>12</w:t>
            </w: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4440" w:type="dxa"/>
            <w:vAlign w:val="bottom"/>
          </w:tcPr>
          <w:p>
            <w:pPr>
              <w:spacing w:after="0"/>
              <w:rPr>
                <w:sz w:val="24"/>
                <w:szCs w:val="24"/>
                <w:color w:val="auto"/>
              </w:rPr>
            </w:pPr>
          </w:p>
        </w:tc>
        <w:tc>
          <w:tcPr>
            <w:tcW w:w="226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4440" w:type="dxa"/>
            <w:vAlign w:val="bottom"/>
            <w:tcBorders>
              <w:bottom w:val="single" w:sz="8" w:color="9A9A9A"/>
            </w:tcBorders>
          </w:tcPr>
          <w:p>
            <w:pPr>
              <w:spacing w:after="0"/>
              <w:rPr>
                <w:sz w:val="8"/>
                <w:szCs w:val="8"/>
                <w:color w:val="auto"/>
              </w:rPr>
            </w:pPr>
          </w:p>
        </w:tc>
        <w:tc>
          <w:tcPr>
            <w:tcW w:w="226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08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90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2" w:name="page13"/>
    <w:bookmarkEnd w:id="12"/>
    <w:p>
      <w:pPr>
        <w:ind w:right="260" w:firstLine="509"/>
        <w:spacing w:after="0" w:line="277" w:lineRule="auto"/>
        <w:rPr>
          <w:sz w:val="20"/>
          <w:szCs w:val="20"/>
          <w:color w:val="auto"/>
        </w:rPr>
      </w:pPr>
      <w:r>
        <w:rPr>
          <w:rFonts w:ascii="Arial" w:cs="Arial" w:eastAsia="Arial" w:hAnsi="Arial"/>
          <w:sz w:val="18"/>
          <w:szCs w:val="18"/>
          <w:color w:val="auto"/>
        </w:rPr>
        <w:t>Additionally, we acquired 5 M’s Minerals Management, LLC (“MineralWare”) in May 2022 for approximately $18.0 million. We acquired assets related to O’Shares exchange traded funds (“O’Shares”) in June 2022 for approximately $28.3 million.</w:t>
      </w:r>
    </w:p>
    <w:p>
      <w:pPr>
        <w:spacing w:after="0" w:line="143" w:lineRule="exact"/>
        <w:rPr>
          <w:sz w:val="20"/>
          <w:szCs w:val="20"/>
          <w:color w:val="auto"/>
        </w:rPr>
      </w:pPr>
    </w:p>
    <w:p>
      <w:pPr>
        <w:ind w:right="60" w:firstLine="509"/>
        <w:spacing w:after="0" w:line="267" w:lineRule="auto"/>
        <w:rPr>
          <w:sz w:val="20"/>
          <w:szCs w:val="20"/>
          <w:color w:val="auto"/>
        </w:rPr>
      </w:pPr>
      <w:r>
        <w:rPr>
          <w:rFonts w:ascii="Arial" w:cs="Arial" w:eastAsia="Arial" w:hAnsi="Arial"/>
          <w:sz w:val="17"/>
          <w:szCs w:val="17"/>
          <w:color w:val="auto"/>
        </w:rPr>
        <w:t>The following unaudited pro forma information is provided for illustrative purposes only and assumes that the acquisitions of Blue Prism, Hubwise, MineralWare and Tier1 occurred on January 1, 2021 and the acquisition of Capita Life &amp; Pensions Services (Ireland) Limited (“Capita”) occurred on January 1, 2020, after giving effect to certain adjustments, including amortization of intangibles, interest, transaction costs and tax effects. This unaudited pro forma information (in millions) should not be relied upon as being indicative of the historical results that would have been obtained if the acquisitions had actually occurred on those dates, nor of the results that may be obtained in the future.</w:t>
      </w:r>
    </w:p>
    <w:p>
      <w:pPr>
        <w:spacing w:after="0" w:line="147"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2040" w:type="dxa"/>
            <w:vAlign w:val="bottom"/>
            <w:gridSpan w:val="5"/>
          </w:tcPr>
          <w:p>
            <w:pPr>
              <w:spacing w:after="0"/>
              <w:rPr>
                <w:sz w:val="20"/>
                <w:szCs w:val="20"/>
                <w:color w:val="auto"/>
              </w:rPr>
            </w:pPr>
            <w:r>
              <w:rPr>
                <w:rFonts w:ascii="Arial" w:cs="Arial" w:eastAsia="Arial" w:hAnsi="Arial"/>
                <w:sz w:val="14"/>
                <w:szCs w:val="14"/>
                <w:b w:val="1"/>
                <w:bCs w:val="1"/>
                <w:color w:val="auto"/>
                <w:w w:val="94"/>
              </w:rPr>
              <w:t>Three Months Ended September</w:t>
            </w:r>
          </w:p>
        </w:tc>
        <w:tc>
          <w:tcPr>
            <w:tcW w:w="200" w:type="dxa"/>
            <w:vAlign w:val="bottom"/>
          </w:tcPr>
          <w:p>
            <w:pPr>
              <w:spacing w:after="0"/>
              <w:rPr>
                <w:sz w:val="14"/>
                <w:szCs w:val="14"/>
                <w:color w:val="auto"/>
              </w:rPr>
            </w:pPr>
          </w:p>
        </w:tc>
        <w:tc>
          <w:tcPr>
            <w:tcW w:w="1960" w:type="dxa"/>
            <w:vAlign w:val="bottom"/>
            <w:gridSpan w:val="5"/>
          </w:tcPr>
          <w:p>
            <w:pPr>
              <w:spacing w:after="0"/>
              <w:rPr>
                <w:sz w:val="20"/>
                <w:szCs w:val="20"/>
                <w:color w:val="auto"/>
              </w:rPr>
            </w:pPr>
            <w:r>
              <w:rPr>
                <w:rFonts w:ascii="Arial" w:cs="Arial" w:eastAsia="Arial" w:hAnsi="Arial"/>
                <w:sz w:val="14"/>
                <w:szCs w:val="14"/>
                <w:b w:val="1"/>
                <w:bCs w:val="1"/>
                <w:color w:val="auto"/>
                <w:w w:val="93"/>
              </w:rPr>
              <w:t>Nine Months Ended September</w:t>
            </w:r>
          </w:p>
        </w:tc>
        <w:tc>
          <w:tcPr>
            <w:tcW w:w="80" w:type="dxa"/>
            <w:vAlign w:val="bottom"/>
          </w:tcPr>
          <w:p>
            <w:pPr>
              <w:spacing w:after="0"/>
              <w:rPr>
                <w:sz w:val="14"/>
                <w:szCs w:val="14"/>
                <w:color w:val="auto"/>
              </w:rPr>
            </w:pPr>
          </w:p>
        </w:tc>
      </w:tr>
      <w:tr>
        <w:trPr>
          <w:trHeight w:val="185"/>
        </w:trPr>
        <w:tc>
          <w:tcPr>
            <w:tcW w:w="47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2"/>
              </w:rPr>
              <w:t>30,</w:t>
            </w: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1"/>
              </w:rPr>
              <w:t>30,</w:t>
            </w: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209"/>
        </w:trPr>
        <w:tc>
          <w:tcPr>
            <w:tcW w:w="47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2022</w:t>
            </w:r>
          </w:p>
        </w:tc>
        <w:tc>
          <w:tcPr>
            <w:tcW w:w="1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8"/>
                <w:szCs w:val="18"/>
                <w:color w:val="auto"/>
              </w:rPr>
            </w:pPr>
          </w:p>
        </w:tc>
      </w:tr>
      <w:tr>
        <w:trPr>
          <w:trHeight w:val="209"/>
        </w:trPr>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Revenues</w:t>
            </w:r>
          </w:p>
        </w:tc>
        <w:tc>
          <w:tcPr>
            <w:tcW w:w="20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1,322.9</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1,330.7</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4,011.6</w:t>
            </w: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3,956.7</w:t>
            </w:r>
          </w:p>
        </w:tc>
        <w:tc>
          <w:tcPr>
            <w:tcW w:w="80" w:type="dxa"/>
            <w:vAlign w:val="bottom"/>
            <w:shd w:val="clear" w:color="auto" w:fill="CFF0FC"/>
          </w:tcPr>
          <w:p>
            <w:pPr>
              <w:spacing w:after="0"/>
              <w:rPr>
                <w:sz w:val="18"/>
                <w:szCs w:val="18"/>
                <w:color w:val="auto"/>
              </w:rPr>
            </w:pPr>
          </w:p>
        </w:tc>
      </w:tr>
      <w:tr>
        <w:trPr>
          <w:trHeight w:val="230"/>
        </w:trPr>
        <w:tc>
          <w:tcPr>
            <w:tcW w:w="4700" w:type="dxa"/>
            <w:vAlign w:val="bottom"/>
          </w:tcPr>
          <w:p>
            <w:pPr>
              <w:spacing w:after="0"/>
              <w:rPr>
                <w:sz w:val="20"/>
                <w:szCs w:val="20"/>
                <w:color w:val="auto"/>
              </w:rPr>
            </w:pPr>
            <w:r>
              <w:rPr>
                <w:rFonts w:ascii="Arial" w:cs="Arial" w:eastAsia="Arial" w:hAnsi="Arial"/>
                <w:sz w:val="18"/>
                <w:szCs w:val="18"/>
                <w:color w:val="auto"/>
              </w:rPr>
              <w:t>Net income</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160.1</w:t>
            </w:r>
          </w:p>
        </w:tc>
        <w:tc>
          <w:tcPr>
            <w:tcW w:w="4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165.1</w:t>
            </w:r>
          </w:p>
        </w:tc>
        <w:tc>
          <w:tcPr>
            <w:tcW w:w="40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425.9</w:t>
            </w:r>
          </w:p>
        </w:tc>
        <w:tc>
          <w:tcPr>
            <w:tcW w:w="3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446.6</w:t>
            </w:r>
          </w:p>
        </w:tc>
        <w:tc>
          <w:tcPr>
            <w:tcW w:w="80" w:type="dxa"/>
            <w:vAlign w:val="bottom"/>
          </w:tcPr>
          <w:p>
            <w:pPr>
              <w:spacing w:after="0"/>
              <w:rPr>
                <w:sz w:val="20"/>
                <w:szCs w:val="20"/>
                <w:color w:val="auto"/>
              </w:rPr>
            </w:pPr>
          </w:p>
        </w:tc>
      </w:tr>
    </w:tbl>
    <w:p>
      <w:pPr>
        <w:spacing w:after="0" w:line="174" w:lineRule="exact"/>
        <w:rPr>
          <w:sz w:val="20"/>
          <w:szCs w:val="20"/>
          <w:color w:val="auto"/>
        </w:rPr>
      </w:pPr>
    </w:p>
    <w:p>
      <w:pPr>
        <w:ind w:right="160" w:firstLine="749"/>
        <w:spacing w:after="0" w:line="256" w:lineRule="auto"/>
        <w:rPr>
          <w:sz w:val="20"/>
          <w:szCs w:val="20"/>
          <w:color w:val="auto"/>
        </w:rPr>
      </w:pPr>
      <w:r>
        <w:rPr>
          <w:rFonts w:ascii="Arial" w:cs="Arial" w:eastAsia="Arial" w:hAnsi="Arial"/>
          <w:sz w:val="18"/>
          <w:szCs w:val="18"/>
          <w:color w:val="auto"/>
        </w:rPr>
        <w:t>During the nine months ended September 30, 2022 and 2021, we recorded severance expense related to personnel reductions in several of our financial services and healthcare businesses. The amount of severance expense recognized in our Condensed Consolidated Statements of Comprehensive (Loss) Income for the nine months ended September 30, 2022 and 2021 was as follows (in millions):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4960" w:type="dxa"/>
            <w:vAlign w:val="bottom"/>
            <w:tcBorders>
              <w:bottom w:val="single" w:sz="8" w:color="auto"/>
            </w:tcBorders>
            <w:gridSpan w:val="4"/>
          </w:tcPr>
          <w:p>
            <w:pPr>
              <w:jc w:val="right"/>
              <w:ind w:right="1459"/>
              <w:spacing w:after="0"/>
              <w:rPr>
                <w:sz w:val="20"/>
                <w:szCs w:val="20"/>
                <w:color w:val="auto"/>
              </w:rPr>
            </w:pPr>
            <w:r>
              <w:rPr>
                <w:rFonts w:ascii="Arial" w:cs="Arial" w:eastAsia="Arial" w:hAnsi="Arial"/>
                <w:sz w:val="16"/>
                <w:szCs w:val="16"/>
                <w:b w:val="1"/>
                <w:bCs w:val="1"/>
                <w:color w:val="auto"/>
              </w:rPr>
              <w:t>Nine Months Ended September 30,</w:t>
            </w:r>
          </w:p>
        </w:tc>
        <w:tc>
          <w:tcPr>
            <w:tcW w:w="100" w:type="dxa"/>
            <w:vAlign w:val="bottom"/>
          </w:tcPr>
          <w:p>
            <w:pPr>
              <w:spacing w:after="0"/>
              <w:rPr>
                <w:sz w:val="18"/>
                <w:szCs w:val="18"/>
                <w:color w:val="auto"/>
              </w:rPr>
            </w:pPr>
          </w:p>
        </w:tc>
      </w:tr>
      <w:tr>
        <w:trPr>
          <w:trHeight w:val="202"/>
        </w:trPr>
        <w:tc>
          <w:tcPr>
            <w:tcW w:w="5660" w:type="dxa"/>
            <w:vAlign w:val="bottom"/>
            <w:gridSpan w:val="2"/>
          </w:tcPr>
          <w:p>
            <w:pPr>
              <w:ind w:left="20"/>
              <w:spacing w:after="0"/>
              <w:rPr>
                <w:sz w:val="20"/>
                <w:szCs w:val="20"/>
                <w:color w:val="auto"/>
              </w:rPr>
            </w:pPr>
            <w:r>
              <w:rPr>
                <w:rFonts w:ascii="Arial" w:cs="Arial" w:eastAsia="Arial" w:hAnsi="Arial"/>
                <w:sz w:val="16"/>
                <w:szCs w:val="16"/>
                <w:b w:val="1"/>
                <w:bCs w:val="1"/>
                <w:color w:val="auto"/>
              </w:rPr>
              <w:t>Consolidated Statements of Comprehensive (Loss) Income Classification</w:t>
            </w:r>
          </w:p>
        </w:tc>
        <w:tc>
          <w:tcPr>
            <w:tcW w:w="520" w:type="dxa"/>
            <w:vAlign w:val="bottom"/>
          </w:tcPr>
          <w:p>
            <w:pPr>
              <w:spacing w:after="0"/>
              <w:rPr>
                <w:sz w:val="17"/>
                <w:szCs w:val="17"/>
                <w:color w:val="auto"/>
              </w:rPr>
            </w:pPr>
          </w:p>
        </w:tc>
        <w:tc>
          <w:tcPr>
            <w:tcW w:w="1740" w:type="dxa"/>
            <w:vAlign w:val="bottom"/>
          </w:tcPr>
          <w:p>
            <w:pPr>
              <w:jc w:val="right"/>
              <w:ind w:right="899"/>
              <w:spacing w:after="0"/>
              <w:rPr>
                <w:sz w:val="20"/>
                <w:szCs w:val="20"/>
                <w:color w:val="auto"/>
              </w:rPr>
            </w:pPr>
            <w:r>
              <w:rPr>
                <w:rFonts w:ascii="Arial" w:cs="Arial" w:eastAsia="Arial" w:hAnsi="Arial"/>
                <w:sz w:val="16"/>
                <w:szCs w:val="16"/>
                <w:b w:val="1"/>
                <w:bCs w:val="1"/>
                <w:color w:val="auto"/>
              </w:rPr>
              <w:t>2022</w:t>
            </w: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0" w:type="dxa"/>
            <w:vAlign w:val="bottom"/>
          </w:tcPr>
          <w:p>
            <w:pPr>
              <w:jc w:val="right"/>
              <w:ind w:right="119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7"/>
                <w:szCs w:val="17"/>
                <w:color w:val="auto"/>
              </w:rPr>
            </w:pPr>
          </w:p>
        </w:tc>
      </w:tr>
      <w:tr>
        <w:trPr>
          <w:trHeight w:val="196"/>
        </w:trPr>
        <w:tc>
          <w:tcPr>
            <w:tcW w:w="540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6"/>
                <w:szCs w:val="16"/>
                <w:color w:val="auto"/>
              </w:rPr>
              <w:t>Cost of software-enabled services</w:t>
            </w:r>
          </w:p>
        </w:tc>
        <w:tc>
          <w:tcPr>
            <w:tcW w:w="260" w:type="dxa"/>
            <w:vAlign w:val="bottom"/>
            <w:shd w:val="clear" w:color="auto" w:fill="CFF0FC"/>
          </w:tcPr>
          <w:p>
            <w:pPr>
              <w:spacing w:after="0"/>
              <w:rPr>
                <w:sz w:val="17"/>
                <w:szCs w:val="17"/>
                <w:color w:val="auto"/>
              </w:rPr>
            </w:pPr>
          </w:p>
        </w:tc>
        <w:tc>
          <w:tcPr>
            <w:tcW w:w="520" w:type="dxa"/>
            <w:vAlign w:val="bottom"/>
            <w:tcBorders>
              <w:top w:val="single" w:sz="8" w:color="auto"/>
            </w:tcBorders>
            <w:shd w:val="clear" w:color="auto" w:fill="CFF0FC"/>
          </w:tcPr>
          <w:p>
            <w:pPr>
              <w:jc w:val="right"/>
              <w:ind w:right="364"/>
              <w:spacing w:after="0"/>
              <w:rPr>
                <w:sz w:val="20"/>
                <w:szCs w:val="20"/>
                <w:color w:val="auto"/>
              </w:rPr>
            </w:pPr>
            <w:r>
              <w:rPr>
                <w:rFonts w:ascii="Arial" w:cs="Arial" w:eastAsia="Arial" w:hAnsi="Arial"/>
                <w:sz w:val="15"/>
                <w:szCs w:val="15"/>
                <w:color w:val="auto"/>
                <w:w w:val="71"/>
              </w:rPr>
              <w:t>$</w:t>
            </w:r>
          </w:p>
        </w:tc>
        <w:tc>
          <w:tcPr>
            <w:tcW w:w="1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8.1</w:t>
            </w:r>
          </w:p>
        </w:tc>
        <w:tc>
          <w:tcPr>
            <w:tcW w:w="340" w:type="dxa"/>
            <w:vAlign w:val="bottom"/>
            <w:shd w:val="clear" w:color="auto" w:fill="CFF0FC"/>
          </w:tcPr>
          <w:p>
            <w:pPr>
              <w:spacing w:after="0"/>
              <w:rPr>
                <w:sz w:val="17"/>
                <w:szCs w:val="17"/>
                <w:color w:val="auto"/>
              </w:rPr>
            </w:pPr>
          </w:p>
        </w:tc>
        <w:tc>
          <w:tcPr>
            <w:tcW w:w="680" w:type="dxa"/>
            <w:vAlign w:val="bottom"/>
            <w:tcBorders>
              <w:top w:val="single" w:sz="8" w:color="auto"/>
            </w:tcBorders>
            <w:shd w:val="clear" w:color="auto" w:fill="CFF0FC"/>
          </w:tcPr>
          <w:p>
            <w:pPr>
              <w:jc w:val="right"/>
              <w:ind w:right="499"/>
              <w:spacing w:after="0"/>
              <w:rPr>
                <w:sz w:val="20"/>
                <w:szCs w:val="20"/>
                <w:color w:val="auto"/>
              </w:rPr>
            </w:pPr>
            <w:r>
              <w:rPr>
                <w:rFonts w:ascii="Arial" w:cs="Arial" w:eastAsia="Arial" w:hAnsi="Arial"/>
                <w:sz w:val="16"/>
                <w:szCs w:val="16"/>
                <w:color w:val="auto"/>
                <w:w w:val="89"/>
              </w:rPr>
              <w:t>$</w:t>
            </w:r>
          </w:p>
        </w:tc>
        <w:tc>
          <w:tcPr>
            <w:tcW w:w="2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12.3</w:t>
            </w:r>
          </w:p>
        </w:tc>
        <w:tc>
          <w:tcPr>
            <w:tcW w:w="100" w:type="dxa"/>
            <w:vAlign w:val="bottom"/>
            <w:shd w:val="clear" w:color="auto" w:fill="CFF0FC"/>
          </w:tcPr>
          <w:p>
            <w:pPr>
              <w:spacing w:after="0"/>
              <w:rPr>
                <w:sz w:val="17"/>
                <w:szCs w:val="17"/>
                <w:color w:val="auto"/>
              </w:rPr>
            </w:pPr>
          </w:p>
        </w:tc>
      </w:tr>
      <w:tr>
        <w:trPr>
          <w:trHeight w:val="203"/>
        </w:trPr>
        <w:tc>
          <w:tcPr>
            <w:tcW w:w="5660" w:type="dxa"/>
            <w:vAlign w:val="bottom"/>
            <w:gridSpan w:val="2"/>
          </w:tcPr>
          <w:p>
            <w:pPr>
              <w:ind w:left="20"/>
              <w:spacing w:after="0"/>
              <w:rPr>
                <w:sz w:val="20"/>
                <w:szCs w:val="20"/>
                <w:color w:val="auto"/>
              </w:rPr>
            </w:pPr>
            <w:r>
              <w:rPr>
                <w:rFonts w:ascii="Arial" w:cs="Arial" w:eastAsia="Arial" w:hAnsi="Arial"/>
                <w:sz w:val="16"/>
                <w:szCs w:val="16"/>
                <w:color w:val="auto"/>
              </w:rPr>
              <w:t>Cost of license, maintenance and other related</w:t>
            </w:r>
          </w:p>
        </w:tc>
        <w:tc>
          <w:tcPr>
            <w:tcW w:w="52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w:t>
            </w:r>
          </w:p>
        </w:tc>
        <w:tc>
          <w:tcPr>
            <w:tcW w:w="340" w:type="dxa"/>
            <w:vAlign w:val="bottom"/>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2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7"/>
                <w:szCs w:val="17"/>
                <w:color w:val="auto"/>
              </w:rPr>
            </w:pPr>
          </w:p>
        </w:tc>
      </w:tr>
      <w:tr>
        <w:trPr>
          <w:trHeight w:val="196"/>
        </w:trPr>
        <w:tc>
          <w:tcPr>
            <w:tcW w:w="5660" w:type="dxa"/>
            <w:vAlign w:val="bottom"/>
            <w:tcBorders>
              <w:bottom w:val="single" w:sz="8" w:color="CFF0FC"/>
            </w:tcBorders>
            <w:gridSpan w:val="2"/>
            <w:shd w:val="clear" w:color="auto" w:fill="CFF0FC"/>
          </w:tcPr>
          <w:p>
            <w:pPr>
              <w:ind w:left="300"/>
              <w:spacing w:after="0"/>
              <w:rPr>
                <w:sz w:val="20"/>
                <w:szCs w:val="20"/>
                <w:color w:val="auto"/>
              </w:rPr>
            </w:pPr>
            <w:r>
              <w:rPr>
                <w:rFonts w:ascii="Arial" w:cs="Arial" w:eastAsia="Arial" w:hAnsi="Arial"/>
                <w:sz w:val="16"/>
                <w:szCs w:val="16"/>
                <w:color w:val="auto"/>
              </w:rPr>
              <w:t>Total cost of revenues</w:t>
            </w:r>
          </w:p>
        </w:tc>
        <w:tc>
          <w:tcPr>
            <w:tcW w:w="520" w:type="dxa"/>
            <w:vAlign w:val="bottom"/>
            <w:tcBorders>
              <w:bottom w:val="single" w:sz="8" w:color="auto"/>
            </w:tcBorders>
            <w:shd w:val="clear" w:color="auto" w:fill="CFF0FC"/>
          </w:tcPr>
          <w:p>
            <w:pPr>
              <w:spacing w:after="0"/>
              <w:rPr>
                <w:sz w:val="17"/>
                <w:szCs w:val="17"/>
                <w:color w:val="auto"/>
              </w:rPr>
            </w:pPr>
          </w:p>
        </w:tc>
        <w:tc>
          <w:tcPr>
            <w:tcW w:w="1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10.4</w:t>
            </w:r>
          </w:p>
        </w:tc>
        <w:tc>
          <w:tcPr>
            <w:tcW w:w="340" w:type="dxa"/>
            <w:vAlign w:val="bottom"/>
            <w:tcBorders>
              <w:bottom w:val="single" w:sz="8" w:color="CFF0FC"/>
            </w:tcBorders>
            <w:shd w:val="clear" w:color="auto" w:fill="CFF0FC"/>
          </w:tcPr>
          <w:p>
            <w:pPr>
              <w:spacing w:after="0"/>
              <w:rPr>
                <w:sz w:val="17"/>
                <w:szCs w:val="17"/>
                <w:color w:val="auto"/>
              </w:rPr>
            </w:pPr>
          </w:p>
        </w:tc>
        <w:tc>
          <w:tcPr>
            <w:tcW w:w="680" w:type="dxa"/>
            <w:vAlign w:val="bottom"/>
            <w:tcBorders>
              <w:bottom w:val="single" w:sz="8" w:color="auto"/>
            </w:tcBorders>
            <w:shd w:val="clear" w:color="auto" w:fill="CFF0FC"/>
          </w:tcPr>
          <w:p>
            <w:pPr>
              <w:spacing w:after="0"/>
              <w:rPr>
                <w:sz w:val="17"/>
                <w:szCs w:val="17"/>
                <w:color w:val="auto"/>
              </w:rPr>
            </w:pPr>
          </w:p>
        </w:tc>
        <w:tc>
          <w:tcPr>
            <w:tcW w:w="2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13.4</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5660" w:type="dxa"/>
            <w:vAlign w:val="bottom"/>
            <w:gridSpan w:val="2"/>
          </w:tcPr>
          <w:p>
            <w:pPr>
              <w:ind w:left="20"/>
              <w:spacing w:after="0"/>
              <w:rPr>
                <w:sz w:val="20"/>
                <w:szCs w:val="20"/>
                <w:color w:val="auto"/>
              </w:rPr>
            </w:pPr>
            <w:r>
              <w:rPr>
                <w:rFonts w:ascii="Arial" w:cs="Arial" w:eastAsia="Arial" w:hAnsi="Arial"/>
                <w:sz w:val="16"/>
                <w:szCs w:val="16"/>
                <w:color w:val="auto"/>
              </w:rPr>
              <w:t>Selling and marketing</w:t>
            </w:r>
          </w:p>
        </w:tc>
        <w:tc>
          <w:tcPr>
            <w:tcW w:w="52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2.6</w:t>
            </w: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0" w:type="dxa"/>
            <w:vAlign w:val="bottom"/>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7"/>
                <w:szCs w:val="17"/>
                <w:color w:val="auto"/>
              </w:rPr>
            </w:pPr>
          </w:p>
        </w:tc>
      </w:tr>
      <w:tr>
        <w:trPr>
          <w:trHeight w:val="203"/>
        </w:trPr>
        <w:tc>
          <w:tcPr>
            <w:tcW w:w="566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Research and development</w:t>
            </w:r>
          </w:p>
        </w:tc>
        <w:tc>
          <w:tcPr>
            <w:tcW w:w="520" w:type="dxa"/>
            <w:vAlign w:val="bottom"/>
            <w:shd w:val="clear" w:color="auto" w:fill="CFF0FC"/>
          </w:tcPr>
          <w:p>
            <w:pPr>
              <w:spacing w:after="0"/>
              <w:rPr>
                <w:sz w:val="17"/>
                <w:szCs w:val="17"/>
                <w:color w:val="auto"/>
              </w:rPr>
            </w:pPr>
          </w:p>
        </w:tc>
        <w:tc>
          <w:tcPr>
            <w:tcW w:w="1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w:t>
            </w:r>
          </w:p>
        </w:tc>
        <w:tc>
          <w:tcPr>
            <w:tcW w:w="34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5.8</w:t>
            </w:r>
          </w:p>
        </w:tc>
        <w:tc>
          <w:tcPr>
            <w:tcW w:w="100" w:type="dxa"/>
            <w:vAlign w:val="bottom"/>
            <w:shd w:val="clear" w:color="auto" w:fill="CFF0FC"/>
          </w:tcPr>
          <w:p>
            <w:pPr>
              <w:spacing w:after="0"/>
              <w:rPr>
                <w:sz w:val="17"/>
                <w:szCs w:val="17"/>
                <w:color w:val="auto"/>
              </w:rPr>
            </w:pPr>
          </w:p>
        </w:tc>
      </w:tr>
      <w:tr>
        <w:trPr>
          <w:trHeight w:val="203"/>
        </w:trPr>
        <w:tc>
          <w:tcPr>
            <w:tcW w:w="5660" w:type="dxa"/>
            <w:vAlign w:val="bottom"/>
            <w:gridSpan w:val="2"/>
          </w:tcPr>
          <w:p>
            <w:pPr>
              <w:ind w:left="20"/>
              <w:spacing w:after="0"/>
              <w:rPr>
                <w:sz w:val="20"/>
                <w:szCs w:val="20"/>
                <w:color w:val="auto"/>
              </w:rPr>
            </w:pPr>
            <w:r>
              <w:rPr>
                <w:rFonts w:ascii="Arial" w:cs="Arial" w:eastAsia="Arial" w:hAnsi="Arial"/>
                <w:sz w:val="16"/>
                <w:szCs w:val="16"/>
                <w:color w:val="auto"/>
              </w:rPr>
              <w:t>General and administrative</w:t>
            </w:r>
          </w:p>
        </w:tc>
        <w:tc>
          <w:tcPr>
            <w:tcW w:w="52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0.8</w:t>
            </w:r>
          </w:p>
        </w:tc>
        <w:tc>
          <w:tcPr>
            <w:tcW w:w="340" w:type="dxa"/>
            <w:vAlign w:val="bottom"/>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2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17"/>
                <w:szCs w:val="17"/>
                <w:color w:val="auto"/>
              </w:rPr>
            </w:pPr>
          </w:p>
        </w:tc>
      </w:tr>
      <w:tr>
        <w:trPr>
          <w:trHeight w:val="196"/>
        </w:trPr>
        <w:tc>
          <w:tcPr>
            <w:tcW w:w="5660" w:type="dxa"/>
            <w:vAlign w:val="bottom"/>
            <w:tcBorders>
              <w:bottom w:val="single" w:sz="8" w:color="CFF0FC"/>
            </w:tcBorders>
            <w:gridSpan w:val="2"/>
            <w:shd w:val="clear" w:color="auto" w:fill="CFF0FC"/>
          </w:tcPr>
          <w:p>
            <w:pPr>
              <w:ind w:left="300"/>
              <w:spacing w:after="0"/>
              <w:rPr>
                <w:sz w:val="20"/>
                <w:szCs w:val="20"/>
                <w:color w:val="auto"/>
              </w:rPr>
            </w:pPr>
            <w:r>
              <w:rPr>
                <w:rFonts w:ascii="Arial" w:cs="Arial" w:eastAsia="Arial" w:hAnsi="Arial"/>
                <w:sz w:val="16"/>
                <w:szCs w:val="16"/>
                <w:color w:val="auto"/>
              </w:rPr>
              <w:t>Total operating expenses</w:t>
            </w:r>
          </w:p>
        </w:tc>
        <w:tc>
          <w:tcPr>
            <w:tcW w:w="520" w:type="dxa"/>
            <w:vAlign w:val="bottom"/>
            <w:tcBorders>
              <w:bottom w:val="single" w:sz="8" w:color="auto"/>
            </w:tcBorders>
            <w:shd w:val="clear" w:color="auto" w:fill="CFF0FC"/>
          </w:tcPr>
          <w:p>
            <w:pPr>
              <w:spacing w:after="0"/>
              <w:rPr>
                <w:sz w:val="17"/>
                <w:szCs w:val="17"/>
                <w:color w:val="auto"/>
              </w:rPr>
            </w:pPr>
          </w:p>
        </w:tc>
        <w:tc>
          <w:tcPr>
            <w:tcW w:w="1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5.4</w:t>
            </w:r>
          </w:p>
        </w:tc>
        <w:tc>
          <w:tcPr>
            <w:tcW w:w="340" w:type="dxa"/>
            <w:vAlign w:val="bottom"/>
            <w:tcBorders>
              <w:bottom w:val="single" w:sz="8" w:color="CFF0FC"/>
            </w:tcBorders>
            <w:shd w:val="clear" w:color="auto" w:fill="CFF0FC"/>
          </w:tcPr>
          <w:p>
            <w:pPr>
              <w:spacing w:after="0"/>
              <w:rPr>
                <w:sz w:val="17"/>
                <w:szCs w:val="17"/>
                <w:color w:val="auto"/>
              </w:rPr>
            </w:pPr>
          </w:p>
        </w:tc>
        <w:tc>
          <w:tcPr>
            <w:tcW w:w="680" w:type="dxa"/>
            <w:vAlign w:val="bottom"/>
            <w:tcBorders>
              <w:bottom w:val="single" w:sz="8" w:color="auto"/>
            </w:tcBorders>
            <w:shd w:val="clear" w:color="auto" w:fill="CFF0FC"/>
          </w:tcPr>
          <w:p>
            <w:pPr>
              <w:spacing w:after="0"/>
              <w:rPr>
                <w:sz w:val="17"/>
                <w:szCs w:val="17"/>
                <w:color w:val="auto"/>
              </w:rPr>
            </w:pPr>
          </w:p>
        </w:tc>
        <w:tc>
          <w:tcPr>
            <w:tcW w:w="2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9.4</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5660" w:type="dxa"/>
            <w:vAlign w:val="bottom"/>
            <w:gridSpan w:val="2"/>
          </w:tcPr>
          <w:p>
            <w:pPr>
              <w:ind w:left="20"/>
              <w:spacing w:after="0"/>
              <w:rPr>
                <w:sz w:val="20"/>
                <w:szCs w:val="20"/>
                <w:color w:val="auto"/>
              </w:rPr>
            </w:pPr>
            <w:r>
              <w:rPr>
                <w:rFonts w:ascii="Arial" w:cs="Arial" w:eastAsia="Arial" w:hAnsi="Arial"/>
                <w:sz w:val="16"/>
                <w:szCs w:val="16"/>
                <w:color w:val="auto"/>
              </w:rPr>
              <w:t>Total severance expense</w:t>
            </w:r>
          </w:p>
        </w:tc>
        <w:tc>
          <w:tcPr>
            <w:tcW w:w="520" w:type="dxa"/>
            <w:vAlign w:val="bottom"/>
          </w:tcPr>
          <w:p>
            <w:pPr>
              <w:jc w:val="right"/>
              <w:ind w:right="364"/>
              <w:spacing w:after="0"/>
              <w:rPr>
                <w:sz w:val="20"/>
                <w:szCs w:val="20"/>
                <w:color w:val="auto"/>
              </w:rPr>
            </w:pPr>
            <w:r>
              <w:rPr>
                <w:rFonts w:ascii="Arial" w:cs="Arial" w:eastAsia="Arial" w:hAnsi="Arial"/>
                <w:sz w:val="15"/>
                <w:szCs w:val="15"/>
                <w:color w:val="auto"/>
                <w:w w:val="71"/>
              </w:rPr>
              <w:t>$</w:t>
            </w:r>
          </w:p>
        </w:tc>
        <w:tc>
          <w:tcPr>
            <w:tcW w:w="1740" w:type="dxa"/>
            <w:vAlign w:val="bottom"/>
          </w:tcPr>
          <w:p>
            <w:pPr>
              <w:jc w:val="right"/>
              <w:spacing w:after="0"/>
              <w:rPr>
                <w:sz w:val="20"/>
                <w:szCs w:val="20"/>
                <w:color w:val="auto"/>
              </w:rPr>
            </w:pPr>
            <w:r>
              <w:rPr>
                <w:rFonts w:ascii="Arial" w:cs="Arial" w:eastAsia="Arial" w:hAnsi="Arial"/>
                <w:sz w:val="16"/>
                <w:szCs w:val="16"/>
                <w:color w:val="auto"/>
              </w:rPr>
              <w:t>15.8</w:t>
            </w:r>
          </w:p>
        </w:tc>
        <w:tc>
          <w:tcPr>
            <w:tcW w:w="1020" w:type="dxa"/>
            <w:vAlign w:val="bottom"/>
            <w:gridSpan w:val="2"/>
          </w:tcPr>
          <w:p>
            <w:pPr>
              <w:jc w:val="right"/>
              <w:ind w:right="499"/>
              <w:spacing w:after="0"/>
              <w:rPr>
                <w:sz w:val="20"/>
                <w:szCs w:val="20"/>
                <w:color w:val="auto"/>
              </w:rPr>
            </w:pPr>
            <w:r>
              <w:rPr>
                <w:rFonts w:ascii="Arial" w:cs="Arial" w:eastAsia="Arial" w:hAnsi="Arial"/>
                <w:sz w:val="16"/>
                <w:szCs w:val="16"/>
                <w:color w:val="auto"/>
              </w:rPr>
              <w:t>$</w:t>
            </w:r>
          </w:p>
        </w:tc>
        <w:tc>
          <w:tcPr>
            <w:tcW w:w="2200" w:type="dxa"/>
            <w:vAlign w:val="bottom"/>
          </w:tcPr>
          <w:p>
            <w:pPr>
              <w:jc w:val="right"/>
              <w:spacing w:after="0"/>
              <w:rPr>
                <w:sz w:val="20"/>
                <w:szCs w:val="20"/>
                <w:color w:val="auto"/>
              </w:rPr>
            </w:pPr>
            <w:r>
              <w:rPr>
                <w:rFonts w:ascii="Arial" w:cs="Arial" w:eastAsia="Arial" w:hAnsi="Arial"/>
                <w:sz w:val="16"/>
                <w:szCs w:val="16"/>
                <w:color w:val="auto"/>
              </w:rPr>
              <w:t>22.8</w:t>
            </w:r>
          </w:p>
        </w:tc>
        <w:tc>
          <w:tcPr>
            <w:tcW w:w="100" w:type="dxa"/>
            <w:vAlign w:val="bottom"/>
          </w:tcPr>
          <w:p>
            <w:pPr>
              <w:spacing w:after="0"/>
              <w:rPr>
                <w:sz w:val="17"/>
                <w:szCs w:val="17"/>
                <w:color w:val="auto"/>
              </w:rPr>
            </w:pPr>
          </w:p>
        </w:tc>
      </w:tr>
      <w:tr>
        <w:trPr>
          <w:trHeight w:val="20"/>
        </w:trPr>
        <w:tc>
          <w:tcPr>
            <w:tcW w:w="5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5028565</wp:posOffset>
            </wp:positionH>
            <wp:positionV relativeFrom="paragraph">
              <wp:posOffset>-693420</wp:posOffset>
            </wp:positionV>
            <wp:extent cx="68580" cy="13716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-693420</wp:posOffset>
            </wp:positionV>
            <wp:extent cx="68580" cy="13716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-162560</wp:posOffset>
            </wp:positionV>
            <wp:extent cx="68580" cy="16319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16319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16319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6—Goodwill</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change in carrying value of goodwill as of and for the nine months ended September 30, 2022 is as follows (in millions):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Balance at December 31, 2021</w:t>
            </w:r>
          </w:p>
        </w:tc>
        <w:tc>
          <w:tcPr>
            <w:tcW w:w="2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gridSpan w:val="2"/>
          </w:tcPr>
          <w:p>
            <w:pPr>
              <w:jc w:val="right"/>
              <w:ind w:right="20"/>
              <w:spacing w:after="0"/>
              <w:rPr>
                <w:sz w:val="20"/>
                <w:szCs w:val="20"/>
                <w:color w:val="auto"/>
              </w:rPr>
            </w:pPr>
            <w:r>
              <w:rPr>
                <w:rFonts w:ascii="Arial" w:cs="Arial" w:eastAsia="Arial" w:hAnsi="Arial"/>
                <w:sz w:val="18"/>
                <w:szCs w:val="18"/>
                <w:color w:val="auto"/>
              </w:rPr>
              <w:t>8,045.5</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6060" w:type="dxa"/>
            <w:vAlign w:val="bottom"/>
            <w:shd w:val="clear" w:color="auto" w:fill="CFF0FC"/>
          </w:tcPr>
          <w:p>
            <w:pPr>
              <w:ind w:left="100"/>
              <w:spacing w:after="0"/>
              <w:rPr>
                <w:sz w:val="20"/>
                <w:szCs w:val="20"/>
                <w:color w:val="auto"/>
              </w:rPr>
            </w:pPr>
            <w:r>
              <w:rPr>
                <w:rFonts w:ascii="Arial" w:cs="Arial" w:eastAsia="Arial" w:hAnsi="Arial"/>
                <w:sz w:val="18"/>
                <w:szCs w:val="18"/>
                <w:color w:val="auto"/>
              </w:rPr>
              <w:t>Acquisitions completed in the current year</w:t>
            </w:r>
          </w:p>
        </w:tc>
        <w:tc>
          <w:tcPr>
            <w:tcW w:w="26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1,023.3</w:t>
            </w:r>
          </w:p>
        </w:tc>
        <w:tc>
          <w:tcPr>
            <w:tcW w:w="10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6060" w:type="dxa"/>
            <w:vAlign w:val="bottom"/>
          </w:tcPr>
          <w:p>
            <w:pPr>
              <w:ind w:left="100"/>
              <w:spacing w:after="0"/>
              <w:rPr>
                <w:sz w:val="20"/>
                <w:szCs w:val="20"/>
                <w:color w:val="auto"/>
              </w:rPr>
            </w:pPr>
            <w:r>
              <w:rPr>
                <w:rFonts w:ascii="Arial" w:cs="Arial" w:eastAsia="Arial" w:hAnsi="Arial"/>
                <w:sz w:val="18"/>
                <w:szCs w:val="18"/>
                <w:color w:val="auto"/>
              </w:rPr>
              <w:t>Adjustments to prior acquisitions</w:t>
            </w:r>
          </w:p>
        </w:tc>
        <w:tc>
          <w:tcPr>
            <w:tcW w:w="2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gridSpan w:val="2"/>
          </w:tcPr>
          <w:p>
            <w:pPr>
              <w:jc w:val="right"/>
              <w:ind w:right="20"/>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060" w:type="dxa"/>
            <w:vAlign w:val="bottom"/>
            <w:shd w:val="clear" w:color="auto" w:fill="CFF0FC"/>
          </w:tcPr>
          <w:p>
            <w:pPr>
              <w:ind w:left="100"/>
              <w:spacing w:after="0"/>
              <w:rPr>
                <w:sz w:val="20"/>
                <w:szCs w:val="20"/>
                <w:color w:val="auto"/>
              </w:rPr>
            </w:pPr>
            <w:r>
              <w:rPr>
                <w:rFonts w:ascii="Arial" w:cs="Arial" w:eastAsia="Arial" w:hAnsi="Arial"/>
                <w:sz w:val="18"/>
                <w:szCs w:val="18"/>
                <w:color w:val="auto"/>
              </w:rPr>
              <w:t>Effect of foreign currency translation</w:t>
            </w:r>
          </w:p>
        </w:tc>
        <w:tc>
          <w:tcPr>
            <w:tcW w:w="26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6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(355.9 )</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6060" w:type="dxa"/>
            <w:vAlign w:val="bottom"/>
            <w:tcBorders>
              <w:top w:val="single" w:sz="8" w:color="CFF0FC"/>
            </w:tcBorders>
          </w:tcPr>
          <w:p>
            <w:pPr>
              <w:spacing w:after="0"/>
              <w:rPr>
                <w:sz w:val="20"/>
                <w:szCs w:val="20"/>
                <w:color w:val="auto"/>
              </w:rPr>
            </w:pPr>
            <w:r>
              <w:rPr>
                <w:rFonts w:ascii="Arial" w:cs="Arial" w:eastAsia="Arial" w:hAnsi="Arial"/>
                <w:sz w:val="18"/>
                <w:szCs w:val="18"/>
                <w:color w:val="auto"/>
              </w:rPr>
              <w:t>Balance at September 30, 2022</w:t>
            </w:r>
          </w:p>
        </w:tc>
        <w:tc>
          <w:tcPr>
            <w:tcW w:w="260" w:type="dxa"/>
            <w:vAlign w:val="bottom"/>
            <w:tcBorders>
              <w:top w:val="single" w:sz="8" w:color="CFF0FC"/>
            </w:tcBorders>
          </w:tcPr>
          <w:p>
            <w:pPr>
              <w:spacing w:after="0"/>
              <w:rPr>
                <w:sz w:val="18"/>
                <w:szCs w:val="18"/>
                <w:color w:val="auto"/>
              </w:rPr>
            </w:pPr>
          </w:p>
        </w:tc>
        <w:tc>
          <w:tcPr>
            <w:tcW w:w="1460" w:type="dxa"/>
            <w:vAlign w:val="bottom"/>
            <w:tcBorders>
              <w:top w:val="single" w:sz="8" w:color="CFF0FC"/>
            </w:tcBorders>
          </w:tcPr>
          <w:p>
            <w:pPr>
              <w:spacing w:after="0"/>
              <w:rPr>
                <w:sz w:val="18"/>
                <w:szCs w:val="18"/>
                <w:color w:val="auto"/>
              </w:rPr>
            </w:pPr>
          </w:p>
        </w:tc>
        <w:tc>
          <w:tcPr>
            <w:tcW w:w="280" w:type="dxa"/>
            <w:vAlign w:val="bottom"/>
            <w:tcBorders>
              <w:top w:val="single" w:sz="8" w:color="CFF0FC"/>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8,713.2</w:t>
            </w:r>
          </w:p>
        </w:tc>
        <w:tc>
          <w:tcPr>
            <w:tcW w:w="100" w:type="dxa"/>
            <w:vAlign w:val="bottom"/>
            <w:tcBorders>
              <w:top w:val="single" w:sz="8" w:color="CFF0FC"/>
            </w:tcBorders>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40" w:type="dxa"/>
            <w:vAlign w:val="bottom"/>
            <w:gridSpan w:val="2"/>
            <w:vMerge w:val="restart"/>
          </w:tcPr>
          <w:p>
            <w:pPr>
              <w:jc w:val="right"/>
              <w:ind w:right="5490"/>
              <w:spacing w:after="0"/>
              <w:rPr>
                <w:sz w:val="20"/>
                <w:szCs w:val="20"/>
                <w:color w:val="auto"/>
              </w:rPr>
            </w:pPr>
            <w:r>
              <w:rPr>
                <w:rFonts w:ascii="Arial" w:cs="Arial" w:eastAsia="Arial" w:hAnsi="Arial"/>
                <w:sz w:val="18"/>
                <w:szCs w:val="18"/>
                <w:b w:val="1"/>
                <w:bCs w:val="1"/>
                <w:color w:val="auto"/>
                <w:w w:val="91"/>
              </w:rPr>
              <w:t>Note 7—Debt</w:t>
            </w:r>
          </w:p>
        </w:tc>
        <w:tc>
          <w:tcPr>
            <w:tcW w:w="2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64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8640" w:type="dxa"/>
            <w:vAlign w:val="bottom"/>
            <w:gridSpan w:val="5"/>
          </w:tcPr>
          <w:p>
            <w:pPr>
              <w:jc w:val="right"/>
              <w:ind w:right="1380"/>
              <w:spacing w:after="0"/>
              <w:rPr>
                <w:sz w:val="20"/>
                <w:szCs w:val="20"/>
                <w:color w:val="auto"/>
              </w:rPr>
            </w:pPr>
            <w:r>
              <w:rPr>
                <w:rFonts w:ascii="Arial" w:cs="Arial" w:eastAsia="Arial" w:hAnsi="Arial"/>
                <w:sz w:val="18"/>
                <w:szCs w:val="18"/>
                <w:color w:val="auto"/>
                <w:w w:val="98"/>
              </w:rPr>
              <w:t>At September 30, 2022 and December 31, 2021, debt consisted of the following (in millions):</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580" w:type="dxa"/>
            <w:vAlign w:val="bottom"/>
          </w:tcPr>
          <w:p>
            <w:pPr>
              <w:spacing w:after="0"/>
              <w:rPr>
                <w:sz w:val="22"/>
                <w:szCs w:val="22"/>
                <w:color w:val="auto"/>
              </w:rPr>
            </w:pPr>
          </w:p>
        </w:tc>
        <w:tc>
          <w:tcPr>
            <w:tcW w:w="60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74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60" w:type="dxa"/>
            <w:vAlign w:val="bottom"/>
            <w:gridSpan w:val="3"/>
          </w:tcPr>
          <w:p>
            <w:pPr>
              <w:jc w:val="right"/>
              <w:ind w:right="760"/>
              <w:spacing w:after="0"/>
              <w:rPr>
                <w:sz w:val="20"/>
                <w:szCs w:val="20"/>
                <w:color w:val="auto"/>
              </w:rPr>
            </w:pPr>
            <w:r>
              <w:rPr>
                <w:rFonts w:ascii="Arial" w:cs="Arial" w:eastAsia="Arial" w:hAnsi="Arial"/>
                <w:sz w:val="14"/>
                <w:szCs w:val="14"/>
                <w:b w:val="1"/>
                <w:bCs w:val="1"/>
                <w:color w:val="auto"/>
                <w:w w:val="96"/>
              </w:rPr>
              <w:t>December 31,</w:t>
            </w:r>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5"/>
        </w:trPr>
        <w:tc>
          <w:tcPr>
            <w:tcW w:w="580" w:type="dxa"/>
            <w:vAlign w:val="bottom"/>
          </w:tcPr>
          <w:p>
            <w:pPr>
              <w:spacing w:after="0"/>
              <w:rPr>
                <w:sz w:val="16"/>
                <w:szCs w:val="16"/>
                <w:color w:val="auto"/>
              </w:rPr>
            </w:pPr>
          </w:p>
        </w:tc>
        <w:tc>
          <w:tcPr>
            <w:tcW w:w="60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634"/>
              <w:spacing w:after="0"/>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580" w:type="dxa"/>
            <w:vAlign w:val="bottom"/>
          </w:tcPr>
          <w:p>
            <w:pPr>
              <w:spacing w:after="0"/>
              <w:rPr>
                <w:sz w:val="14"/>
                <w:szCs w:val="14"/>
                <w:color w:val="auto"/>
              </w:rPr>
            </w:pPr>
          </w:p>
        </w:tc>
        <w:tc>
          <w:tcPr>
            <w:tcW w:w="6060" w:type="dxa"/>
            <w:vAlign w:val="bottom"/>
            <w:shd w:val="clear" w:color="auto" w:fill="CFF0FC"/>
          </w:tcPr>
          <w:p>
            <w:pPr>
              <w:spacing w:after="0" w:line="168" w:lineRule="exact"/>
              <w:rPr>
                <w:sz w:val="20"/>
                <w:szCs w:val="20"/>
                <w:color w:val="auto"/>
              </w:rPr>
            </w:pPr>
            <w:r>
              <w:rPr>
                <w:rFonts w:ascii="Arial" w:cs="Arial" w:eastAsia="Arial" w:hAnsi="Arial"/>
                <w:sz w:val="18"/>
                <w:szCs w:val="18"/>
                <w:color w:val="auto"/>
              </w:rPr>
              <w:t>Senior secured credit facilities, weighted-average interest rate of 5.00% and</w:t>
            </w:r>
          </w:p>
        </w:tc>
        <w:tc>
          <w:tcPr>
            <w:tcW w:w="260" w:type="dxa"/>
            <w:vAlign w:val="bottom"/>
            <w:shd w:val="clear" w:color="auto" w:fill="CFF0FC"/>
          </w:tcPr>
          <w:p>
            <w:pPr>
              <w:spacing w:after="0"/>
              <w:rPr>
                <w:sz w:val="14"/>
                <w:szCs w:val="14"/>
                <w:color w:val="auto"/>
              </w:rPr>
            </w:pPr>
          </w:p>
        </w:tc>
        <w:tc>
          <w:tcPr>
            <w:tcW w:w="14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3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6060" w:type="dxa"/>
            <w:vAlign w:val="bottom"/>
            <w:shd w:val="clear" w:color="auto" w:fill="CFF0FC"/>
          </w:tcPr>
          <w:p>
            <w:pPr>
              <w:spacing w:after="0"/>
              <w:rPr>
                <w:sz w:val="20"/>
                <w:szCs w:val="20"/>
                <w:color w:val="auto"/>
              </w:rPr>
            </w:pPr>
            <w:r>
              <w:rPr>
                <w:rFonts w:ascii="Arial" w:cs="Arial" w:eastAsia="Arial" w:hAnsi="Arial"/>
                <w:sz w:val="18"/>
                <w:szCs w:val="18"/>
                <w:color w:val="auto"/>
              </w:rPr>
              <w:t>1.85%, respectively</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5,295.1</w:t>
            </w:r>
          </w:p>
        </w:tc>
        <w:tc>
          <w:tcPr>
            <w:tcW w:w="28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60" w:type="dxa"/>
            <w:vAlign w:val="bottom"/>
            <w:shd w:val="clear" w:color="auto" w:fill="CFF0FC"/>
          </w:tcPr>
          <w:p>
            <w:pPr>
              <w:spacing w:after="0"/>
              <w:rPr>
                <w:sz w:val="20"/>
                <w:szCs w:val="20"/>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3,974.5</w:t>
            </w:r>
          </w:p>
        </w:tc>
        <w:tc>
          <w:tcPr>
            <w:tcW w:w="2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5.5% senior notes due 2027</w:t>
            </w:r>
          </w:p>
        </w:tc>
        <w:tc>
          <w:tcPr>
            <w:tcW w:w="2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2,000.0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2,000.0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060" w:type="dxa"/>
            <w:vAlign w:val="bottom"/>
            <w:shd w:val="clear" w:color="auto" w:fill="CFF0FC"/>
          </w:tcPr>
          <w:p>
            <w:pPr>
              <w:spacing w:after="0"/>
              <w:rPr>
                <w:sz w:val="20"/>
                <w:szCs w:val="20"/>
                <w:color w:val="auto"/>
              </w:rPr>
            </w:pPr>
            <w:r>
              <w:rPr>
                <w:rFonts w:ascii="Arial" w:cs="Arial" w:eastAsia="Arial" w:hAnsi="Arial"/>
                <w:sz w:val="18"/>
                <w:szCs w:val="18"/>
                <w:color w:val="auto"/>
              </w:rPr>
              <w:t>Other indebtedness</w:t>
            </w:r>
          </w:p>
        </w:tc>
        <w:tc>
          <w:tcPr>
            <w:tcW w:w="26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Unamortized original issue discount and debt issuance costs</w:t>
            </w:r>
          </w:p>
        </w:tc>
        <w:tc>
          <w:tcPr>
            <w:tcW w:w="260" w:type="dxa"/>
            <w:vAlign w:val="bottom"/>
          </w:tcPr>
          <w:p>
            <w:pPr>
              <w:spacing w:after="0"/>
              <w:rPr>
                <w:sz w:val="18"/>
                <w:szCs w:val="18"/>
                <w:color w:val="auto"/>
              </w:rPr>
            </w:pPr>
          </w:p>
        </w:tc>
        <w:tc>
          <w:tcPr>
            <w:tcW w:w="1740" w:type="dxa"/>
            <w:vAlign w:val="bottom"/>
            <w:gridSpan w:val="2"/>
          </w:tcPr>
          <w:p>
            <w:pPr>
              <w:jc w:val="right"/>
              <w:ind w:right="200"/>
              <w:spacing w:after="0"/>
              <w:rPr>
                <w:sz w:val="20"/>
                <w:szCs w:val="20"/>
                <w:color w:val="auto"/>
              </w:rPr>
            </w:pPr>
            <w:r>
              <w:rPr>
                <w:rFonts w:ascii="Arial" w:cs="Arial" w:eastAsia="Arial" w:hAnsi="Arial"/>
                <w:sz w:val="18"/>
                <w:szCs w:val="18"/>
                <w:color w:val="auto"/>
              </w:rPr>
              <w:t>(55.0 )</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gridSpan w:val="2"/>
          </w:tcPr>
          <w:p>
            <w:pPr>
              <w:jc w:val="right"/>
              <w:ind w:right="160"/>
              <w:spacing w:after="0"/>
              <w:rPr>
                <w:sz w:val="20"/>
                <w:szCs w:val="20"/>
                <w:color w:val="auto"/>
              </w:rPr>
            </w:pPr>
            <w:r>
              <w:rPr>
                <w:rFonts w:ascii="Arial" w:cs="Arial" w:eastAsia="Arial" w:hAnsi="Arial"/>
                <w:sz w:val="18"/>
                <w:szCs w:val="18"/>
                <w:color w:val="auto"/>
              </w:rPr>
              <w:t>(30.8 )</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606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7,241.1</w:t>
            </w:r>
          </w:p>
        </w:tc>
        <w:tc>
          <w:tcPr>
            <w:tcW w:w="28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5,948.9</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Less: current portion of long-term debt</w:t>
            </w:r>
          </w:p>
        </w:tc>
        <w:tc>
          <w:tcPr>
            <w:tcW w:w="2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57.4</w:t>
            </w:r>
          </w:p>
        </w:tc>
        <w:tc>
          <w:tcPr>
            <w:tcW w:w="2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80" w:type="dxa"/>
            <w:vAlign w:val="bottom"/>
          </w:tcPr>
          <w:p>
            <w:pPr>
              <w:spacing w:after="0"/>
              <w:rPr>
                <w:sz w:val="21"/>
                <w:szCs w:val="21"/>
                <w:color w:val="auto"/>
              </w:rPr>
            </w:pPr>
          </w:p>
        </w:tc>
        <w:tc>
          <w:tcPr>
            <w:tcW w:w="606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18"/>
                <w:szCs w:val="18"/>
                <w:color w:val="auto"/>
              </w:rPr>
              <w:t>Long-term debt</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7,183.7</w:t>
            </w:r>
          </w:p>
        </w:tc>
        <w:tc>
          <w:tcPr>
            <w:tcW w:w="2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6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5,901.5</w:t>
            </w:r>
          </w:p>
        </w:tc>
        <w:tc>
          <w:tcPr>
            <w:tcW w:w="24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29"/>
        </w:trPr>
        <w:tc>
          <w:tcPr>
            <w:tcW w:w="6640" w:type="dxa"/>
            <w:vAlign w:val="bottom"/>
            <w:gridSpan w:val="2"/>
          </w:tcPr>
          <w:p>
            <w:pPr>
              <w:jc w:val="right"/>
              <w:ind w:right="830"/>
              <w:spacing w:after="0"/>
              <w:rPr>
                <w:sz w:val="20"/>
                <w:szCs w:val="20"/>
                <w:color w:val="auto"/>
              </w:rPr>
            </w:pPr>
            <w:r>
              <w:rPr>
                <w:rFonts w:ascii="Arial" w:cs="Arial" w:eastAsia="Arial" w:hAnsi="Arial"/>
                <w:sz w:val="18"/>
                <w:szCs w:val="18"/>
                <w:color w:val="auto"/>
              </w:rPr>
              <w:t>13</w:t>
            </w:r>
          </w:p>
        </w:tc>
        <w:tc>
          <w:tcPr>
            <w:tcW w:w="2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580" w:type="dxa"/>
            <w:vAlign w:val="bottom"/>
            <w:tcBorders>
              <w:bottom w:val="single" w:sz="8" w:color="9A9A9A"/>
            </w:tcBorders>
          </w:tcPr>
          <w:p>
            <w:pPr>
              <w:spacing w:after="0"/>
              <w:rPr>
                <w:sz w:val="7"/>
                <w:szCs w:val="7"/>
                <w:color w:val="auto"/>
              </w:rPr>
            </w:pPr>
          </w:p>
        </w:tc>
        <w:tc>
          <w:tcPr>
            <w:tcW w:w="606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146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132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6717030</wp:posOffset>
            </wp:positionH>
            <wp:positionV relativeFrom="paragraph">
              <wp:posOffset>-2536825</wp:posOffset>
            </wp:positionV>
            <wp:extent cx="60325" cy="17145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0325" cy="171450"/>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-504825</wp:posOffset>
            </wp:positionV>
            <wp:extent cx="6032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-487680</wp:posOffset>
            </wp:positionV>
            <wp:extent cx="6032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-504825</wp:posOffset>
            </wp:positionV>
            <wp:extent cx="5969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-487680</wp:posOffset>
            </wp:positionV>
            <wp:extent cx="5969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i w:val="1"/>
          <w:iCs w:val="1"/>
          <w:color w:val="auto"/>
        </w:rPr>
        <w:t>Senior Secured Credit Facilities</w:t>
      </w:r>
    </w:p>
    <w:p>
      <w:pPr>
        <w:spacing w:after="0" w:line="104" w:lineRule="exact"/>
        <w:rPr>
          <w:sz w:val="20"/>
          <w:szCs w:val="20"/>
          <w:color w:val="auto"/>
        </w:rPr>
      </w:pPr>
    </w:p>
    <w:p>
      <w:pPr>
        <w:jc w:val="both"/>
        <w:ind w:right="160" w:firstLine="509"/>
        <w:spacing w:after="0" w:line="245" w:lineRule="auto"/>
        <w:rPr>
          <w:sz w:val="20"/>
          <w:szCs w:val="20"/>
          <w:color w:val="auto"/>
        </w:rPr>
      </w:pPr>
      <w:r>
        <w:rPr>
          <w:rFonts w:ascii="Arial" w:cs="Arial" w:eastAsia="Arial" w:hAnsi="Arial"/>
          <w:sz w:val="18"/>
          <w:szCs w:val="18"/>
          <w:color w:val="auto"/>
        </w:rPr>
        <w:t>On March 22, 2022, in connection with our acquisition of Blue Prism, we entered into an Incremental Joinder to the amended and restated credit agreement dated April 16, 2018 (“Credit Agreement”) with certain of our subsidiaries. Pursuant to the Incremental Joinder, a new $650.0 million senior secured incremental term loan B facility (“Term B-6 Loan”) and a new $880.0 million senior secured incremental term loan B facility (“Term B-7 Loan” and, together with the Term B-6 Loan, the “Incremental Term Loans”) was made available to us, the proceeds of which were used to finance substantially all of the consideration for the acquisition of Blue Prism.</w:t>
      </w:r>
    </w:p>
    <w:p>
      <w:pPr>
        <w:spacing w:after="0" w:line="91" w:lineRule="exact"/>
        <w:rPr>
          <w:sz w:val="20"/>
          <w:szCs w:val="20"/>
          <w:color w:val="auto"/>
        </w:rPr>
      </w:pPr>
    </w:p>
    <w:p>
      <w:pPr>
        <w:ind w:right="60" w:firstLine="509"/>
        <w:spacing w:after="0" w:line="283" w:lineRule="auto"/>
        <w:rPr>
          <w:sz w:val="20"/>
          <w:szCs w:val="20"/>
          <w:color w:val="auto"/>
        </w:rPr>
      </w:pPr>
      <w:r>
        <w:rPr>
          <w:rFonts w:ascii="Arial" w:cs="Arial" w:eastAsia="Arial" w:hAnsi="Arial"/>
          <w:sz w:val="16"/>
          <w:szCs w:val="16"/>
          <w:color w:val="auto"/>
        </w:rPr>
        <w:t>The Incremental Term Loans mature on March 22, 2029 and bear interest at, at our option, the Base Rate, plus 1.25% per annum or the Term Secured Overnight Financing Rate (“SOFR”), which is subject to a floor of 0.50%, plus a credit spread adjustment set forth in the Credit Agreement, plus 2.25% per annum. The Incremental Term Loans are also subject to a 1.00% repricing premium, which will be payable in connection with certain repricing transactions (if any) completed prior to the six-month anniversary of the incurrence of the Incremental Term Loans. In connection with the Incremental Joinder, we capitalized an aggregate of $37.7 million in financing costs during the nine months ended September 30, 2022.</w:t>
      </w:r>
    </w:p>
    <w:p>
      <w:pPr>
        <w:spacing w:after="0" w:line="49" w:lineRule="exact"/>
        <w:rPr>
          <w:sz w:val="20"/>
          <w:szCs w:val="20"/>
          <w:color w:val="auto"/>
        </w:rPr>
      </w:pPr>
    </w:p>
    <w:p>
      <w:pPr>
        <w:ind w:right="200" w:firstLine="509"/>
        <w:spacing w:after="0" w:line="261" w:lineRule="auto"/>
        <w:rPr>
          <w:sz w:val="20"/>
          <w:szCs w:val="20"/>
          <w:color w:val="auto"/>
        </w:rPr>
      </w:pPr>
      <w:r>
        <w:rPr>
          <w:rFonts w:ascii="Arial" w:cs="Arial" w:eastAsia="Arial" w:hAnsi="Arial"/>
          <w:sz w:val="18"/>
          <w:szCs w:val="18"/>
          <w:color w:val="auto"/>
        </w:rPr>
        <w:t>Except as described above, the terms, covenants and events of default applicable to the Incremental Term Loans are materially consistent with the terms, covenants and events of default applicable to the other term loans incurred under the Credit Agreement.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Debt</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carrying amounts and fair values of financial instruments are as follows (in millions):</w:t>
      </w:r>
    </w:p>
    <w:p>
      <w:pPr>
        <w:spacing w:after="0" w:line="217"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42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4"/>
          </w:tcPr>
          <w:p>
            <w:pPr>
              <w:jc w:val="right"/>
              <w:ind w:right="697"/>
              <w:spacing w:after="0"/>
              <w:rPr>
                <w:sz w:val="20"/>
                <w:szCs w:val="20"/>
                <w:color w:val="auto"/>
              </w:rPr>
            </w:pPr>
            <w:r>
              <w:rPr>
                <w:rFonts w:ascii="Arial" w:cs="Arial" w:eastAsia="Arial" w:hAnsi="Arial"/>
                <w:sz w:val="14"/>
                <w:szCs w:val="14"/>
                <w:b w:val="1"/>
                <w:bCs w:val="1"/>
                <w:color w:val="auto"/>
              </w:rPr>
              <w:t>September 30, 2022</w:t>
            </w:r>
          </w:p>
        </w:tc>
        <w:tc>
          <w:tcPr>
            <w:tcW w:w="2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4"/>
          </w:tcPr>
          <w:p>
            <w:pPr>
              <w:jc w:val="right"/>
              <w:ind w:right="677"/>
              <w:spacing w:after="0"/>
              <w:rPr>
                <w:sz w:val="20"/>
                <w:szCs w:val="20"/>
                <w:color w:val="auto"/>
              </w:rPr>
            </w:pPr>
            <w:r>
              <w:rPr>
                <w:rFonts w:ascii="Arial" w:cs="Arial" w:eastAsia="Arial" w:hAnsi="Arial"/>
                <w:sz w:val="14"/>
                <w:szCs w:val="14"/>
                <w:b w:val="1"/>
                <w:bCs w:val="1"/>
                <w:color w:val="auto"/>
              </w:rPr>
              <w:t>December 31, 2021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4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jc w:val="right"/>
              <w:ind w:right="259"/>
              <w:spacing w:after="0" w:line="160" w:lineRule="exact"/>
              <w:rPr>
                <w:sz w:val="20"/>
                <w:szCs w:val="20"/>
                <w:color w:val="auto"/>
              </w:rPr>
            </w:pPr>
            <w:r>
              <w:rPr>
                <w:rFonts w:ascii="Arial" w:cs="Arial" w:eastAsia="Arial" w:hAnsi="Arial"/>
                <w:sz w:val="14"/>
                <w:szCs w:val="14"/>
                <w:b w:val="1"/>
                <w:bCs w:val="1"/>
                <w:color w:val="auto"/>
              </w:rPr>
              <w:t>Carrying</w:t>
            </w: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tcPr>
          <w:p>
            <w:pPr>
              <w:jc w:val="right"/>
              <w:ind w:right="437"/>
              <w:spacing w:after="0" w:line="160" w:lineRule="exact"/>
              <w:rPr>
                <w:sz w:val="20"/>
                <w:szCs w:val="20"/>
                <w:color w:val="auto"/>
              </w:rPr>
            </w:pPr>
            <w:r>
              <w:rPr>
                <w:rFonts w:ascii="Arial" w:cs="Arial" w:eastAsia="Arial" w:hAnsi="Arial"/>
                <w:sz w:val="14"/>
                <w:szCs w:val="14"/>
                <w:b w:val="1"/>
                <w:bCs w:val="1"/>
                <w:color w:val="auto"/>
              </w:rPr>
              <w:t>Fair</w:t>
            </w: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jc w:val="right"/>
              <w:ind w:right="239"/>
              <w:spacing w:after="0" w:line="160" w:lineRule="exact"/>
              <w:rPr>
                <w:sz w:val="20"/>
                <w:szCs w:val="20"/>
                <w:color w:val="auto"/>
              </w:rPr>
            </w:pPr>
            <w:r>
              <w:rPr>
                <w:rFonts w:ascii="Arial" w:cs="Arial" w:eastAsia="Arial" w:hAnsi="Arial"/>
                <w:sz w:val="14"/>
                <w:szCs w:val="14"/>
                <w:b w:val="1"/>
                <w:bCs w:val="1"/>
                <w:color w:val="auto"/>
              </w:rPr>
              <w:t>Carrying</w:t>
            </w: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jc w:val="right"/>
              <w:ind w:right="417"/>
              <w:spacing w:after="0" w:line="160" w:lineRule="exact"/>
              <w:rPr>
                <w:sz w:val="20"/>
                <w:szCs w:val="20"/>
                <w:color w:val="auto"/>
              </w:rPr>
            </w:pPr>
            <w:r>
              <w:rPr>
                <w:rFonts w:ascii="Arial" w:cs="Arial" w:eastAsia="Arial" w:hAnsi="Arial"/>
                <w:sz w:val="14"/>
                <w:szCs w:val="14"/>
                <w:b w:val="1"/>
                <w:bCs w:val="1"/>
                <w:color w:val="auto"/>
              </w:rPr>
              <w:t>Fair</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4280" w:type="dxa"/>
            <w:vAlign w:val="bottom"/>
            <w:vMerge w:val="restart"/>
          </w:tcPr>
          <w:p>
            <w:pPr>
              <w:spacing w:after="0"/>
              <w:rPr>
                <w:sz w:val="20"/>
                <w:szCs w:val="20"/>
                <w:color w:val="auto"/>
              </w:rPr>
            </w:pPr>
            <w:r>
              <w:rPr>
                <w:rFonts w:ascii="Arial" w:cs="Arial" w:eastAsia="Arial" w:hAnsi="Arial"/>
                <w:sz w:val="18"/>
                <w:szCs w:val="18"/>
                <w:color w:val="auto"/>
              </w:rPr>
              <w:t>Financial liabilities:</w:t>
            </w: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Amount</w:t>
            </w:r>
          </w:p>
        </w:tc>
        <w:tc>
          <w:tcPr>
            <w:tcW w:w="2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Value</w:t>
            </w:r>
          </w:p>
        </w:tc>
        <w:tc>
          <w:tcPr>
            <w:tcW w:w="2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Value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28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FF0FC"/>
          </w:tcPr>
          <w:p>
            <w:pPr>
              <w:ind w:left="180"/>
              <w:spacing w:after="0"/>
              <w:rPr>
                <w:sz w:val="20"/>
                <w:szCs w:val="20"/>
                <w:color w:val="auto"/>
              </w:rPr>
            </w:pPr>
            <w:r>
              <w:rPr>
                <w:rFonts w:ascii="Arial" w:cs="Arial" w:eastAsia="Arial" w:hAnsi="Arial"/>
                <w:sz w:val="18"/>
                <w:szCs w:val="18"/>
                <w:color w:val="auto"/>
              </w:rPr>
              <w:t>Senior secured credit facilities</w:t>
            </w:r>
          </w:p>
        </w:tc>
        <w:tc>
          <w:tcPr>
            <w:tcW w:w="2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5,295.1</w:t>
            </w:r>
          </w:p>
        </w:tc>
        <w:tc>
          <w:tcPr>
            <w:tcW w:w="5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5,175.9</w:t>
            </w:r>
          </w:p>
        </w:tc>
        <w:tc>
          <w:tcPr>
            <w:tcW w:w="4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3,974.5</w:t>
            </w:r>
          </w:p>
        </w:tc>
        <w:tc>
          <w:tcPr>
            <w:tcW w:w="5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3,943.5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ind w:left="180"/>
              <w:spacing w:after="0"/>
              <w:rPr>
                <w:sz w:val="20"/>
                <w:szCs w:val="20"/>
                <w:color w:val="auto"/>
              </w:rPr>
            </w:pPr>
            <w:r>
              <w:rPr>
                <w:rFonts w:ascii="Arial" w:cs="Arial" w:eastAsia="Arial" w:hAnsi="Arial"/>
                <w:sz w:val="18"/>
                <w:szCs w:val="18"/>
                <w:color w:val="auto"/>
              </w:rPr>
              <w:t>5.5% senior notes due 2027</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2,000.0</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1,832.7</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2,000.0</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2,094.8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FF0FC"/>
          </w:tcPr>
          <w:p>
            <w:pPr>
              <w:ind w:left="180"/>
              <w:spacing w:after="0"/>
              <w:rPr>
                <w:sz w:val="20"/>
                <w:szCs w:val="20"/>
                <w:color w:val="auto"/>
              </w:rPr>
            </w:pPr>
            <w:r>
              <w:rPr>
                <w:rFonts w:ascii="Arial" w:cs="Arial" w:eastAsia="Arial" w:hAnsi="Arial"/>
                <w:sz w:val="18"/>
                <w:szCs w:val="18"/>
                <w:color w:val="auto"/>
              </w:rPr>
              <w:t>Other indebtedness</w:t>
            </w: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right="300" w:firstLine="509"/>
        <w:spacing w:after="0" w:line="342" w:lineRule="auto"/>
        <w:rPr>
          <w:sz w:val="20"/>
          <w:szCs w:val="20"/>
          <w:color w:val="auto"/>
        </w:rPr>
      </w:pPr>
      <w:r>
        <w:rPr>
          <w:rFonts w:ascii="Arial" w:cs="Arial" w:eastAsia="Arial" w:hAnsi="Arial"/>
          <w:sz w:val="16"/>
          <w:szCs w:val="16"/>
          <w:color w:val="auto"/>
        </w:rPr>
        <w:t>The above fair values, which are Level 2 liabilities, were computed based on comparable quoted market prices. The fair values of cash, accounts receivable, net, short-term borrowings, and accounts payable approximate the carrying amounts due to the short-term maturities of these instruments.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8—Stockholders’ Equity</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repurchase program</w:t>
      </w:r>
    </w:p>
    <w:p>
      <w:pPr>
        <w:spacing w:after="0" w:line="117" w:lineRule="exact"/>
        <w:rPr>
          <w:sz w:val="20"/>
          <w:szCs w:val="20"/>
          <w:color w:val="auto"/>
        </w:rPr>
      </w:pPr>
    </w:p>
    <w:p>
      <w:pPr>
        <w:ind w:firstLine="509"/>
        <w:spacing w:after="0" w:line="276" w:lineRule="auto"/>
        <w:rPr>
          <w:sz w:val="20"/>
          <w:szCs w:val="20"/>
          <w:color w:val="auto"/>
        </w:rPr>
      </w:pPr>
      <w:r>
        <w:rPr>
          <w:rFonts w:ascii="Arial" w:cs="Arial" w:eastAsia="Arial" w:hAnsi="Arial"/>
          <w:sz w:val="16"/>
          <w:szCs w:val="16"/>
          <w:color w:val="auto"/>
        </w:rPr>
        <w:t>In July 2021, our Board of Directors authorized a stock repurchase program, which enabled us to repurchase up to $1 billion in the aggregate of our outstanding common stock on the open market or in privately negotiated transactions until the one-year anniversary of the Board’s authorization, unless earlier terminated by the Board. In July 2022, our Board of Directors authorized a new stock repurchase program, which also enables us to repurchase up to $1 billion in the aggregate of our outstanding common stock on the open market or in privately negotiated transactions. Our authority to repurchase shares under the program will continue until the one-year anniversary of the Board’s authorization, unless earlier terminated by the Board. During the three and nine months ended September 30, 2022, we repurchased 3.7 million and 6.0 million shares, respectively, of common stock for approximately $214.5 and $385.4 million, respectively. During the three and nine months ended September 30, 2021, we repurchased 2.1 million and 6.8 million shares, respectively, of common stock for approximately $162.9 million and $487.9 million, respectively. We use the cost method to account for treasury stock purchases. Under the cost method, the price paid for the stock is charged to the treasury stock account.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104" w:lineRule="exact"/>
        <w:rPr>
          <w:sz w:val="20"/>
          <w:szCs w:val="20"/>
          <w:color w:val="auto"/>
        </w:rPr>
      </w:pPr>
    </w:p>
    <w:p>
      <w:pPr>
        <w:ind w:right="200" w:firstLine="509"/>
        <w:spacing w:after="0" w:line="324" w:lineRule="auto"/>
        <w:rPr>
          <w:sz w:val="20"/>
          <w:szCs w:val="20"/>
          <w:color w:val="auto"/>
        </w:rPr>
      </w:pPr>
      <w:r>
        <w:rPr>
          <w:rFonts w:ascii="Arial" w:cs="Arial" w:eastAsia="Arial" w:hAnsi="Arial"/>
          <w:sz w:val="16"/>
          <w:szCs w:val="16"/>
          <w:color w:val="auto"/>
        </w:rPr>
        <w:t>We paid quarterly cash dividends of $0.20 per share of common stock in each of March, June and September of 2022 totaling $153.4 million. We paid quarterly cash dividends of $0.16 per share of common stock in each of March, June and September of 2021 totaling $122.8 million.</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14" w:name="page15"/>
    <w:bookmarkEnd w:id="14"/>
    <w:p>
      <w:pPr>
        <w:spacing w:after="0"/>
        <w:rPr>
          <w:sz w:val="20"/>
          <w:szCs w:val="20"/>
          <w:color w:val="auto"/>
        </w:rPr>
      </w:pPr>
      <w:r>
        <w:rPr>
          <w:rFonts w:ascii="Arial" w:cs="Arial" w:eastAsia="Arial" w:hAnsi="Arial"/>
          <w:sz w:val="18"/>
          <w:szCs w:val="18"/>
          <w:i w:val="1"/>
          <w:iCs w:val="1"/>
          <w:color w:val="auto"/>
        </w:rPr>
        <w:t>Accumulated Other Comprehensive Loss</w:t>
      </w:r>
    </w:p>
    <w:p>
      <w:pPr>
        <w:spacing w:after="0" w:line="117" w:lineRule="exact"/>
        <w:rPr>
          <w:sz w:val="20"/>
          <w:szCs w:val="20"/>
          <w:color w:val="auto"/>
        </w:rPr>
      </w:pPr>
    </w:p>
    <w:p>
      <w:pPr>
        <w:ind w:left="480"/>
        <w:spacing w:after="0"/>
        <w:rPr>
          <w:sz w:val="20"/>
          <w:szCs w:val="20"/>
          <w:color w:val="auto"/>
        </w:rPr>
      </w:pPr>
      <w:r>
        <w:rPr>
          <w:rFonts w:ascii="Arial" w:cs="Arial" w:eastAsia="Arial" w:hAnsi="Arial"/>
          <w:sz w:val="18"/>
          <w:szCs w:val="18"/>
          <w:color w:val="auto"/>
        </w:rPr>
        <w:t>Accumulated other comprehensive loss balances, net of tax, consists of the following (in millions):</w:t>
      </w:r>
    </w:p>
    <w:p>
      <w:pPr>
        <w:spacing w:after="0" w:line="96"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jc w:val="center"/>
              <w:ind w:right="328"/>
              <w:spacing w:after="0"/>
              <w:rPr>
                <w:sz w:val="20"/>
                <w:szCs w:val="20"/>
                <w:color w:val="auto"/>
              </w:rPr>
            </w:pPr>
            <w:r>
              <w:rPr>
                <w:rFonts w:ascii="Arial" w:cs="Arial" w:eastAsia="Arial" w:hAnsi="Arial"/>
                <w:sz w:val="14"/>
                <w:szCs w:val="14"/>
                <w:b w:val="1"/>
                <w:bCs w:val="1"/>
                <w:color w:val="auto"/>
                <w:w w:val="94"/>
              </w:rPr>
              <w:t>Interest Rate</w:t>
            </w:r>
          </w:p>
        </w:tc>
        <w:tc>
          <w:tcPr>
            <w:tcW w:w="1480" w:type="dxa"/>
            <w:vAlign w:val="bottom"/>
            <w:gridSpan w:val="3"/>
          </w:tcPr>
          <w:p>
            <w:pPr>
              <w:jc w:val="right"/>
              <w:ind w:right="248"/>
              <w:spacing w:after="0"/>
              <w:rPr>
                <w:sz w:val="20"/>
                <w:szCs w:val="20"/>
                <w:color w:val="auto"/>
              </w:rPr>
            </w:pPr>
            <w:r>
              <w:rPr>
                <w:rFonts w:ascii="Arial" w:cs="Arial" w:eastAsia="Arial" w:hAnsi="Arial"/>
                <w:sz w:val="14"/>
                <w:szCs w:val="14"/>
                <w:b w:val="1"/>
                <w:bCs w:val="1"/>
                <w:color w:val="auto"/>
                <w:w w:val="97"/>
              </w:rPr>
              <w:t>Foreign Currency</w:t>
            </w:r>
          </w:p>
        </w:tc>
        <w:tc>
          <w:tcPr>
            <w:tcW w:w="100" w:type="dxa"/>
            <w:vAlign w:val="bottom"/>
          </w:tcPr>
          <w:p>
            <w:pPr>
              <w:spacing w:after="0"/>
              <w:rPr>
                <w:sz w:val="14"/>
                <w:szCs w:val="14"/>
                <w:color w:val="auto"/>
              </w:rPr>
            </w:pPr>
          </w:p>
        </w:tc>
        <w:tc>
          <w:tcPr>
            <w:tcW w:w="1300" w:type="dxa"/>
            <w:vAlign w:val="bottom"/>
            <w:gridSpan w:val="2"/>
          </w:tcPr>
          <w:p>
            <w:pPr>
              <w:jc w:val="right"/>
              <w:ind w:right="268"/>
              <w:spacing w:after="0"/>
              <w:rPr>
                <w:sz w:val="20"/>
                <w:szCs w:val="20"/>
                <w:color w:val="auto"/>
              </w:rPr>
            </w:pPr>
            <w:r>
              <w:rPr>
                <w:rFonts w:ascii="Arial" w:cs="Arial" w:eastAsia="Arial" w:hAnsi="Arial"/>
                <w:sz w:val="14"/>
                <w:szCs w:val="14"/>
                <w:b w:val="1"/>
                <w:bCs w:val="1"/>
                <w:color w:val="auto"/>
                <w:w w:val="91"/>
              </w:rPr>
              <w:t>Defined Benefit</w:t>
            </w:r>
          </w:p>
        </w:tc>
        <w:tc>
          <w:tcPr>
            <w:tcW w:w="1500" w:type="dxa"/>
            <w:vAlign w:val="bottom"/>
            <w:gridSpan w:val="3"/>
          </w:tcPr>
          <w:p>
            <w:pPr>
              <w:jc w:val="right"/>
              <w:ind w:right="148"/>
              <w:spacing w:after="0"/>
              <w:rPr>
                <w:sz w:val="20"/>
                <w:szCs w:val="20"/>
                <w:color w:val="auto"/>
              </w:rPr>
            </w:pPr>
            <w:r>
              <w:rPr>
                <w:rFonts w:ascii="Arial" w:cs="Arial" w:eastAsia="Arial" w:hAnsi="Arial"/>
                <w:sz w:val="14"/>
                <w:szCs w:val="14"/>
                <w:b w:val="1"/>
                <w:bCs w:val="1"/>
                <w:color w:val="auto"/>
                <w:w w:val="97"/>
              </w:rPr>
              <w:t>Accumulated Other</w:t>
            </w:r>
          </w:p>
        </w:tc>
      </w:tr>
      <w:tr>
        <w:trPr>
          <w:trHeight w:val="185"/>
        </w:trPr>
        <w:tc>
          <w:tcPr>
            <w:tcW w:w="4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tcPr>
          <w:p>
            <w:pPr>
              <w:jc w:val="center"/>
              <w:ind w:right="308"/>
              <w:spacing w:after="0"/>
              <w:rPr>
                <w:sz w:val="20"/>
                <w:szCs w:val="20"/>
                <w:color w:val="auto"/>
              </w:rPr>
            </w:pPr>
            <w:r>
              <w:rPr>
                <w:rFonts w:ascii="Arial" w:cs="Arial" w:eastAsia="Arial" w:hAnsi="Arial"/>
                <w:sz w:val="14"/>
                <w:szCs w:val="14"/>
                <w:b w:val="1"/>
                <w:bCs w:val="1"/>
                <w:color w:val="auto"/>
                <w:w w:val="92"/>
              </w:rPr>
              <w:t>Swap</w:t>
            </w:r>
          </w:p>
        </w:tc>
        <w:tc>
          <w:tcPr>
            <w:tcW w:w="180" w:type="dxa"/>
            <w:vAlign w:val="bottom"/>
          </w:tcPr>
          <w:p>
            <w:pPr>
              <w:spacing w:after="0"/>
              <w:rPr>
                <w:sz w:val="16"/>
                <w:szCs w:val="16"/>
                <w:color w:val="auto"/>
              </w:rPr>
            </w:pPr>
          </w:p>
        </w:tc>
        <w:tc>
          <w:tcPr>
            <w:tcW w:w="1300" w:type="dxa"/>
            <w:vAlign w:val="bottom"/>
            <w:gridSpan w:val="2"/>
          </w:tcPr>
          <w:p>
            <w:pPr>
              <w:jc w:val="right"/>
              <w:ind w:right="428"/>
              <w:spacing w:after="0"/>
              <w:rPr>
                <w:sz w:val="20"/>
                <w:szCs w:val="20"/>
                <w:color w:val="auto"/>
              </w:rPr>
            </w:pPr>
            <w:r>
              <w:rPr>
                <w:rFonts w:ascii="Arial" w:cs="Arial" w:eastAsia="Arial" w:hAnsi="Arial"/>
                <w:sz w:val="14"/>
                <w:szCs w:val="14"/>
                <w:b w:val="1"/>
                <w:bCs w:val="1"/>
                <w:color w:val="auto"/>
              </w:rPr>
              <w:t>Translation</w:t>
            </w:r>
          </w:p>
        </w:tc>
        <w:tc>
          <w:tcPr>
            <w:tcW w:w="100" w:type="dxa"/>
            <w:vAlign w:val="bottom"/>
          </w:tcPr>
          <w:p>
            <w:pPr>
              <w:spacing w:after="0"/>
              <w:rPr>
                <w:sz w:val="16"/>
                <w:szCs w:val="16"/>
                <w:color w:val="auto"/>
              </w:rPr>
            </w:pPr>
          </w:p>
        </w:tc>
        <w:tc>
          <w:tcPr>
            <w:tcW w:w="1300" w:type="dxa"/>
            <w:vAlign w:val="bottom"/>
            <w:gridSpan w:val="2"/>
          </w:tcPr>
          <w:p>
            <w:pPr>
              <w:jc w:val="right"/>
              <w:ind w:right="408"/>
              <w:spacing w:after="0"/>
              <w:rPr>
                <w:sz w:val="20"/>
                <w:szCs w:val="20"/>
                <w:color w:val="auto"/>
              </w:rPr>
            </w:pPr>
            <w:r>
              <w:rPr>
                <w:rFonts w:ascii="Arial" w:cs="Arial" w:eastAsia="Arial" w:hAnsi="Arial"/>
                <w:sz w:val="14"/>
                <w:szCs w:val="14"/>
                <w:b w:val="1"/>
                <w:bCs w:val="1"/>
                <w:color w:val="auto"/>
              </w:rPr>
              <w:t>Obligation</w:t>
            </w:r>
          </w:p>
        </w:tc>
        <w:tc>
          <w:tcPr>
            <w:tcW w:w="1500" w:type="dxa"/>
            <w:vAlign w:val="bottom"/>
            <w:gridSpan w:val="3"/>
          </w:tcPr>
          <w:p>
            <w:pPr>
              <w:jc w:val="right"/>
              <w:ind w:right="88"/>
              <w:spacing w:after="0"/>
              <w:rPr>
                <w:sz w:val="20"/>
                <w:szCs w:val="20"/>
                <w:color w:val="auto"/>
              </w:rPr>
            </w:pPr>
            <w:r>
              <w:rPr>
                <w:rFonts w:ascii="Arial" w:cs="Arial" w:eastAsia="Arial" w:hAnsi="Arial"/>
                <w:sz w:val="14"/>
                <w:szCs w:val="14"/>
                <w:b w:val="1"/>
                <w:bCs w:val="1"/>
                <w:color w:val="auto"/>
                <w:w w:val="93"/>
              </w:rPr>
              <w:t>Comprehensive Loss</w:t>
            </w:r>
          </w:p>
        </w:tc>
      </w:tr>
      <w:tr>
        <w:trPr>
          <w:trHeight w:val="169"/>
        </w:trPr>
        <w:tc>
          <w:tcPr>
            <w:tcW w:w="4320" w:type="dxa"/>
            <w:vAlign w:val="bottom"/>
            <w:shd w:val="clear" w:color="auto" w:fill="CFF0FC"/>
          </w:tcPr>
          <w:p>
            <w:pPr>
              <w:spacing w:after="0"/>
              <w:rPr>
                <w:sz w:val="20"/>
                <w:szCs w:val="20"/>
                <w:color w:val="auto"/>
              </w:rPr>
            </w:pPr>
            <w:r>
              <w:rPr>
                <w:rFonts w:ascii="Arial" w:cs="Arial" w:eastAsia="Arial" w:hAnsi="Arial"/>
                <w:sz w:val="14"/>
                <w:szCs w:val="14"/>
                <w:color w:val="auto"/>
              </w:rPr>
              <w:t>Balance, December 31, 2021</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(4.8</w:t>
            </w:r>
          </w:p>
        </w:tc>
        <w:tc>
          <w:tcPr>
            <w:tcW w:w="24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w w:val="84"/>
              </w:rPr>
              <w:t>)</w:t>
            </w:r>
          </w:p>
        </w:tc>
        <w:tc>
          <w:tcPr>
            <w:tcW w:w="180" w:type="dxa"/>
            <w:vAlign w:val="bottom"/>
            <w:tcBorders>
              <w:top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(237.4</w:t>
            </w:r>
          </w:p>
        </w:tc>
        <w:tc>
          <w:tcPr>
            <w:tcW w:w="22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w w:val="84"/>
              </w:rPr>
              <w:t>)</w:t>
            </w: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0.2</w:t>
            </w:r>
          </w:p>
        </w:tc>
        <w:tc>
          <w:tcPr>
            <w:tcW w:w="220" w:type="dxa"/>
            <w:vAlign w:val="bottom"/>
            <w:shd w:val="clear" w:color="auto" w:fill="CFF0FC"/>
          </w:tcPr>
          <w:p>
            <w:pPr>
              <w:spacing w:after="0"/>
              <w:rPr>
                <w:sz w:val="14"/>
                <w:szCs w:val="14"/>
                <w:color w:val="auto"/>
              </w:rPr>
            </w:pPr>
          </w:p>
        </w:tc>
        <w:tc>
          <w:tcPr>
            <w:tcW w:w="540" w:type="dxa"/>
            <w:vAlign w:val="bottom"/>
            <w:tcBorders>
              <w:top w:val="single" w:sz="8" w:color="auto"/>
            </w:tcBorders>
            <w:shd w:val="clear" w:color="auto" w:fill="CFF0FC"/>
          </w:tcPr>
          <w:p>
            <w:pPr>
              <w:jc w:val="right"/>
              <w:ind w:right="388"/>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(242.0</w:t>
            </w: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84"/>
              </w:rPr>
              <w:t>)</w:t>
            </w:r>
          </w:p>
        </w:tc>
      </w:tr>
      <w:tr>
        <w:trPr>
          <w:trHeight w:val="176"/>
        </w:trPr>
        <w:tc>
          <w:tcPr>
            <w:tcW w:w="4320" w:type="dxa"/>
            <w:vAlign w:val="bottom"/>
          </w:tcPr>
          <w:p>
            <w:pPr>
              <w:ind w:left="100"/>
              <w:spacing w:after="0"/>
              <w:rPr>
                <w:sz w:val="20"/>
                <w:szCs w:val="20"/>
                <w:color w:val="auto"/>
              </w:rPr>
            </w:pPr>
            <w:r>
              <w:rPr>
                <w:rFonts w:ascii="Arial" w:cs="Arial" w:eastAsia="Arial" w:hAnsi="Arial"/>
                <w:sz w:val="14"/>
                <w:szCs w:val="14"/>
                <w:color w:val="auto"/>
              </w:rPr>
              <w:t>Net current period other comprehensive income (loss)</w:t>
            </w:r>
          </w:p>
        </w:tc>
        <w:tc>
          <w:tcPr>
            <w:tcW w:w="1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4.8</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gridSpan w:val="2"/>
          </w:tcPr>
          <w:p>
            <w:pPr>
              <w:jc w:val="right"/>
              <w:ind w:right="88"/>
              <w:spacing w:after="0"/>
              <w:rPr>
                <w:sz w:val="20"/>
                <w:szCs w:val="20"/>
                <w:color w:val="auto"/>
              </w:rPr>
            </w:pPr>
            <w:r>
              <w:rPr>
                <w:rFonts w:ascii="Arial" w:cs="Arial" w:eastAsia="Arial" w:hAnsi="Arial"/>
                <w:sz w:val="14"/>
                <w:szCs w:val="14"/>
                <w:color w:val="auto"/>
              </w:rPr>
              <w:t>(512.0 )</w:t>
            </w:r>
          </w:p>
        </w:tc>
        <w:tc>
          <w:tcPr>
            <w:tcW w:w="100" w:type="dxa"/>
            <w:vAlign w:val="bottom"/>
          </w:tcPr>
          <w:p>
            <w:pPr>
              <w:spacing w:after="0"/>
              <w:rPr>
                <w:sz w:val="15"/>
                <w:szCs w:val="15"/>
                <w:color w:val="auto"/>
              </w:rPr>
            </w:pPr>
          </w:p>
        </w:tc>
        <w:tc>
          <w:tcPr>
            <w:tcW w:w="1300" w:type="dxa"/>
            <w:vAlign w:val="bottom"/>
            <w:gridSpan w:val="2"/>
          </w:tcPr>
          <w:p>
            <w:pPr>
              <w:jc w:val="right"/>
              <w:ind w:right="88"/>
              <w:spacing w:after="0"/>
              <w:rPr>
                <w:sz w:val="20"/>
                <w:szCs w:val="20"/>
                <w:color w:val="auto"/>
              </w:rPr>
            </w:pPr>
            <w:r>
              <w:rPr>
                <w:rFonts w:ascii="Arial" w:cs="Arial" w:eastAsia="Arial" w:hAnsi="Arial"/>
                <w:sz w:val="14"/>
                <w:szCs w:val="14"/>
                <w:color w:val="auto"/>
              </w:rPr>
              <w:t>(1.1 )</w:t>
            </w:r>
          </w:p>
        </w:tc>
        <w:tc>
          <w:tcPr>
            <w:tcW w:w="540" w:type="dxa"/>
            <w:vAlign w:val="bottom"/>
          </w:tcPr>
          <w:p>
            <w:pPr>
              <w:spacing w:after="0"/>
              <w:rPr>
                <w:sz w:val="15"/>
                <w:szCs w:val="15"/>
                <w:color w:val="auto"/>
              </w:rPr>
            </w:pP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(508.3 )</w:t>
            </w:r>
          </w:p>
        </w:tc>
      </w:tr>
      <w:tr>
        <w:trPr>
          <w:trHeight w:val="209"/>
        </w:trPr>
        <w:tc>
          <w:tcPr>
            <w:tcW w:w="43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4"/>
                <w:szCs w:val="14"/>
                <w:color w:val="auto"/>
              </w:rPr>
              <w:t>Balance, September 30, 2022</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(749.4</w:t>
            </w:r>
          </w:p>
        </w:tc>
        <w:tc>
          <w:tcPr>
            <w:tcW w:w="220" w:type="dxa"/>
            <w:vAlign w:val="bottom"/>
            <w:tcBorders>
              <w:bottom w:val="single" w:sz="8" w:color="CFF0FC"/>
            </w:tcBorders>
            <w:shd w:val="clear" w:color="auto" w:fill="CFF0FC"/>
          </w:tcPr>
          <w:p>
            <w:pPr>
              <w:jc w:val="right"/>
              <w:ind w:right="88"/>
              <w:spacing w:after="0"/>
              <w:rPr>
                <w:sz w:val="20"/>
                <w:szCs w:val="20"/>
                <w:color w:val="auto"/>
              </w:rPr>
            </w:pPr>
            <w:r>
              <w:rPr>
                <w:rFonts w:ascii="Arial" w:cs="Arial" w:eastAsia="Arial" w:hAnsi="Arial"/>
                <w:sz w:val="14"/>
                <w:szCs w:val="14"/>
                <w:color w:val="auto"/>
                <w:w w:val="84"/>
              </w:rPr>
              <w:t>)</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(0.9</w:t>
            </w:r>
          </w:p>
        </w:tc>
        <w:tc>
          <w:tcPr>
            <w:tcW w:w="220" w:type="dxa"/>
            <w:vAlign w:val="bottom"/>
            <w:tcBorders>
              <w:bottom w:val="single" w:sz="8" w:color="CFF0FC"/>
            </w:tcBorders>
            <w:shd w:val="clear" w:color="auto" w:fill="CFF0FC"/>
          </w:tcPr>
          <w:p>
            <w:pPr>
              <w:jc w:val="right"/>
              <w:ind w:right="88"/>
              <w:spacing w:after="0"/>
              <w:rPr>
                <w:sz w:val="20"/>
                <w:szCs w:val="20"/>
                <w:color w:val="auto"/>
              </w:rPr>
            </w:pPr>
            <w:r>
              <w:rPr>
                <w:rFonts w:ascii="Arial" w:cs="Arial" w:eastAsia="Arial" w:hAnsi="Arial"/>
                <w:sz w:val="14"/>
                <w:szCs w:val="14"/>
                <w:color w:val="auto"/>
                <w:w w:val="84"/>
              </w:rPr>
              <w:t>)</w:t>
            </w:r>
          </w:p>
        </w:tc>
        <w:tc>
          <w:tcPr>
            <w:tcW w:w="540" w:type="dxa"/>
            <w:vAlign w:val="bottom"/>
            <w:tcBorders>
              <w:top w:val="single" w:sz="8" w:color="auto"/>
              <w:bottom w:val="single" w:sz="8" w:color="auto"/>
            </w:tcBorders>
            <w:shd w:val="clear" w:color="auto" w:fill="CFF0FC"/>
          </w:tcPr>
          <w:p>
            <w:pPr>
              <w:jc w:val="right"/>
              <w:ind w:right="388"/>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(750.3</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w w:val="84"/>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3845560</wp:posOffset>
            </wp:positionH>
            <wp:positionV relativeFrom="paragraph">
              <wp:posOffset>-24765</wp:posOffset>
            </wp:positionV>
            <wp:extent cx="685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-7620</wp:posOffset>
            </wp:positionV>
            <wp:extent cx="68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-24765</wp:posOffset>
            </wp:positionV>
            <wp:extent cx="6032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-7620</wp:posOffset>
            </wp:positionV>
            <wp:extent cx="6032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-24765</wp:posOffset>
            </wp:positionV>
            <wp:extent cx="5969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-7620</wp:posOffset>
            </wp:positionV>
            <wp:extent cx="5969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7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Adjustments to accumulated other comprehensive loss are as follows (in millions):</w:t>
      </w:r>
    </w:p>
    <w:p>
      <w:pPr>
        <w:spacing w:after="0" w:line="149"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30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9"/>
          </w:tcPr>
          <w:p>
            <w:pPr>
              <w:ind w:left="560"/>
              <w:spacing w:after="0"/>
              <w:rPr>
                <w:sz w:val="20"/>
                <w:szCs w:val="20"/>
                <w:color w:val="auto"/>
              </w:rPr>
            </w:pPr>
            <w:r>
              <w:rPr>
                <w:rFonts w:ascii="Arial" w:cs="Arial" w:eastAsia="Arial" w:hAnsi="Arial"/>
                <w:sz w:val="14"/>
                <w:szCs w:val="14"/>
                <w:b w:val="1"/>
                <w:bCs w:val="1"/>
                <w:color w:val="auto"/>
              </w:rPr>
              <w:t>Three Months Ended September 30,</w:t>
            </w:r>
          </w:p>
        </w:tc>
        <w:tc>
          <w:tcPr>
            <w:tcW w:w="44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9"/>
          </w:tcPr>
          <w:p>
            <w:pPr>
              <w:jc w:val="right"/>
              <w:spacing w:after="0"/>
              <w:rPr>
                <w:sz w:val="20"/>
                <w:szCs w:val="20"/>
                <w:color w:val="auto"/>
              </w:rPr>
            </w:pPr>
            <w:r>
              <w:rPr>
                <w:rFonts w:ascii="Arial" w:cs="Arial" w:eastAsia="Arial" w:hAnsi="Arial"/>
                <w:sz w:val="14"/>
                <w:szCs w:val="14"/>
                <w:b w:val="1"/>
                <w:bCs w:val="1"/>
                <w:color w:val="auto"/>
              </w:rPr>
              <w:t>Nine Months Ended September 30,</w:t>
            </w:r>
          </w:p>
        </w:tc>
        <w:tc>
          <w:tcPr>
            <w:tcW w:w="5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8"/>
        </w:trPr>
        <w:tc>
          <w:tcPr>
            <w:tcW w:w="3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gridSpan w:val="2"/>
          </w:tcPr>
          <w:p>
            <w:pPr>
              <w:ind w:left="560"/>
              <w:spacing w:after="0"/>
              <w:rPr>
                <w:sz w:val="20"/>
                <w:szCs w:val="20"/>
                <w:color w:val="auto"/>
              </w:rPr>
            </w:pPr>
            <w:r>
              <w:rPr>
                <w:rFonts w:ascii="Arial" w:cs="Arial" w:eastAsia="Arial" w:hAnsi="Arial"/>
                <w:sz w:val="14"/>
                <w:szCs w:val="14"/>
                <w:b w:val="1"/>
                <w:bCs w:val="1"/>
                <w:color w:val="auto"/>
                <w:w w:val="96"/>
              </w:rPr>
              <w:t>2022</w:t>
            </w: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20" w:type="dxa"/>
            <w:vAlign w:val="bottom"/>
            <w:gridSpan w:val="2"/>
          </w:tcPr>
          <w:p>
            <w:pPr>
              <w:jc w:val="right"/>
              <w:ind w:right="208"/>
              <w:spacing w:after="0"/>
              <w:rPr>
                <w:sz w:val="20"/>
                <w:szCs w:val="20"/>
                <w:color w:val="auto"/>
              </w:rPr>
            </w:pPr>
            <w:r>
              <w:rPr>
                <w:rFonts w:ascii="Arial" w:cs="Arial" w:eastAsia="Arial" w:hAnsi="Arial"/>
                <w:sz w:val="14"/>
                <w:szCs w:val="14"/>
                <w:b w:val="1"/>
                <w:bCs w:val="1"/>
                <w:color w:val="auto"/>
              </w:rPr>
              <w:t>2021</w:t>
            </w: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gridSpan w:val="4"/>
          </w:tcPr>
          <w:p>
            <w:pPr>
              <w:jc w:val="right"/>
              <w:ind w:right="628"/>
              <w:spacing w:after="0"/>
              <w:rPr>
                <w:sz w:val="20"/>
                <w:szCs w:val="20"/>
                <w:color w:val="auto"/>
              </w:rPr>
            </w:pPr>
            <w:r>
              <w:rPr>
                <w:rFonts w:ascii="Arial" w:cs="Arial" w:eastAsia="Arial" w:hAnsi="Arial"/>
                <w:sz w:val="14"/>
                <w:szCs w:val="14"/>
                <w:b w:val="1"/>
                <w:bCs w:val="1"/>
                <w:color w:val="auto"/>
              </w:rPr>
              <w:t>2022</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gridSpan w:val="3"/>
          </w:tcPr>
          <w:p>
            <w:pPr>
              <w:jc w:val="right"/>
              <w:spacing w:after="0"/>
              <w:rPr>
                <w:sz w:val="20"/>
                <w:szCs w:val="20"/>
                <w:color w:val="auto"/>
              </w:rPr>
            </w:pPr>
            <w:r>
              <w:rPr>
                <w:rFonts w:ascii="Arial" w:cs="Arial" w:eastAsia="Arial" w:hAnsi="Arial"/>
                <w:sz w:val="14"/>
                <w:szCs w:val="14"/>
                <w:b w:val="1"/>
                <w:bCs w:val="1"/>
                <w:color w:val="auto"/>
              </w:rPr>
              <w:t>2021</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30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3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Pretax</w:t>
            </w:r>
          </w:p>
        </w:tc>
        <w:tc>
          <w:tcPr>
            <w:tcW w:w="8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Tax Effect</w:t>
            </w:r>
          </w:p>
        </w:tc>
        <w:tc>
          <w:tcPr>
            <w:tcW w:w="100" w:type="dxa"/>
            <w:vAlign w:val="bottom"/>
          </w:tcPr>
          <w:p>
            <w:pPr>
              <w:spacing w:after="0"/>
              <w:rPr>
                <w:sz w:val="11"/>
                <w:szCs w:val="11"/>
                <w:color w:val="auto"/>
              </w:rPr>
            </w:pPr>
          </w:p>
        </w:tc>
        <w:tc>
          <w:tcPr>
            <w:tcW w:w="56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w w:val="93"/>
              </w:rPr>
              <w:t>Pretax</w:t>
            </w:r>
          </w:p>
        </w:tc>
        <w:tc>
          <w:tcPr>
            <w:tcW w:w="200" w:type="dxa"/>
            <w:vAlign w:val="bottom"/>
          </w:tcPr>
          <w:p>
            <w:pPr>
              <w:spacing w:after="0"/>
              <w:rPr>
                <w:sz w:val="11"/>
                <w:szCs w:val="11"/>
                <w:color w:val="auto"/>
              </w:rPr>
            </w:pPr>
          </w:p>
        </w:tc>
        <w:tc>
          <w:tcPr>
            <w:tcW w:w="860" w:type="dxa"/>
            <w:vAlign w:val="bottom"/>
            <w:gridSpan w:val="2"/>
            <w:vMerge w:val="restart"/>
          </w:tcPr>
          <w:p>
            <w:pPr>
              <w:jc w:val="right"/>
              <w:ind w:right="48"/>
              <w:spacing w:after="0"/>
              <w:rPr>
                <w:sz w:val="20"/>
                <w:szCs w:val="20"/>
                <w:color w:val="auto"/>
              </w:rPr>
            </w:pPr>
            <w:r>
              <w:rPr>
                <w:rFonts w:ascii="Arial" w:cs="Arial" w:eastAsia="Arial" w:hAnsi="Arial"/>
                <w:sz w:val="14"/>
                <w:szCs w:val="14"/>
                <w:b w:val="1"/>
                <w:bCs w:val="1"/>
                <w:color w:val="auto"/>
              </w:rPr>
              <w:t>Tax Effect</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w w:val="93"/>
              </w:rPr>
              <w:t>Pretax</w:t>
            </w:r>
          </w:p>
        </w:tc>
        <w:tc>
          <w:tcPr>
            <w:tcW w:w="100" w:type="dxa"/>
            <w:vAlign w:val="bottom"/>
          </w:tcPr>
          <w:p>
            <w:pPr>
              <w:spacing w:after="0"/>
              <w:rPr>
                <w:sz w:val="11"/>
                <w:szCs w:val="11"/>
                <w:color w:val="auto"/>
              </w:rPr>
            </w:pPr>
          </w:p>
        </w:tc>
        <w:tc>
          <w:tcPr>
            <w:tcW w:w="94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w w:val="92"/>
              </w:rPr>
              <w:t>Tax Effect</w:t>
            </w:r>
          </w:p>
        </w:tc>
        <w:tc>
          <w:tcPr>
            <w:tcW w:w="720" w:type="dxa"/>
            <w:vAlign w:val="bottom"/>
            <w:gridSpan w:val="3"/>
            <w:vMerge w:val="restart"/>
          </w:tcPr>
          <w:p>
            <w:pPr>
              <w:jc w:val="right"/>
              <w:ind w:right="260"/>
              <w:spacing w:after="0"/>
              <w:rPr>
                <w:sz w:val="20"/>
                <w:szCs w:val="20"/>
                <w:color w:val="auto"/>
              </w:rPr>
            </w:pPr>
            <w:r>
              <w:rPr>
                <w:rFonts w:ascii="Arial" w:cs="Arial" w:eastAsia="Arial" w:hAnsi="Arial"/>
                <w:sz w:val="14"/>
                <w:szCs w:val="14"/>
                <w:b w:val="1"/>
                <w:bCs w:val="1"/>
                <w:color w:val="auto"/>
              </w:rPr>
              <w:t>Pretax</w:t>
            </w:r>
          </w:p>
        </w:tc>
        <w:tc>
          <w:tcPr>
            <w:tcW w:w="100" w:type="dxa"/>
            <w:vAlign w:val="bottom"/>
          </w:tcPr>
          <w:p>
            <w:pPr>
              <w:spacing w:after="0"/>
              <w:rPr>
                <w:sz w:val="11"/>
                <w:szCs w:val="11"/>
                <w:color w:val="auto"/>
              </w:rPr>
            </w:pPr>
          </w:p>
        </w:tc>
        <w:tc>
          <w:tcPr>
            <w:tcW w:w="500" w:type="dxa"/>
            <w:vAlign w:val="bottom"/>
          </w:tcPr>
          <w:p>
            <w:pPr>
              <w:jc w:val="right"/>
              <w:ind w:right="128"/>
              <w:spacing w:after="0" w:line="133" w:lineRule="exact"/>
              <w:rPr>
                <w:sz w:val="20"/>
                <w:szCs w:val="20"/>
                <w:color w:val="auto"/>
              </w:rPr>
            </w:pPr>
            <w:r>
              <w:rPr>
                <w:rFonts w:ascii="Arial" w:cs="Arial" w:eastAsia="Arial" w:hAnsi="Arial"/>
                <w:sz w:val="14"/>
                <w:szCs w:val="14"/>
                <w:b w:val="1"/>
                <w:bCs w:val="1"/>
                <w:color w:val="auto"/>
              </w:rPr>
              <w:t>Tax</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30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880" w:type="dxa"/>
            <w:vAlign w:val="bottom"/>
            <w:gridSpan w:val="3"/>
            <w:vMerge w:val="continue"/>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gridSpan w:val="2"/>
            <w:vMerge w:val="continue"/>
          </w:tcPr>
          <w:p>
            <w:pPr>
              <w:spacing w:after="0"/>
              <w:rPr>
                <w:sz w:val="9"/>
                <w:szCs w:val="9"/>
                <w:color w:val="auto"/>
              </w:rPr>
            </w:pPr>
          </w:p>
        </w:tc>
        <w:tc>
          <w:tcPr>
            <w:tcW w:w="720" w:type="dxa"/>
            <w:vAlign w:val="bottom"/>
            <w:gridSpan w:val="3"/>
            <w:vMerge w:val="continue"/>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92"/>
              </w:rPr>
              <w:t>Effect</w:t>
            </w:r>
          </w:p>
        </w:tc>
        <w:tc>
          <w:tcPr>
            <w:tcW w:w="0" w:type="dxa"/>
            <w:vAlign w:val="bottom"/>
          </w:tcPr>
          <w:p>
            <w:pPr>
              <w:spacing w:after="0"/>
              <w:rPr>
                <w:sz w:val="1"/>
                <w:szCs w:val="1"/>
                <w:color w:val="auto"/>
              </w:rPr>
            </w:pPr>
          </w:p>
        </w:tc>
      </w:tr>
      <w:tr>
        <w:trPr>
          <w:trHeight w:val="80"/>
        </w:trPr>
        <w:tc>
          <w:tcPr>
            <w:tcW w:w="30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2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80" w:type="dxa"/>
            <w:vAlign w:val="bottom"/>
          </w:tcPr>
          <w:p>
            <w:pPr>
              <w:spacing w:after="0"/>
              <w:rPr>
                <w:sz w:val="6"/>
                <w:szCs w:val="6"/>
                <w:color w:val="auto"/>
              </w:rPr>
            </w:pPr>
          </w:p>
        </w:tc>
        <w:tc>
          <w:tcPr>
            <w:tcW w:w="16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3040" w:type="dxa"/>
            <w:vAlign w:val="bottom"/>
          </w:tcPr>
          <w:p>
            <w:pPr>
              <w:spacing w:after="0"/>
              <w:rPr>
                <w:sz w:val="20"/>
                <w:szCs w:val="20"/>
                <w:color w:val="auto"/>
              </w:rPr>
            </w:pPr>
            <w:r>
              <w:rPr>
                <w:rFonts w:ascii="Arial" w:cs="Arial" w:eastAsia="Arial" w:hAnsi="Arial"/>
                <w:sz w:val="14"/>
                <w:szCs w:val="14"/>
                <w:b w:val="1"/>
                <w:bCs w:val="1"/>
                <w:color w:val="auto"/>
              </w:rPr>
              <w:t>Interest Rate Swap</w:t>
            </w:r>
          </w:p>
        </w:tc>
        <w:tc>
          <w:tcPr>
            <w:tcW w:w="12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3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620" w:type="dxa"/>
            <w:vAlign w:val="bottom"/>
            <w:gridSpan w:val="2"/>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gridSpan w:val="2"/>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3040" w:type="dxa"/>
            <w:vAlign w:val="bottom"/>
            <w:shd w:val="clear" w:color="auto" w:fill="CFF0FC"/>
          </w:tcPr>
          <w:p>
            <w:pPr>
              <w:ind w:left="100"/>
              <w:spacing w:after="0"/>
              <w:rPr>
                <w:sz w:val="20"/>
                <w:szCs w:val="20"/>
                <w:color w:val="auto"/>
              </w:rPr>
            </w:pPr>
            <w:r>
              <w:rPr>
                <w:rFonts w:ascii="Arial" w:cs="Arial" w:eastAsia="Arial" w:hAnsi="Arial"/>
                <w:sz w:val="14"/>
                <w:szCs w:val="14"/>
                <w:color w:val="auto"/>
                <w:w w:val="97"/>
              </w:rPr>
              <w:t>Unrealized gains (losses) on interest rate swaps</w:t>
            </w: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6.0</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20"/>
                <w:szCs w:val="20"/>
                <w:color w:val="auto"/>
              </w:rPr>
            </w:pPr>
            <w:r>
              <w:rPr>
                <w:rFonts w:ascii="Arial" w:cs="Arial" w:eastAsia="Arial" w:hAnsi="Arial"/>
                <w:sz w:val="14"/>
                <w:szCs w:val="14"/>
                <w:color w:val="auto"/>
              </w:rPr>
              <w:t>$</w:t>
            </w:r>
          </w:p>
        </w:tc>
        <w:tc>
          <w:tcPr>
            <w:tcW w:w="64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(1.2 )</w:t>
            </w: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(0.8 )</w:t>
            </w:r>
          </w:p>
        </w:tc>
        <w:tc>
          <w:tcPr>
            <w:tcW w:w="620" w:type="dxa"/>
            <w:vAlign w:val="bottom"/>
            <w:tcBorders>
              <w:left w:val="single" w:sz="8" w:color="CFF0FC"/>
            </w:tcBorders>
            <w:gridSpan w:val="2"/>
            <w:shd w:val="clear" w:color="auto" w:fill="CFF0FC"/>
          </w:tcPr>
          <w:p>
            <w:pPr>
              <w:jc w:val="right"/>
              <w:ind w:right="248"/>
              <w:spacing w:after="0"/>
              <w:rPr>
                <w:sz w:val="20"/>
                <w:szCs w:val="20"/>
                <w:color w:val="auto"/>
              </w:rPr>
            </w:pPr>
            <w:r>
              <w:rPr>
                <w:rFonts w:ascii="Arial" w:cs="Arial" w:eastAsia="Arial" w:hAnsi="Arial"/>
                <w:sz w:val="14"/>
                <w:szCs w:val="14"/>
                <w:color w:val="auto"/>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8.8</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(1.7 )</w:t>
            </w:r>
          </w:p>
        </w:tc>
        <w:tc>
          <w:tcPr>
            <w:tcW w:w="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0.4</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(0.2 )</w:t>
            </w:r>
          </w:p>
        </w:tc>
        <w:tc>
          <w:tcPr>
            <w:tcW w:w="0" w:type="dxa"/>
            <w:vAlign w:val="bottom"/>
          </w:tcPr>
          <w:p>
            <w:pPr>
              <w:spacing w:after="0"/>
              <w:rPr>
                <w:sz w:val="1"/>
                <w:szCs w:val="1"/>
                <w:color w:val="auto"/>
              </w:rPr>
            </w:pPr>
          </w:p>
        </w:tc>
      </w:tr>
      <w:tr>
        <w:trPr>
          <w:trHeight w:val="143"/>
        </w:trPr>
        <w:tc>
          <w:tcPr>
            <w:tcW w:w="3040" w:type="dxa"/>
            <w:vAlign w:val="bottom"/>
          </w:tcPr>
          <w:p>
            <w:pPr>
              <w:ind w:left="100"/>
              <w:spacing w:after="0" w:line="143" w:lineRule="exact"/>
              <w:rPr>
                <w:sz w:val="20"/>
                <w:szCs w:val="20"/>
                <w:color w:val="auto"/>
              </w:rPr>
            </w:pPr>
            <w:r>
              <w:rPr>
                <w:rFonts w:ascii="Arial" w:cs="Arial" w:eastAsia="Arial" w:hAnsi="Arial"/>
                <w:sz w:val="14"/>
                <w:szCs w:val="14"/>
                <w:color w:val="auto"/>
              </w:rPr>
              <w:t>Reclassification of (gains) losses into net</w:t>
            </w:r>
          </w:p>
        </w:tc>
        <w:tc>
          <w:tcPr>
            <w:tcW w:w="120" w:type="dxa"/>
            <w:vAlign w:val="bottom"/>
          </w:tcPr>
          <w:p>
            <w:pPr>
              <w:spacing w:after="0"/>
              <w:rPr>
                <w:sz w:val="12"/>
                <w:szCs w:val="12"/>
                <w:color w:val="auto"/>
              </w:rPr>
            </w:pP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(1.5 )</w:t>
            </w:r>
          </w:p>
        </w:tc>
        <w:tc>
          <w:tcPr>
            <w:tcW w:w="240" w:type="dxa"/>
            <w:vAlign w:val="bottom"/>
          </w:tcPr>
          <w:p>
            <w:pPr>
              <w:spacing w:after="0"/>
              <w:rPr>
                <w:sz w:val="12"/>
                <w:szCs w:val="12"/>
                <w:color w:val="auto"/>
              </w:rPr>
            </w:pPr>
          </w:p>
        </w:tc>
        <w:tc>
          <w:tcPr>
            <w:tcW w:w="6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0.8</w:t>
            </w: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vMerge w:val="restart"/>
          </w:tcPr>
          <w:p>
            <w:pPr>
              <w:jc w:val="right"/>
              <w:ind w:right="120"/>
              <w:spacing w:after="0"/>
              <w:rPr>
                <w:sz w:val="20"/>
                <w:szCs w:val="20"/>
                <w:color w:val="auto"/>
              </w:rPr>
            </w:pPr>
            <w:r>
              <w:rPr>
                <w:rFonts w:ascii="Arial" w:cs="Arial" w:eastAsia="Arial" w:hAnsi="Arial"/>
                <w:sz w:val="14"/>
                <w:szCs w:val="14"/>
                <w:color w:val="auto"/>
              </w:rPr>
              <w:t>(2.3 )</w:t>
            </w:r>
          </w:p>
        </w:tc>
        <w:tc>
          <w:tcPr>
            <w:tcW w:w="100" w:type="dxa"/>
            <w:vAlign w:val="bottom"/>
          </w:tcPr>
          <w:p>
            <w:pPr>
              <w:spacing w:after="0"/>
              <w:rPr>
                <w:sz w:val="12"/>
                <w:szCs w:val="12"/>
                <w:color w:val="auto"/>
              </w:rPr>
            </w:pPr>
          </w:p>
        </w:tc>
        <w:tc>
          <w:tcPr>
            <w:tcW w:w="94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360" w:type="dxa"/>
            <w:vAlign w:val="bottom"/>
            <w:vMerge w:val="restart"/>
          </w:tcPr>
          <w:p>
            <w:pPr>
              <w:jc w:val="right"/>
              <w:spacing w:after="0"/>
              <w:rPr>
                <w:sz w:val="20"/>
                <w:szCs w:val="20"/>
                <w:color w:val="auto"/>
              </w:rPr>
            </w:pPr>
            <w:r>
              <w:rPr>
                <w:rFonts w:ascii="Arial" w:cs="Arial" w:eastAsia="Arial" w:hAnsi="Arial"/>
                <w:sz w:val="14"/>
                <w:szCs w:val="14"/>
                <w:color w:val="auto"/>
              </w:rPr>
              <w:t>0.1</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vMerge w:val="restart"/>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7"/>
        </w:trPr>
        <w:tc>
          <w:tcPr>
            <w:tcW w:w="3040" w:type="dxa"/>
            <w:vAlign w:val="bottom"/>
          </w:tcPr>
          <w:p>
            <w:pPr>
              <w:ind w:left="100"/>
              <w:spacing w:after="0"/>
              <w:rPr>
                <w:sz w:val="20"/>
                <w:szCs w:val="20"/>
                <w:color w:val="auto"/>
              </w:rPr>
            </w:pPr>
            <w:r>
              <w:rPr>
                <w:rFonts w:ascii="Arial" w:cs="Arial" w:eastAsia="Arial" w:hAnsi="Arial"/>
                <w:sz w:val="14"/>
                <w:szCs w:val="14"/>
                <w:color w:val="auto"/>
              </w:rPr>
              <w:t>earnings on interest rate swaps</w:t>
            </w:r>
          </w:p>
        </w:tc>
        <w:tc>
          <w:tcPr>
            <w:tcW w:w="12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3040" w:type="dxa"/>
            <w:vAlign w:val="bottom"/>
            <w:shd w:val="clear" w:color="auto" w:fill="CFF0FC"/>
          </w:tcPr>
          <w:p>
            <w:pPr>
              <w:ind w:left="180"/>
              <w:spacing w:after="0"/>
              <w:rPr>
                <w:sz w:val="20"/>
                <w:szCs w:val="20"/>
                <w:color w:val="auto"/>
              </w:rPr>
            </w:pPr>
            <w:r>
              <w:rPr>
                <w:rFonts w:ascii="Arial" w:cs="Arial" w:eastAsia="Arial" w:hAnsi="Arial"/>
                <w:sz w:val="14"/>
                <w:szCs w:val="14"/>
                <w:color w:val="auto"/>
              </w:rPr>
              <w:t>Net change in cash flow hedges</w:t>
            </w:r>
          </w:p>
        </w:tc>
        <w:tc>
          <w:tcPr>
            <w:tcW w:w="120" w:type="dxa"/>
            <w:vAlign w:val="bottom"/>
            <w:shd w:val="clear" w:color="auto" w:fill="CFF0FC"/>
          </w:tcPr>
          <w:p>
            <w:pPr>
              <w:spacing w:after="0"/>
              <w:rPr>
                <w:sz w:val="20"/>
                <w:szCs w:val="20"/>
                <w:color w:val="auto"/>
              </w:rPr>
            </w:pPr>
          </w:p>
        </w:tc>
        <w:tc>
          <w:tcPr>
            <w:tcW w:w="66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4.5</w:t>
            </w:r>
          </w:p>
        </w:tc>
        <w:tc>
          <w:tcPr>
            <w:tcW w:w="2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64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14"/>
                <w:szCs w:val="14"/>
                <w:color w:val="auto"/>
              </w:rPr>
              <w:t>(1.2 )</w:t>
            </w:r>
          </w:p>
        </w:tc>
        <w:tc>
          <w:tcPr>
            <w:tcW w:w="100" w:type="dxa"/>
            <w:vAlign w:val="bottom"/>
            <w:shd w:val="clear" w:color="auto" w:fill="CFF0FC"/>
          </w:tcPr>
          <w:p>
            <w:pPr>
              <w:spacing w:after="0"/>
              <w:rPr>
                <w:sz w:val="20"/>
                <w:szCs w:val="20"/>
                <w:color w:val="auto"/>
              </w:rPr>
            </w:pPr>
          </w:p>
        </w:tc>
        <w:tc>
          <w:tcPr>
            <w:tcW w:w="56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left w:val="single" w:sz="8" w:color="CFF0FC"/>
            </w:tcBorders>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44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54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6.5</w:t>
            </w:r>
          </w:p>
        </w:tc>
        <w:tc>
          <w:tcPr>
            <w:tcW w:w="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40" w:type="dxa"/>
            <w:vAlign w:val="bottom"/>
            <w:gridSpan w:val="2"/>
            <w:vMerge w:val="restart"/>
            <w:shd w:val="clear" w:color="auto" w:fill="CFF0FC"/>
          </w:tcPr>
          <w:p>
            <w:pPr>
              <w:jc w:val="right"/>
              <w:ind w:right="120"/>
              <w:spacing w:after="0"/>
              <w:rPr>
                <w:sz w:val="20"/>
                <w:szCs w:val="20"/>
                <w:color w:val="auto"/>
              </w:rPr>
            </w:pPr>
            <w:r>
              <w:rPr>
                <w:rFonts w:ascii="Arial" w:cs="Arial" w:eastAsia="Arial" w:hAnsi="Arial"/>
                <w:sz w:val="14"/>
                <w:szCs w:val="14"/>
                <w:color w:val="auto"/>
              </w:rPr>
              <w:t>(1.7 )</w:t>
            </w:r>
          </w:p>
        </w:tc>
        <w:tc>
          <w:tcPr>
            <w:tcW w:w="160" w:type="dxa"/>
            <w:vAlign w:val="bottom"/>
            <w:shd w:val="clear" w:color="auto" w:fill="CFF0FC"/>
          </w:tcPr>
          <w:p>
            <w:pPr>
              <w:spacing w:after="0"/>
              <w:rPr>
                <w:sz w:val="20"/>
                <w:szCs w:val="20"/>
                <w:color w:val="auto"/>
              </w:rPr>
            </w:pPr>
          </w:p>
        </w:tc>
        <w:tc>
          <w:tcPr>
            <w:tcW w:w="36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0.5</w:t>
            </w:r>
          </w:p>
        </w:tc>
        <w:tc>
          <w:tcPr>
            <w:tcW w:w="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00" w:type="dxa"/>
            <w:vAlign w:val="bottom"/>
            <w:gridSpan w:val="2"/>
            <w:vMerge w:val="restart"/>
            <w:shd w:val="clear" w:color="auto" w:fill="CFF0FC"/>
          </w:tcPr>
          <w:p>
            <w:pPr>
              <w:jc w:val="right"/>
              <w:ind w:right="40"/>
              <w:spacing w:after="0"/>
              <w:rPr>
                <w:sz w:val="20"/>
                <w:szCs w:val="20"/>
                <w:color w:val="auto"/>
              </w:rPr>
            </w:pPr>
            <w:r>
              <w:rPr>
                <w:rFonts w:ascii="Arial" w:cs="Arial" w:eastAsia="Arial" w:hAnsi="Arial"/>
                <w:sz w:val="14"/>
                <w:szCs w:val="14"/>
                <w:color w:val="auto"/>
              </w:rPr>
              <w:t>(0.2 )</w:t>
            </w:r>
          </w:p>
        </w:tc>
        <w:tc>
          <w:tcPr>
            <w:tcW w:w="0" w:type="dxa"/>
            <w:vAlign w:val="bottom"/>
          </w:tcPr>
          <w:p>
            <w:pPr>
              <w:spacing w:after="0"/>
              <w:rPr>
                <w:sz w:val="1"/>
                <w:szCs w:val="1"/>
                <w:color w:val="auto"/>
              </w:rPr>
            </w:pPr>
          </w:p>
        </w:tc>
      </w:tr>
      <w:tr>
        <w:trPr>
          <w:trHeight w:val="66"/>
        </w:trPr>
        <w:tc>
          <w:tcPr>
            <w:tcW w:w="304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660" w:type="dxa"/>
            <w:vAlign w:val="bottom"/>
            <w:vMerge w:val="continue"/>
            <w:shd w:val="clear" w:color="auto" w:fill="CFF0FC"/>
          </w:tcPr>
          <w:p>
            <w:pPr>
              <w:spacing w:after="0"/>
              <w:rPr>
                <w:sz w:val="5"/>
                <w:szCs w:val="5"/>
                <w:color w:val="auto"/>
              </w:rPr>
            </w:pPr>
          </w:p>
        </w:tc>
        <w:tc>
          <w:tcPr>
            <w:tcW w:w="220" w:type="dxa"/>
            <w:vAlign w:val="bottom"/>
            <w:shd w:val="clear" w:color="auto" w:fill="CFF0FC"/>
          </w:tcPr>
          <w:p>
            <w:pPr>
              <w:spacing w:after="0"/>
              <w:rPr>
                <w:sz w:val="5"/>
                <w:szCs w:val="5"/>
                <w:color w:val="auto"/>
              </w:rPr>
            </w:pPr>
          </w:p>
        </w:tc>
        <w:tc>
          <w:tcPr>
            <w:tcW w:w="240" w:type="dxa"/>
            <w:vAlign w:val="bottom"/>
            <w:shd w:val="clear" w:color="auto" w:fill="CFF0FC"/>
          </w:tcPr>
          <w:p>
            <w:pPr>
              <w:spacing w:after="0"/>
              <w:rPr>
                <w:sz w:val="5"/>
                <w:szCs w:val="5"/>
                <w:color w:val="auto"/>
              </w:rPr>
            </w:pPr>
          </w:p>
        </w:tc>
        <w:tc>
          <w:tcPr>
            <w:tcW w:w="640" w:type="dxa"/>
            <w:vAlign w:val="bottom"/>
            <w:gridSpan w:val="2"/>
            <w:vMerge w:val="continue"/>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560" w:type="dxa"/>
            <w:vAlign w:val="bottom"/>
            <w:vMerge w:val="continue"/>
            <w:shd w:val="clear" w:color="auto" w:fill="CFF0FC"/>
          </w:tcPr>
          <w:p>
            <w:pPr>
              <w:spacing w:after="0"/>
              <w:rPr>
                <w:sz w:val="5"/>
                <w:szCs w:val="5"/>
                <w:color w:val="auto"/>
              </w:rPr>
            </w:pPr>
          </w:p>
        </w:tc>
        <w:tc>
          <w:tcPr>
            <w:tcW w:w="200" w:type="dxa"/>
            <w:vAlign w:val="bottom"/>
            <w:tcBorders>
              <w:left w:val="single" w:sz="8" w:color="CFF0FC"/>
            </w:tcBorders>
            <w:shd w:val="clear" w:color="auto" w:fill="CFF0FC"/>
          </w:tcPr>
          <w:p>
            <w:pPr>
              <w:spacing w:after="0"/>
              <w:rPr>
                <w:sz w:val="5"/>
                <w:szCs w:val="5"/>
                <w:color w:val="auto"/>
              </w:rPr>
            </w:pPr>
          </w:p>
        </w:tc>
        <w:tc>
          <w:tcPr>
            <w:tcW w:w="420" w:type="dxa"/>
            <w:vAlign w:val="bottom"/>
            <w:shd w:val="clear" w:color="auto" w:fill="CFF0FC"/>
          </w:tcPr>
          <w:p>
            <w:pPr>
              <w:spacing w:after="0"/>
              <w:rPr>
                <w:sz w:val="5"/>
                <w:szCs w:val="5"/>
                <w:color w:val="auto"/>
              </w:rPr>
            </w:pPr>
          </w:p>
        </w:tc>
        <w:tc>
          <w:tcPr>
            <w:tcW w:w="440" w:type="dxa"/>
            <w:vAlign w:val="bottom"/>
            <w:vMerge w:val="continue"/>
            <w:shd w:val="clear" w:color="auto" w:fill="CFF0FC"/>
          </w:tcPr>
          <w:p>
            <w:pPr>
              <w:spacing w:after="0"/>
              <w:rPr>
                <w:sz w:val="5"/>
                <w:szCs w:val="5"/>
                <w:color w:val="auto"/>
              </w:rPr>
            </w:pPr>
          </w:p>
        </w:tc>
        <w:tc>
          <w:tcPr>
            <w:tcW w:w="18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540" w:type="dxa"/>
            <w:vAlign w:val="bottom"/>
            <w:vMerge w:val="continue"/>
            <w:shd w:val="clear" w:color="auto" w:fill="CFF0FC"/>
          </w:tcPr>
          <w:p>
            <w:pPr>
              <w:spacing w:after="0"/>
              <w:rPr>
                <w:sz w:val="5"/>
                <w:szCs w:val="5"/>
                <w:color w:val="auto"/>
              </w:rPr>
            </w:pPr>
          </w:p>
        </w:tc>
        <w:tc>
          <w:tcPr>
            <w:tcW w:w="18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940" w:type="dxa"/>
            <w:vAlign w:val="bottom"/>
            <w:gridSpan w:val="2"/>
            <w:vMerge w:val="continue"/>
            <w:shd w:val="clear" w:color="auto" w:fill="CFF0FC"/>
          </w:tcPr>
          <w:p>
            <w:pPr>
              <w:spacing w:after="0"/>
              <w:rPr>
                <w:sz w:val="5"/>
                <w:szCs w:val="5"/>
                <w:color w:val="auto"/>
              </w:rPr>
            </w:pPr>
          </w:p>
        </w:tc>
        <w:tc>
          <w:tcPr>
            <w:tcW w:w="160" w:type="dxa"/>
            <w:vAlign w:val="bottom"/>
            <w:shd w:val="clear" w:color="auto" w:fill="CFF0FC"/>
          </w:tcPr>
          <w:p>
            <w:pPr>
              <w:spacing w:after="0"/>
              <w:rPr>
                <w:sz w:val="5"/>
                <w:szCs w:val="5"/>
                <w:color w:val="auto"/>
              </w:rPr>
            </w:pPr>
          </w:p>
        </w:tc>
        <w:tc>
          <w:tcPr>
            <w:tcW w:w="360" w:type="dxa"/>
            <w:vAlign w:val="bottom"/>
            <w:vMerge w:val="continue"/>
            <w:shd w:val="clear" w:color="auto" w:fill="CFF0FC"/>
          </w:tcPr>
          <w:p>
            <w:pPr>
              <w:spacing w:after="0"/>
              <w:rPr>
                <w:sz w:val="5"/>
                <w:szCs w:val="5"/>
                <w:color w:val="auto"/>
              </w:rPr>
            </w:pPr>
          </w:p>
        </w:tc>
        <w:tc>
          <w:tcPr>
            <w:tcW w:w="20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600" w:type="dxa"/>
            <w:vAlign w:val="bottom"/>
            <w:gridSpan w:val="2"/>
            <w:vMerge w:val="continue"/>
            <w:shd w:val="clear" w:color="auto" w:fill="CFF0FC"/>
          </w:tcPr>
          <w:p>
            <w:pPr>
              <w:spacing w:after="0"/>
              <w:rPr>
                <w:sz w:val="5"/>
                <w:szCs w:val="5"/>
                <w:color w:val="auto"/>
              </w:rPr>
            </w:pPr>
          </w:p>
        </w:tc>
        <w:tc>
          <w:tcPr>
            <w:tcW w:w="0" w:type="dxa"/>
            <w:vAlign w:val="bottom"/>
          </w:tcPr>
          <w:p>
            <w:pPr>
              <w:spacing w:after="0"/>
              <w:rPr>
                <w:sz w:val="1"/>
                <w:szCs w:val="1"/>
                <w:color w:val="auto"/>
              </w:rPr>
            </w:pPr>
          </w:p>
        </w:tc>
      </w:tr>
      <w:tr>
        <w:trPr>
          <w:trHeight w:val="169"/>
        </w:trPr>
        <w:tc>
          <w:tcPr>
            <w:tcW w:w="3040" w:type="dxa"/>
            <w:vAlign w:val="bottom"/>
            <w:tcBorders>
              <w:top w:val="single" w:sz="8" w:color="CFF0FC"/>
            </w:tcBorders>
          </w:tcPr>
          <w:p>
            <w:pPr>
              <w:spacing w:after="0"/>
              <w:rPr>
                <w:sz w:val="20"/>
                <w:szCs w:val="20"/>
                <w:color w:val="auto"/>
              </w:rPr>
            </w:pPr>
            <w:r>
              <w:rPr>
                <w:rFonts w:ascii="Arial" w:cs="Arial" w:eastAsia="Arial" w:hAnsi="Arial"/>
                <w:sz w:val="14"/>
                <w:szCs w:val="14"/>
                <w:b w:val="1"/>
                <w:bCs w:val="1"/>
                <w:color w:val="auto"/>
              </w:rPr>
              <w:t>Defined Benefit Pension</w:t>
            </w:r>
          </w:p>
        </w:tc>
        <w:tc>
          <w:tcPr>
            <w:tcW w:w="12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220" w:type="dxa"/>
            <w:vAlign w:val="bottom"/>
            <w:tcBorders>
              <w:top w:val="single" w:sz="8" w:color="CFF0FC"/>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220" w:type="dxa"/>
            <w:vAlign w:val="bottom"/>
            <w:tcBorders>
              <w:top w:val="single" w:sz="8" w:color="CFF0FC"/>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200" w:type="dxa"/>
            <w:vAlign w:val="bottom"/>
            <w:tcBorders>
              <w:top w:val="single" w:sz="8" w:color="CFF0FC"/>
            </w:tcBorders>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180" w:type="dxa"/>
            <w:vAlign w:val="bottom"/>
            <w:tcBorders>
              <w:top w:val="single" w:sz="8" w:color="CFF0FC"/>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180" w:type="dxa"/>
            <w:vAlign w:val="bottom"/>
            <w:tcBorders>
              <w:top w:val="single" w:sz="8" w:color="CFF0FC"/>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180" w:type="dxa"/>
            <w:vAlign w:val="bottom"/>
            <w:tcBorders>
              <w:top w:val="single" w:sz="8" w:color="CFF0FC"/>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200" w:type="dxa"/>
            <w:vAlign w:val="bottom"/>
            <w:tcBorders>
              <w:top w:val="single" w:sz="8" w:color="CFF0FC"/>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100" w:type="dxa"/>
            <w:vAlign w:val="bottom"/>
            <w:tcBorders>
              <w:top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3040" w:type="dxa"/>
            <w:vAlign w:val="bottom"/>
            <w:shd w:val="clear" w:color="auto" w:fill="CFF0FC"/>
          </w:tcPr>
          <w:p>
            <w:pPr>
              <w:ind w:left="100"/>
              <w:spacing w:after="0" w:line="143" w:lineRule="exact"/>
              <w:rPr>
                <w:sz w:val="20"/>
                <w:szCs w:val="20"/>
                <w:color w:val="auto"/>
              </w:rPr>
            </w:pPr>
            <w:r>
              <w:rPr>
                <w:rFonts w:ascii="Arial" w:cs="Arial" w:eastAsia="Arial" w:hAnsi="Arial"/>
                <w:sz w:val="14"/>
                <w:szCs w:val="14"/>
                <w:color w:val="auto"/>
                <w:w w:val="98"/>
              </w:rPr>
              <w:t>Unrealized net gains (losses) on defined benefit</w:t>
            </w:r>
          </w:p>
        </w:tc>
        <w:tc>
          <w:tcPr>
            <w:tcW w:w="120" w:type="dxa"/>
            <w:vAlign w:val="bottom"/>
            <w:shd w:val="clear" w:color="auto" w:fill="CFF0FC"/>
          </w:tcPr>
          <w:p>
            <w:pPr>
              <w:spacing w:after="0"/>
              <w:rPr>
                <w:sz w:val="12"/>
                <w:szCs w:val="12"/>
                <w:color w:val="auto"/>
              </w:rPr>
            </w:pPr>
          </w:p>
        </w:tc>
        <w:tc>
          <w:tcPr>
            <w:tcW w:w="66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vMerge w:val="restart"/>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42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vMerge w:val="restart"/>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6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0.1</w:t>
            </w:r>
          </w:p>
        </w:tc>
        <w:tc>
          <w:tcPr>
            <w:tcW w:w="200" w:type="dxa"/>
            <w:vAlign w:val="bottom"/>
            <w:tcBorders>
              <w:left w:val="single" w:sz="8" w:color="CFF0FC"/>
            </w:tcBorders>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44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20" w:type="dxa"/>
            <w:vAlign w:val="bottom"/>
            <w:gridSpan w:val="2"/>
            <w:vMerge w:val="restart"/>
            <w:shd w:val="clear" w:color="auto" w:fill="CFF0FC"/>
          </w:tcPr>
          <w:p>
            <w:pPr>
              <w:jc w:val="right"/>
              <w:ind w:right="120"/>
              <w:spacing w:after="0"/>
              <w:rPr>
                <w:sz w:val="20"/>
                <w:szCs w:val="20"/>
                <w:color w:val="auto"/>
              </w:rPr>
            </w:pPr>
            <w:r>
              <w:rPr>
                <w:rFonts w:ascii="Arial" w:cs="Arial" w:eastAsia="Arial" w:hAnsi="Arial"/>
                <w:sz w:val="14"/>
                <w:szCs w:val="14"/>
                <w:color w:val="auto"/>
              </w:rPr>
              <w:t>(0.3 )</w:t>
            </w:r>
          </w:p>
        </w:tc>
        <w:tc>
          <w:tcPr>
            <w:tcW w:w="100" w:type="dxa"/>
            <w:vAlign w:val="bottom"/>
            <w:shd w:val="clear" w:color="auto" w:fill="CFF0FC"/>
          </w:tcPr>
          <w:p>
            <w:pPr>
              <w:spacing w:after="0"/>
              <w:rPr>
                <w:sz w:val="12"/>
                <w:szCs w:val="12"/>
                <w:color w:val="auto"/>
              </w:rPr>
            </w:pPr>
          </w:p>
        </w:tc>
        <w:tc>
          <w:tcPr>
            <w:tcW w:w="940" w:type="dxa"/>
            <w:vAlign w:val="bottom"/>
            <w:gridSpan w:val="2"/>
            <w:vMerge w:val="restart"/>
            <w:shd w:val="clear" w:color="auto" w:fill="CFF0FC"/>
          </w:tcPr>
          <w:p>
            <w:pPr>
              <w:jc w:val="right"/>
              <w:ind w:right="120"/>
              <w:spacing w:after="0"/>
              <w:rPr>
                <w:sz w:val="20"/>
                <w:szCs w:val="20"/>
                <w:color w:val="auto"/>
              </w:rPr>
            </w:pPr>
            <w:r>
              <w:rPr>
                <w:rFonts w:ascii="Arial" w:cs="Arial" w:eastAsia="Arial" w:hAnsi="Arial"/>
                <w:sz w:val="14"/>
                <w:szCs w:val="14"/>
                <w:color w:val="auto"/>
              </w:rPr>
              <w:t>(0.8 )</w:t>
            </w:r>
          </w:p>
        </w:tc>
        <w:tc>
          <w:tcPr>
            <w:tcW w:w="160" w:type="dxa"/>
            <w:vAlign w:val="bottom"/>
            <w:shd w:val="clear" w:color="auto" w:fill="CFF0FC"/>
          </w:tcPr>
          <w:p>
            <w:pPr>
              <w:spacing w:after="0"/>
              <w:rPr>
                <w:sz w:val="12"/>
                <w:szCs w:val="12"/>
                <w:color w:val="auto"/>
              </w:rPr>
            </w:pPr>
          </w:p>
        </w:tc>
        <w:tc>
          <w:tcPr>
            <w:tcW w:w="36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0.2</w:t>
            </w: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0" w:type="dxa"/>
            <w:vAlign w:val="bottom"/>
            <w:gridSpan w:val="2"/>
            <w:vMerge w:val="restart"/>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7"/>
        </w:trPr>
        <w:tc>
          <w:tcPr>
            <w:tcW w:w="3040" w:type="dxa"/>
            <w:vAlign w:val="bottom"/>
            <w:shd w:val="clear" w:color="auto" w:fill="CFF0FC"/>
          </w:tcPr>
          <w:p>
            <w:pPr>
              <w:ind w:left="100"/>
              <w:spacing w:after="0"/>
              <w:rPr>
                <w:sz w:val="20"/>
                <w:szCs w:val="20"/>
                <w:color w:val="auto"/>
              </w:rPr>
            </w:pPr>
            <w:r>
              <w:rPr>
                <w:rFonts w:ascii="Arial" w:cs="Arial" w:eastAsia="Arial" w:hAnsi="Arial"/>
                <w:sz w:val="14"/>
                <w:szCs w:val="14"/>
                <w:color w:val="auto"/>
              </w:rPr>
              <w:t>pension plan</w:t>
            </w:r>
          </w:p>
        </w:tc>
        <w:tc>
          <w:tcPr>
            <w:tcW w:w="120" w:type="dxa"/>
            <w:vAlign w:val="bottom"/>
            <w:shd w:val="clear" w:color="auto" w:fill="CFF0FC"/>
          </w:tcPr>
          <w:p>
            <w:pPr>
              <w:spacing w:after="0"/>
              <w:rPr>
                <w:sz w:val="14"/>
                <w:szCs w:val="14"/>
                <w:color w:val="auto"/>
              </w:rPr>
            </w:pPr>
          </w:p>
        </w:tc>
        <w:tc>
          <w:tcPr>
            <w:tcW w:w="660" w:type="dxa"/>
            <w:vAlign w:val="bottom"/>
            <w:vMerge w:val="continue"/>
            <w:shd w:val="clear" w:color="auto" w:fill="CFF0FC"/>
          </w:tcPr>
          <w:p>
            <w:pPr>
              <w:spacing w:after="0"/>
              <w:rPr>
                <w:sz w:val="14"/>
                <w:szCs w:val="14"/>
                <w:color w:val="auto"/>
              </w:rPr>
            </w:pPr>
          </w:p>
        </w:tc>
        <w:tc>
          <w:tcPr>
            <w:tcW w:w="220" w:type="dxa"/>
            <w:vAlign w:val="bottom"/>
            <w:vMerge w:val="continue"/>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420" w:type="dxa"/>
            <w:vAlign w:val="bottom"/>
            <w:vMerge w:val="continue"/>
            <w:shd w:val="clear" w:color="auto" w:fill="CFF0FC"/>
          </w:tcPr>
          <w:p>
            <w:pPr>
              <w:spacing w:after="0"/>
              <w:rPr>
                <w:sz w:val="14"/>
                <w:szCs w:val="14"/>
                <w:color w:val="auto"/>
              </w:rPr>
            </w:pPr>
          </w:p>
        </w:tc>
        <w:tc>
          <w:tcPr>
            <w:tcW w:w="22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60" w:type="dxa"/>
            <w:vAlign w:val="bottom"/>
            <w:vMerge w:val="continue"/>
            <w:shd w:val="clear" w:color="auto" w:fill="CFF0FC"/>
          </w:tcPr>
          <w:p>
            <w:pPr>
              <w:spacing w:after="0"/>
              <w:rPr>
                <w:sz w:val="14"/>
                <w:szCs w:val="14"/>
                <w:color w:val="auto"/>
              </w:rPr>
            </w:pPr>
          </w:p>
        </w:tc>
        <w:tc>
          <w:tcPr>
            <w:tcW w:w="200" w:type="dxa"/>
            <w:vAlign w:val="bottom"/>
            <w:tcBorders>
              <w:left w:val="single" w:sz="8" w:color="CFF0FC"/>
            </w:tcBorders>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440" w:type="dxa"/>
            <w:vAlign w:val="bottom"/>
            <w:vMerge w:val="continue"/>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2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40" w:type="dxa"/>
            <w:vAlign w:val="bottom"/>
            <w:gridSpan w:val="2"/>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360" w:type="dxa"/>
            <w:vAlign w:val="bottom"/>
            <w:vMerge w:val="continue"/>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0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Borders>
              <w:left w:val="single" w:sz="8" w:color="CFF0FC"/>
            </w:tcBorders>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040" w:type="dxa"/>
            <w:vAlign w:val="bottom"/>
          </w:tcPr>
          <w:p>
            <w:pPr>
              <w:ind w:left="180"/>
              <w:spacing w:after="0"/>
              <w:rPr>
                <w:sz w:val="20"/>
                <w:szCs w:val="20"/>
                <w:color w:val="auto"/>
              </w:rPr>
            </w:pPr>
            <w:r>
              <w:rPr>
                <w:rFonts w:ascii="Arial" w:cs="Arial" w:eastAsia="Arial" w:hAnsi="Arial"/>
                <w:sz w:val="14"/>
                <w:szCs w:val="14"/>
                <w:color w:val="auto"/>
              </w:rPr>
              <w:t>Net change in defined benefit pension</w:t>
            </w: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0.1</w:t>
            </w: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(0.3 )</w:t>
            </w:r>
          </w:p>
        </w:tc>
        <w:tc>
          <w:tcPr>
            <w:tcW w:w="100" w:type="dxa"/>
            <w:vAlign w:val="bottom"/>
          </w:tcPr>
          <w:p>
            <w:pPr>
              <w:spacing w:after="0"/>
              <w:rPr>
                <w:sz w:val="14"/>
                <w:szCs w:val="14"/>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4"/>
                <w:szCs w:val="14"/>
                <w:color w:val="auto"/>
              </w:rPr>
              <w:t>(0.8 )</w:t>
            </w:r>
          </w:p>
        </w:tc>
        <w:tc>
          <w:tcPr>
            <w:tcW w:w="16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0.2</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30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4"/>
                <w:szCs w:val="14"/>
                <w:b w:val="1"/>
                <w:bCs w:val="1"/>
                <w:color w:val="auto"/>
              </w:rPr>
              <w:t>Foreign Currency Translation</w:t>
            </w:r>
          </w:p>
        </w:tc>
        <w:tc>
          <w:tcPr>
            <w:tcW w:w="120" w:type="dxa"/>
            <w:vAlign w:val="bottom"/>
            <w:tcBorders>
              <w:top w:val="single" w:sz="8" w:color="auto"/>
              <w:bottom w:val="single" w:sz="8" w:color="CFF0FC"/>
            </w:tcBorders>
            <w:shd w:val="clear" w:color="auto" w:fill="CFF0FC"/>
          </w:tcPr>
          <w:p>
            <w:pPr>
              <w:spacing w:after="0"/>
              <w:rPr>
                <w:sz w:val="17"/>
                <w:szCs w:val="17"/>
                <w:color w:val="auto"/>
              </w:rPr>
            </w:pPr>
          </w:p>
        </w:tc>
        <w:tc>
          <w:tcPr>
            <w:tcW w:w="660" w:type="dxa"/>
            <w:vAlign w:val="bottom"/>
            <w:tcBorders>
              <w:top w:val="single" w:sz="8" w:color="auto"/>
              <w:bottom w:val="single" w:sz="8" w:color="CFF0FC"/>
            </w:tcBorders>
            <w:shd w:val="clear" w:color="auto" w:fill="CFF0FC"/>
          </w:tcPr>
          <w:p>
            <w:pPr>
              <w:spacing w:after="0"/>
              <w:rPr>
                <w:sz w:val="17"/>
                <w:szCs w:val="17"/>
                <w:color w:val="auto"/>
              </w:rPr>
            </w:pPr>
          </w:p>
        </w:tc>
        <w:tc>
          <w:tcPr>
            <w:tcW w:w="22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top w:val="single" w:sz="8" w:color="auto"/>
              <w:bottom w:val="single" w:sz="8" w:color="CFF0FC"/>
            </w:tcBorders>
            <w:shd w:val="clear" w:color="auto" w:fill="CFF0FC"/>
          </w:tcPr>
          <w:p>
            <w:pPr>
              <w:spacing w:after="0"/>
              <w:rPr>
                <w:sz w:val="17"/>
                <w:szCs w:val="17"/>
                <w:color w:val="auto"/>
              </w:rPr>
            </w:pPr>
          </w:p>
        </w:tc>
        <w:tc>
          <w:tcPr>
            <w:tcW w:w="420" w:type="dxa"/>
            <w:vAlign w:val="bottom"/>
            <w:tcBorders>
              <w:top w:val="single" w:sz="8" w:color="auto"/>
              <w:bottom w:val="single" w:sz="8" w:color="CFF0FC"/>
            </w:tcBorders>
            <w:shd w:val="clear" w:color="auto" w:fill="CFF0FC"/>
          </w:tcPr>
          <w:p>
            <w:pPr>
              <w:spacing w:after="0"/>
              <w:rPr>
                <w:sz w:val="17"/>
                <w:szCs w:val="17"/>
                <w:color w:val="auto"/>
              </w:rPr>
            </w:pPr>
          </w:p>
        </w:tc>
        <w:tc>
          <w:tcPr>
            <w:tcW w:w="2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top w:val="single" w:sz="8" w:color="auto"/>
              <w:bottom w:val="single" w:sz="8" w:color="CFF0FC"/>
            </w:tcBorders>
            <w:shd w:val="clear" w:color="auto" w:fill="CFF0FC"/>
          </w:tcPr>
          <w:p>
            <w:pPr>
              <w:spacing w:after="0"/>
              <w:rPr>
                <w:sz w:val="17"/>
                <w:szCs w:val="17"/>
                <w:color w:val="auto"/>
              </w:rPr>
            </w:pPr>
          </w:p>
        </w:tc>
        <w:tc>
          <w:tcPr>
            <w:tcW w:w="560" w:type="dxa"/>
            <w:vAlign w:val="bottom"/>
            <w:tcBorders>
              <w:top w:val="single" w:sz="8" w:color="auto"/>
              <w:bottom w:val="single" w:sz="8" w:color="CFF0FC"/>
            </w:tcBorders>
            <w:shd w:val="clear" w:color="auto" w:fill="CFF0FC"/>
          </w:tcPr>
          <w:p>
            <w:pPr>
              <w:spacing w:after="0"/>
              <w:rPr>
                <w:sz w:val="17"/>
                <w:szCs w:val="17"/>
                <w:color w:val="auto"/>
              </w:rPr>
            </w:pPr>
          </w:p>
        </w:tc>
        <w:tc>
          <w:tcPr>
            <w:tcW w:w="200" w:type="dxa"/>
            <w:vAlign w:val="bottom"/>
            <w:tcBorders>
              <w:left w:val="single" w:sz="8" w:color="CFF0FC"/>
              <w:bottom w:val="single" w:sz="8" w:color="CFF0FC"/>
            </w:tcBorders>
            <w:shd w:val="clear" w:color="auto" w:fill="CFF0FC"/>
          </w:tcPr>
          <w:p>
            <w:pPr>
              <w:spacing w:after="0"/>
              <w:rPr>
                <w:sz w:val="17"/>
                <w:szCs w:val="17"/>
                <w:color w:val="auto"/>
              </w:rPr>
            </w:pPr>
          </w:p>
        </w:tc>
        <w:tc>
          <w:tcPr>
            <w:tcW w:w="420" w:type="dxa"/>
            <w:vAlign w:val="bottom"/>
            <w:tcBorders>
              <w:top w:val="single" w:sz="8" w:color="auto"/>
              <w:bottom w:val="single" w:sz="8" w:color="CFF0FC"/>
            </w:tcBorders>
            <w:shd w:val="clear" w:color="auto" w:fill="CFF0FC"/>
          </w:tcPr>
          <w:p>
            <w:pPr>
              <w:spacing w:after="0"/>
              <w:rPr>
                <w:sz w:val="17"/>
                <w:szCs w:val="17"/>
                <w:color w:val="auto"/>
              </w:rPr>
            </w:pPr>
          </w:p>
        </w:tc>
        <w:tc>
          <w:tcPr>
            <w:tcW w:w="440" w:type="dxa"/>
            <w:vAlign w:val="bottom"/>
            <w:tcBorders>
              <w:top w:val="single" w:sz="8" w:color="auto"/>
              <w:bottom w:val="single" w:sz="8" w:color="CFF0FC"/>
            </w:tcBorders>
            <w:shd w:val="clear" w:color="auto" w:fill="CFF0FC"/>
          </w:tcPr>
          <w:p>
            <w:pPr>
              <w:spacing w:after="0"/>
              <w:rPr>
                <w:sz w:val="17"/>
                <w:szCs w:val="17"/>
                <w:color w:val="auto"/>
              </w:rPr>
            </w:pPr>
          </w:p>
        </w:tc>
        <w:tc>
          <w:tcPr>
            <w:tcW w:w="18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top w:val="single" w:sz="8" w:color="auto"/>
              <w:bottom w:val="single" w:sz="8" w:color="CFF0FC"/>
            </w:tcBorders>
            <w:shd w:val="clear" w:color="auto" w:fill="CFF0FC"/>
          </w:tcPr>
          <w:p>
            <w:pPr>
              <w:spacing w:after="0"/>
              <w:rPr>
                <w:sz w:val="17"/>
                <w:szCs w:val="17"/>
                <w:color w:val="auto"/>
              </w:rPr>
            </w:pPr>
          </w:p>
        </w:tc>
        <w:tc>
          <w:tcPr>
            <w:tcW w:w="540" w:type="dxa"/>
            <w:vAlign w:val="bottom"/>
            <w:tcBorders>
              <w:top w:val="single" w:sz="8" w:color="auto"/>
              <w:bottom w:val="single" w:sz="8" w:color="CFF0FC"/>
            </w:tcBorders>
            <w:shd w:val="clear" w:color="auto" w:fill="CFF0FC"/>
          </w:tcPr>
          <w:p>
            <w:pPr>
              <w:spacing w:after="0"/>
              <w:rPr>
                <w:sz w:val="17"/>
                <w:szCs w:val="17"/>
                <w:color w:val="auto"/>
              </w:rPr>
            </w:pPr>
          </w:p>
        </w:tc>
        <w:tc>
          <w:tcPr>
            <w:tcW w:w="18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top w:val="single" w:sz="8" w:color="auto"/>
              <w:bottom w:val="single" w:sz="8" w:color="CFF0FC"/>
            </w:tcBorders>
            <w:shd w:val="clear" w:color="auto" w:fill="CFF0FC"/>
          </w:tcPr>
          <w:p>
            <w:pPr>
              <w:spacing w:after="0"/>
              <w:rPr>
                <w:sz w:val="17"/>
                <w:szCs w:val="17"/>
                <w:color w:val="auto"/>
              </w:rPr>
            </w:pPr>
          </w:p>
        </w:tc>
        <w:tc>
          <w:tcPr>
            <w:tcW w:w="760" w:type="dxa"/>
            <w:vAlign w:val="bottom"/>
            <w:tcBorders>
              <w:top w:val="single" w:sz="8" w:color="auto"/>
              <w:bottom w:val="single" w:sz="8" w:color="CFF0FC"/>
            </w:tcBorders>
            <w:shd w:val="clear" w:color="auto" w:fill="CFF0FC"/>
          </w:tcPr>
          <w:p>
            <w:pPr>
              <w:spacing w:after="0"/>
              <w:rPr>
                <w:sz w:val="17"/>
                <w:szCs w:val="17"/>
                <w:color w:val="auto"/>
              </w:rPr>
            </w:pPr>
          </w:p>
        </w:tc>
        <w:tc>
          <w:tcPr>
            <w:tcW w:w="18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top w:val="single" w:sz="8" w:color="auto"/>
              <w:bottom w:val="single" w:sz="8" w:color="CFF0FC"/>
            </w:tcBorders>
            <w:shd w:val="clear" w:color="auto" w:fill="CFF0FC"/>
          </w:tcPr>
          <w:p>
            <w:pPr>
              <w:spacing w:after="0"/>
              <w:rPr>
                <w:sz w:val="17"/>
                <w:szCs w:val="17"/>
                <w:color w:val="auto"/>
              </w:rPr>
            </w:pPr>
          </w:p>
        </w:tc>
        <w:tc>
          <w:tcPr>
            <w:tcW w:w="360" w:type="dxa"/>
            <w:vAlign w:val="bottom"/>
            <w:tcBorders>
              <w:top w:val="single" w:sz="8" w:color="auto"/>
              <w:bottom w:val="single" w:sz="8" w:color="CFF0FC"/>
            </w:tcBorders>
            <w:shd w:val="clear" w:color="auto" w:fill="CFF0FC"/>
          </w:tcPr>
          <w:p>
            <w:pPr>
              <w:spacing w:after="0"/>
              <w:rPr>
                <w:sz w:val="17"/>
                <w:szCs w:val="17"/>
                <w:color w:val="auto"/>
              </w:rPr>
            </w:pPr>
          </w:p>
        </w:tc>
        <w:tc>
          <w:tcPr>
            <w:tcW w:w="20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top w:val="single" w:sz="8" w:color="auto"/>
              <w:bottom w:val="single" w:sz="8" w:color="CFF0FC"/>
            </w:tcBorders>
            <w:shd w:val="clear" w:color="auto" w:fill="CFF0FC"/>
          </w:tcPr>
          <w:p>
            <w:pPr>
              <w:spacing w:after="0"/>
              <w:rPr>
                <w:sz w:val="17"/>
                <w:szCs w:val="17"/>
                <w:color w:val="auto"/>
              </w:rPr>
            </w:pPr>
          </w:p>
        </w:tc>
        <w:tc>
          <w:tcPr>
            <w:tcW w:w="500" w:type="dxa"/>
            <w:vAlign w:val="bottom"/>
            <w:tcBorders>
              <w:top w:val="single" w:sz="8" w:color="auto"/>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3040" w:type="dxa"/>
            <w:vAlign w:val="bottom"/>
          </w:tcPr>
          <w:p>
            <w:pPr>
              <w:ind w:left="100"/>
              <w:spacing w:after="0"/>
              <w:rPr>
                <w:sz w:val="20"/>
                <w:szCs w:val="20"/>
                <w:color w:val="auto"/>
              </w:rPr>
            </w:pPr>
            <w:r>
              <w:rPr>
                <w:rFonts w:ascii="Arial" w:cs="Arial" w:eastAsia="Arial" w:hAnsi="Arial"/>
                <w:sz w:val="14"/>
                <w:szCs w:val="14"/>
                <w:color w:val="auto"/>
              </w:rPr>
              <w:t>Current period translation adjustments</w:t>
            </w:r>
          </w:p>
        </w:tc>
        <w:tc>
          <w:tcPr>
            <w:tcW w:w="120" w:type="dxa"/>
            <w:vAlign w:val="bottom"/>
          </w:tcPr>
          <w:p>
            <w:pPr>
              <w:spacing w:after="0"/>
              <w:rPr>
                <w:sz w:val="21"/>
                <w:szCs w:val="21"/>
                <w:color w:val="auto"/>
              </w:rPr>
            </w:pP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(263.9 )</w:t>
            </w:r>
          </w:p>
        </w:tc>
        <w:tc>
          <w:tcPr>
            <w:tcW w:w="240" w:type="dxa"/>
            <w:vAlign w:val="bottom"/>
          </w:tcPr>
          <w:p>
            <w:pPr>
              <w:spacing w:after="0"/>
              <w:rPr>
                <w:sz w:val="21"/>
                <w:szCs w:val="21"/>
                <w:color w:val="auto"/>
              </w:rPr>
            </w:pPr>
          </w:p>
        </w:tc>
        <w:tc>
          <w:tcPr>
            <w:tcW w:w="420" w:type="dxa"/>
            <w:vAlign w:val="bottom"/>
            <w:vMerge w:val="restart"/>
          </w:tcPr>
          <w:p>
            <w:pPr>
              <w:jc w:val="right"/>
              <w:spacing w:after="0"/>
              <w:rPr>
                <w:sz w:val="20"/>
                <w:szCs w:val="20"/>
                <w:color w:val="auto"/>
              </w:rPr>
            </w:pPr>
            <w:r>
              <w:rPr>
                <w:rFonts w:ascii="Arial" w:cs="Arial" w:eastAsia="Arial" w:hAnsi="Arial"/>
                <w:sz w:val="14"/>
                <w:szCs w:val="14"/>
                <w:color w:val="auto"/>
              </w:rPr>
              <w:t>15.3</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(56.5 )</w:t>
            </w:r>
          </w:p>
        </w:tc>
        <w:tc>
          <w:tcPr>
            <w:tcW w:w="2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40" w:type="dxa"/>
            <w:vAlign w:val="bottom"/>
            <w:vMerge w:val="restart"/>
          </w:tcPr>
          <w:p>
            <w:pPr>
              <w:jc w:val="right"/>
              <w:spacing w:after="0"/>
              <w:rPr>
                <w:sz w:val="20"/>
                <w:szCs w:val="20"/>
                <w:color w:val="auto"/>
              </w:rPr>
            </w:pPr>
            <w:r>
              <w:rPr>
                <w:rFonts w:ascii="Arial" w:cs="Arial" w:eastAsia="Arial" w:hAnsi="Arial"/>
                <w:sz w:val="14"/>
                <w:szCs w:val="14"/>
                <w:color w:val="auto"/>
              </w:rPr>
              <w:t>0.8</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gridSpan w:val="2"/>
            <w:vMerge w:val="restart"/>
          </w:tcPr>
          <w:p>
            <w:pPr>
              <w:jc w:val="right"/>
              <w:ind w:right="120"/>
              <w:spacing w:after="0"/>
              <w:rPr>
                <w:sz w:val="20"/>
                <w:szCs w:val="20"/>
                <w:color w:val="auto"/>
              </w:rPr>
            </w:pPr>
            <w:r>
              <w:rPr>
                <w:rFonts w:ascii="Arial" w:cs="Arial" w:eastAsia="Arial" w:hAnsi="Arial"/>
                <w:sz w:val="14"/>
                <w:szCs w:val="14"/>
                <w:color w:val="auto"/>
              </w:rPr>
              <w:t>(540.4 )</w:t>
            </w:r>
          </w:p>
        </w:tc>
        <w:tc>
          <w:tcPr>
            <w:tcW w:w="100" w:type="dxa"/>
            <w:vAlign w:val="bottom"/>
          </w:tcPr>
          <w:p>
            <w:pPr>
              <w:spacing w:after="0"/>
              <w:rPr>
                <w:sz w:val="21"/>
                <w:szCs w:val="21"/>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28.4</w:t>
            </w: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w w:val="98"/>
              </w:rPr>
              <w:t>(46.6 )</w:t>
            </w:r>
          </w:p>
        </w:tc>
        <w:tc>
          <w:tcPr>
            <w:tcW w:w="100" w:type="dxa"/>
            <w:vAlign w:val="bottom"/>
          </w:tcPr>
          <w:p>
            <w:pPr>
              <w:spacing w:after="0"/>
              <w:rPr>
                <w:sz w:val="21"/>
                <w:szCs w:val="21"/>
                <w:color w:val="auto"/>
              </w:rPr>
            </w:pPr>
          </w:p>
        </w:tc>
        <w:tc>
          <w:tcPr>
            <w:tcW w:w="500" w:type="dxa"/>
            <w:vAlign w:val="bottom"/>
            <w:vMerge w:val="restart"/>
          </w:tcPr>
          <w:p>
            <w:pPr>
              <w:jc w:val="right"/>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6"/>
        </w:trPr>
        <w:tc>
          <w:tcPr>
            <w:tcW w:w="30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3040" w:type="dxa"/>
            <w:vAlign w:val="bottom"/>
            <w:shd w:val="clear" w:color="auto" w:fill="CFF0FC"/>
          </w:tcPr>
          <w:p>
            <w:pPr>
              <w:ind w:left="180"/>
              <w:spacing w:after="0"/>
              <w:rPr>
                <w:sz w:val="20"/>
                <w:szCs w:val="20"/>
                <w:color w:val="auto"/>
              </w:rPr>
            </w:pPr>
            <w:r>
              <w:rPr>
                <w:rFonts w:ascii="Arial" w:cs="Arial" w:eastAsia="Arial" w:hAnsi="Arial"/>
                <w:sz w:val="14"/>
                <w:szCs w:val="14"/>
                <w:color w:val="auto"/>
              </w:rPr>
              <w:t>Net cumulative translation adjustments</w:t>
            </w:r>
          </w:p>
        </w:tc>
        <w:tc>
          <w:tcPr>
            <w:tcW w:w="120" w:type="dxa"/>
            <w:vAlign w:val="bottom"/>
            <w:shd w:val="clear" w:color="auto" w:fill="CFF0FC"/>
          </w:tcPr>
          <w:p>
            <w:pPr>
              <w:spacing w:after="0"/>
              <w:rPr>
                <w:sz w:val="20"/>
                <w:szCs w:val="20"/>
                <w:color w:val="auto"/>
              </w:rPr>
            </w:pPr>
          </w:p>
        </w:tc>
        <w:tc>
          <w:tcPr>
            <w:tcW w:w="88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14"/>
                <w:szCs w:val="14"/>
                <w:color w:val="auto"/>
              </w:rPr>
              <w:t>(263.9 )</w:t>
            </w:r>
          </w:p>
        </w:tc>
        <w:tc>
          <w:tcPr>
            <w:tcW w:w="240" w:type="dxa"/>
            <w:vAlign w:val="bottom"/>
            <w:shd w:val="clear" w:color="auto" w:fill="CFF0FC"/>
          </w:tcPr>
          <w:p>
            <w:pPr>
              <w:spacing w:after="0"/>
              <w:rPr>
                <w:sz w:val="20"/>
                <w:szCs w:val="20"/>
                <w:color w:val="auto"/>
              </w:rPr>
            </w:pPr>
          </w:p>
        </w:tc>
        <w:tc>
          <w:tcPr>
            <w:tcW w:w="42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15.3</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56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(56.5 )</w:t>
            </w:r>
          </w:p>
        </w:tc>
        <w:tc>
          <w:tcPr>
            <w:tcW w:w="200" w:type="dxa"/>
            <w:vAlign w:val="bottom"/>
            <w:tcBorders>
              <w:left w:val="single" w:sz="8" w:color="CFF0FC"/>
            </w:tcBorders>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44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0.8</w:t>
            </w:r>
          </w:p>
        </w:tc>
        <w:tc>
          <w:tcPr>
            <w:tcW w:w="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20" w:type="dxa"/>
            <w:vAlign w:val="bottom"/>
            <w:gridSpan w:val="2"/>
            <w:vMerge w:val="restart"/>
            <w:shd w:val="clear" w:color="auto" w:fill="CFF0FC"/>
          </w:tcPr>
          <w:p>
            <w:pPr>
              <w:jc w:val="right"/>
              <w:ind w:right="120"/>
              <w:spacing w:after="0"/>
              <w:rPr>
                <w:sz w:val="20"/>
                <w:szCs w:val="20"/>
                <w:color w:val="auto"/>
              </w:rPr>
            </w:pPr>
            <w:r>
              <w:rPr>
                <w:rFonts w:ascii="Arial" w:cs="Arial" w:eastAsia="Arial" w:hAnsi="Arial"/>
                <w:sz w:val="14"/>
                <w:szCs w:val="14"/>
                <w:color w:val="auto"/>
              </w:rPr>
              <w:t>(540.4 )</w:t>
            </w:r>
          </w:p>
        </w:tc>
        <w:tc>
          <w:tcPr>
            <w:tcW w:w="100" w:type="dxa"/>
            <w:vAlign w:val="bottom"/>
            <w:shd w:val="clear" w:color="auto" w:fill="CFF0FC"/>
          </w:tcPr>
          <w:p>
            <w:pPr>
              <w:spacing w:after="0"/>
              <w:rPr>
                <w:sz w:val="20"/>
                <w:szCs w:val="20"/>
                <w:color w:val="auto"/>
              </w:rPr>
            </w:pPr>
          </w:p>
        </w:tc>
        <w:tc>
          <w:tcPr>
            <w:tcW w:w="76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28.4</w:t>
            </w:r>
          </w:p>
        </w:tc>
        <w:tc>
          <w:tcPr>
            <w:tcW w:w="1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560" w:type="dxa"/>
            <w:vAlign w:val="bottom"/>
            <w:gridSpan w:val="2"/>
            <w:vMerge w:val="restart"/>
            <w:shd w:val="clear" w:color="auto" w:fill="CFF0FC"/>
          </w:tcPr>
          <w:p>
            <w:pPr>
              <w:jc w:val="right"/>
              <w:ind w:right="140"/>
              <w:spacing w:after="0"/>
              <w:rPr>
                <w:sz w:val="20"/>
                <w:szCs w:val="20"/>
                <w:color w:val="auto"/>
              </w:rPr>
            </w:pPr>
            <w:r>
              <w:rPr>
                <w:rFonts w:ascii="Arial" w:cs="Arial" w:eastAsia="Arial" w:hAnsi="Arial"/>
                <w:sz w:val="14"/>
                <w:szCs w:val="14"/>
                <w:color w:val="auto"/>
                <w:w w:val="98"/>
              </w:rPr>
              <w:t>(46.6 )</w:t>
            </w:r>
          </w:p>
        </w:tc>
        <w:tc>
          <w:tcPr>
            <w:tcW w:w="100" w:type="dxa"/>
            <w:vAlign w:val="bottom"/>
            <w:shd w:val="clear" w:color="auto" w:fill="CFF0FC"/>
          </w:tcPr>
          <w:p>
            <w:pPr>
              <w:spacing w:after="0"/>
              <w:rPr>
                <w:sz w:val="20"/>
                <w:szCs w:val="20"/>
                <w:color w:val="auto"/>
              </w:rPr>
            </w:pPr>
          </w:p>
        </w:tc>
        <w:tc>
          <w:tcPr>
            <w:tcW w:w="50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1.2</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66"/>
        </w:trPr>
        <w:tc>
          <w:tcPr>
            <w:tcW w:w="304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880" w:type="dxa"/>
            <w:vAlign w:val="bottom"/>
            <w:gridSpan w:val="2"/>
            <w:vMerge w:val="continue"/>
            <w:shd w:val="clear" w:color="auto" w:fill="CFF0FC"/>
          </w:tcPr>
          <w:p>
            <w:pPr>
              <w:spacing w:after="0"/>
              <w:rPr>
                <w:sz w:val="5"/>
                <w:szCs w:val="5"/>
                <w:color w:val="auto"/>
              </w:rPr>
            </w:pPr>
          </w:p>
        </w:tc>
        <w:tc>
          <w:tcPr>
            <w:tcW w:w="240" w:type="dxa"/>
            <w:vAlign w:val="bottom"/>
            <w:shd w:val="clear" w:color="auto" w:fill="CFF0FC"/>
          </w:tcPr>
          <w:p>
            <w:pPr>
              <w:spacing w:after="0"/>
              <w:rPr>
                <w:sz w:val="5"/>
                <w:szCs w:val="5"/>
                <w:color w:val="auto"/>
              </w:rPr>
            </w:pPr>
          </w:p>
        </w:tc>
        <w:tc>
          <w:tcPr>
            <w:tcW w:w="420" w:type="dxa"/>
            <w:vAlign w:val="bottom"/>
            <w:vMerge w:val="continue"/>
            <w:shd w:val="clear" w:color="auto" w:fill="CFF0FC"/>
          </w:tcPr>
          <w:p>
            <w:pPr>
              <w:spacing w:after="0"/>
              <w:rPr>
                <w:sz w:val="5"/>
                <w:szCs w:val="5"/>
                <w:color w:val="auto"/>
              </w:rPr>
            </w:pPr>
          </w:p>
        </w:tc>
        <w:tc>
          <w:tcPr>
            <w:tcW w:w="22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560" w:type="dxa"/>
            <w:vAlign w:val="bottom"/>
            <w:vMerge w:val="continue"/>
            <w:shd w:val="clear" w:color="auto" w:fill="CFF0FC"/>
          </w:tcPr>
          <w:p>
            <w:pPr>
              <w:spacing w:after="0"/>
              <w:rPr>
                <w:sz w:val="5"/>
                <w:szCs w:val="5"/>
                <w:color w:val="auto"/>
              </w:rPr>
            </w:pPr>
          </w:p>
        </w:tc>
        <w:tc>
          <w:tcPr>
            <w:tcW w:w="200" w:type="dxa"/>
            <w:vAlign w:val="bottom"/>
            <w:tcBorders>
              <w:left w:val="single" w:sz="8" w:color="CFF0FC"/>
            </w:tcBorders>
            <w:shd w:val="clear" w:color="auto" w:fill="CFF0FC"/>
          </w:tcPr>
          <w:p>
            <w:pPr>
              <w:spacing w:after="0"/>
              <w:rPr>
                <w:sz w:val="5"/>
                <w:szCs w:val="5"/>
                <w:color w:val="auto"/>
              </w:rPr>
            </w:pPr>
          </w:p>
        </w:tc>
        <w:tc>
          <w:tcPr>
            <w:tcW w:w="420" w:type="dxa"/>
            <w:vAlign w:val="bottom"/>
            <w:shd w:val="clear" w:color="auto" w:fill="CFF0FC"/>
          </w:tcPr>
          <w:p>
            <w:pPr>
              <w:spacing w:after="0"/>
              <w:rPr>
                <w:sz w:val="5"/>
                <w:szCs w:val="5"/>
                <w:color w:val="auto"/>
              </w:rPr>
            </w:pPr>
          </w:p>
        </w:tc>
        <w:tc>
          <w:tcPr>
            <w:tcW w:w="440" w:type="dxa"/>
            <w:vAlign w:val="bottom"/>
            <w:vMerge w:val="continue"/>
            <w:shd w:val="clear" w:color="auto" w:fill="CFF0FC"/>
          </w:tcPr>
          <w:p>
            <w:pPr>
              <w:spacing w:after="0"/>
              <w:rPr>
                <w:sz w:val="5"/>
                <w:szCs w:val="5"/>
                <w:color w:val="auto"/>
              </w:rPr>
            </w:pPr>
          </w:p>
        </w:tc>
        <w:tc>
          <w:tcPr>
            <w:tcW w:w="18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720" w:type="dxa"/>
            <w:vAlign w:val="bottom"/>
            <w:gridSpan w:val="2"/>
            <w:vMerge w:val="continue"/>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760" w:type="dxa"/>
            <w:vAlign w:val="bottom"/>
            <w:vMerge w:val="continue"/>
            <w:shd w:val="clear" w:color="auto" w:fill="CFF0FC"/>
          </w:tcPr>
          <w:p>
            <w:pPr>
              <w:spacing w:after="0"/>
              <w:rPr>
                <w:sz w:val="5"/>
                <w:szCs w:val="5"/>
                <w:color w:val="auto"/>
              </w:rPr>
            </w:pPr>
          </w:p>
        </w:tc>
        <w:tc>
          <w:tcPr>
            <w:tcW w:w="180" w:type="dxa"/>
            <w:vAlign w:val="bottom"/>
            <w:shd w:val="clear" w:color="auto" w:fill="CFF0FC"/>
          </w:tcPr>
          <w:p>
            <w:pPr>
              <w:spacing w:after="0"/>
              <w:rPr>
                <w:sz w:val="5"/>
                <w:szCs w:val="5"/>
                <w:color w:val="auto"/>
              </w:rPr>
            </w:pPr>
          </w:p>
        </w:tc>
        <w:tc>
          <w:tcPr>
            <w:tcW w:w="160" w:type="dxa"/>
            <w:vAlign w:val="bottom"/>
            <w:shd w:val="clear" w:color="auto" w:fill="CFF0FC"/>
          </w:tcPr>
          <w:p>
            <w:pPr>
              <w:spacing w:after="0"/>
              <w:rPr>
                <w:sz w:val="5"/>
                <w:szCs w:val="5"/>
                <w:color w:val="auto"/>
              </w:rPr>
            </w:pPr>
          </w:p>
        </w:tc>
        <w:tc>
          <w:tcPr>
            <w:tcW w:w="560" w:type="dxa"/>
            <w:vAlign w:val="bottom"/>
            <w:gridSpan w:val="2"/>
            <w:vMerge w:val="continue"/>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500" w:type="dxa"/>
            <w:vAlign w:val="bottom"/>
            <w:vMerge w:val="continue"/>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30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Borders>
              <w:left w:val="single" w:sz="8" w:color="CFF0FC"/>
            </w:tcBorders>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3040" w:type="dxa"/>
            <w:vAlign w:val="bottom"/>
          </w:tcPr>
          <w:p>
            <w:pPr>
              <w:spacing w:after="0"/>
              <w:rPr>
                <w:sz w:val="20"/>
                <w:szCs w:val="20"/>
                <w:color w:val="auto"/>
              </w:rPr>
            </w:pPr>
            <w:r>
              <w:rPr>
                <w:rFonts w:ascii="Arial" w:cs="Arial" w:eastAsia="Arial" w:hAnsi="Arial"/>
                <w:sz w:val="14"/>
                <w:szCs w:val="14"/>
                <w:b w:val="1"/>
                <w:bCs w:val="1"/>
                <w:color w:val="auto"/>
              </w:rPr>
              <w:t>Total other comprehensive (loss) income</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(259.4 )</w:t>
            </w:r>
          </w:p>
        </w:tc>
        <w:tc>
          <w:tcPr>
            <w:tcW w:w="240" w:type="dxa"/>
            <w:vAlign w:val="bottom"/>
          </w:tcPr>
          <w:p>
            <w:pPr>
              <w:spacing w:after="0"/>
              <w:rPr>
                <w:sz w:val="20"/>
                <w:szCs w:val="20"/>
                <w:color w:val="auto"/>
              </w:rPr>
            </w:pPr>
            <w:r>
              <w:rPr>
                <w:rFonts w:ascii="Arial" w:cs="Arial" w:eastAsia="Arial" w:hAnsi="Arial"/>
                <w:sz w:val="14"/>
                <w:szCs w:val="14"/>
                <w:color w:val="auto"/>
              </w:rPr>
              <w:t>$</w:t>
            </w:r>
          </w:p>
        </w:tc>
        <w:tc>
          <w:tcPr>
            <w:tcW w:w="420" w:type="dxa"/>
            <w:vAlign w:val="bottom"/>
          </w:tcPr>
          <w:p>
            <w:pPr>
              <w:jc w:val="right"/>
              <w:spacing w:after="0"/>
              <w:rPr>
                <w:sz w:val="20"/>
                <w:szCs w:val="20"/>
                <w:color w:val="auto"/>
              </w:rPr>
            </w:pPr>
            <w:r>
              <w:rPr>
                <w:rFonts w:ascii="Arial" w:cs="Arial" w:eastAsia="Arial" w:hAnsi="Arial"/>
                <w:sz w:val="14"/>
                <w:szCs w:val="14"/>
                <w:color w:val="auto"/>
              </w:rPr>
              <w:t>14.1</w:t>
            </w:r>
          </w:p>
        </w:tc>
        <w:tc>
          <w:tcPr>
            <w:tcW w:w="2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(56.4 )</w:t>
            </w:r>
          </w:p>
        </w:tc>
        <w:tc>
          <w:tcPr>
            <w:tcW w:w="620" w:type="dxa"/>
            <w:vAlign w:val="bottom"/>
            <w:gridSpan w:val="2"/>
          </w:tcPr>
          <w:p>
            <w:pPr>
              <w:jc w:val="right"/>
              <w:ind w:right="248"/>
              <w:spacing w:after="0"/>
              <w:rPr>
                <w:sz w:val="20"/>
                <w:szCs w:val="20"/>
                <w:color w:val="auto"/>
              </w:rPr>
            </w:pPr>
            <w:r>
              <w:rPr>
                <w:rFonts w:ascii="Arial" w:cs="Arial" w:eastAsia="Arial" w:hAnsi="Arial"/>
                <w:sz w:val="14"/>
                <w:szCs w:val="14"/>
                <w:color w:val="auto"/>
              </w:rPr>
              <w:t>$</w:t>
            </w:r>
          </w:p>
        </w:tc>
        <w:tc>
          <w:tcPr>
            <w:tcW w:w="440" w:type="dxa"/>
            <w:vAlign w:val="bottom"/>
          </w:tcPr>
          <w:p>
            <w:pPr>
              <w:jc w:val="right"/>
              <w:spacing w:after="0"/>
              <w:rPr>
                <w:sz w:val="20"/>
                <w:szCs w:val="20"/>
                <w:color w:val="auto"/>
              </w:rPr>
            </w:pPr>
            <w:r>
              <w:rPr>
                <w:rFonts w:ascii="Arial" w:cs="Arial" w:eastAsia="Arial" w:hAnsi="Arial"/>
                <w:sz w:val="14"/>
                <w:szCs w:val="14"/>
                <w:color w:val="auto"/>
              </w:rPr>
              <w:t>0.8</w:t>
            </w:r>
          </w:p>
        </w:tc>
        <w:tc>
          <w:tcPr>
            <w:tcW w:w="2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(534.2 )</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25.9</w:t>
            </w:r>
          </w:p>
        </w:tc>
        <w:tc>
          <w:tcPr>
            <w:tcW w:w="18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140"/>
              <w:spacing w:after="0"/>
              <w:rPr>
                <w:sz w:val="20"/>
                <w:szCs w:val="20"/>
                <w:color w:val="auto"/>
              </w:rPr>
            </w:pPr>
            <w:r>
              <w:rPr>
                <w:rFonts w:ascii="Arial" w:cs="Arial" w:eastAsia="Arial" w:hAnsi="Arial"/>
                <w:sz w:val="14"/>
                <w:szCs w:val="14"/>
                <w:color w:val="auto"/>
                <w:w w:val="98"/>
              </w:rPr>
              <w:t>(45.9 )</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2790825</wp:posOffset>
            </wp:positionH>
            <wp:positionV relativeFrom="paragraph">
              <wp:posOffset>-1207770</wp:posOffset>
            </wp:positionV>
            <wp:extent cx="68580" cy="12001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3356610</wp:posOffset>
            </wp:positionH>
            <wp:positionV relativeFrom="paragraph">
              <wp:posOffset>-1207770</wp:posOffset>
            </wp:positionV>
            <wp:extent cx="68580" cy="12001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-1207770</wp:posOffset>
            </wp:positionV>
            <wp:extent cx="68580" cy="12001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-1207770</wp:posOffset>
            </wp:positionV>
            <wp:extent cx="60325" cy="12001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0325" cy="12001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-1207770</wp:posOffset>
            </wp:positionV>
            <wp:extent cx="59690" cy="12001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9690" cy="12001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-1207770</wp:posOffset>
            </wp:positionV>
            <wp:extent cx="60325" cy="12001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0325" cy="12001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-1207770</wp:posOffset>
            </wp:positionV>
            <wp:extent cx="60325" cy="12001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0325" cy="12001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-1207770</wp:posOffset>
            </wp:positionV>
            <wp:extent cx="60325" cy="12001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0325" cy="120015"/>
                    </a:xfrm>
                    <a:prstGeom prst="rect">
                      <a:avLst/>
                    </a:prstGeom>
                    <a:noFill/>
                  </pic:spPr>
                </pic:pic>
              </a:graphicData>
            </a:graphic>
          </wp:anchor>
        </w:drawing>
        <w:drawing>
          <wp:anchor simplePos="0" relativeHeight="251657728" behindDoc="1" locked="0" layoutInCell="0" allowOverlap="1">
            <wp:simplePos x="0" y="0"/>
            <wp:positionH relativeFrom="column">
              <wp:posOffset>2790825</wp:posOffset>
            </wp:positionH>
            <wp:positionV relativeFrom="paragraph">
              <wp:posOffset>-890905</wp:posOffset>
            </wp:positionV>
            <wp:extent cx="68580" cy="12890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3356610</wp:posOffset>
            </wp:positionH>
            <wp:positionV relativeFrom="paragraph">
              <wp:posOffset>-890905</wp:posOffset>
            </wp:positionV>
            <wp:extent cx="68580" cy="12890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-890905</wp:posOffset>
            </wp:positionV>
            <wp:extent cx="68580" cy="12890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-890905</wp:posOffset>
            </wp:positionV>
            <wp:extent cx="60325" cy="12890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0325" cy="12890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-890905</wp:posOffset>
            </wp:positionV>
            <wp:extent cx="59690" cy="12890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9690" cy="12890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-890905</wp:posOffset>
            </wp:positionV>
            <wp:extent cx="60325" cy="12890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0325" cy="12890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-890905</wp:posOffset>
            </wp:positionV>
            <wp:extent cx="60325" cy="12890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0325" cy="12890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-890905</wp:posOffset>
            </wp:positionV>
            <wp:extent cx="60325" cy="12890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0325" cy="128905"/>
                    </a:xfrm>
                    <a:prstGeom prst="rect">
                      <a:avLst/>
                    </a:prstGeom>
                    <a:noFill/>
                  </pic:spPr>
                </pic:pic>
              </a:graphicData>
            </a:graphic>
          </wp:anchor>
        </w:drawing>
        <w:drawing>
          <wp:anchor simplePos="0" relativeHeight="251657728" behindDoc="1" locked="0" layoutInCell="0" allowOverlap="1">
            <wp:simplePos x="0" y="0"/>
            <wp:positionH relativeFrom="column">
              <wp:posOffset>2790825</wp:posOffset>
            </wp:positionH>
            <wp:positionV relativeFrom="paragraph">
              <wp:posOffset>-213995</wp:posOffset>
            </wp:positionV>
            <wp:extent cx="68580" cy="21463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214630"/>
                    </a:xfrm>
                    <a:prstGeom prst="rect">
                      <a:avLst/>
                    </a:prstGeom>
                    <a:noFill/>
                  </pic:spPr>
                </pic:pic>
              </a:graphicData>
            </a:graphic>
          </wp:anchor>
        </w:drawing>
        <w:drawing>
          <wp:anchor simplePos="0" relativeHeight="251657728" behindDoc="1" locked="0" layoutInCell="0" allowOverlap="1">
            <wp:simplePos x="0" y="0"/>
            <wp:positionH relativeFrom="column">
              <wp:posOffset>3356610</wp:posOffset>
            </wp:positionH>
            <wp:positionV relativeFrom="paragraph">
              <wp:posOffset>-213995</wp:posOffset>
            </wp:positionV>
            <wp:extent cx="68580" cy="21463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214630"/>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-213995</wp:posOffset>
            </wp:positionV>
            <wp:extent cx="68580" cy="21463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214630"/>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-213995</wp:posOffset>
            </wp:positionV>
            <wp:extent cx="60325" cy="21463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0325" cy="214630"/>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-213995</wp:posOffset>
            </wp:positionV>
            <wp:extent cx="59690" cy="21463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9690" cy="214630"/>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-213995</wp:posOffset>
            </wp:positionV>
            <wp:extent cx="60325" cy="21463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0325" cy="214630"/>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-213995</wp:posOffset>
            </wp:positionV>
            <wp:extent cx="60325" cy="21463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0325" cy="21463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-213995</wp:posOffset>
            </wp:positionV>
            <wp:extent cx="60325" cy="21463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0325" cy="214630"/>
                    </a:xfrm>
                    <a:prstGeom prst="rect">
                      <a:avLst/>
                    </a:prstGeom>
                    <a:noFill/>
                  </pic:spPr>
                </pic:pic>
              </a:graphicData>
            </a:graphic>
          </wp:anchor>
        </w:drawing>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9—Variable Interest Entity</w:t>
      </w:r>
    </w:p>
    <w:p>
      <w:pPr>
        <w:spacing w:after="0" w:line="100" w:lineRule="exact"/>
        <w:rPr>
          <w:sz w:val="20"/>
          <w:szCs w:val="20"/>
          <w:color w:val="auto"/>
        </w:rPr>
      </w:pPr>
    </w:p>
    <w:p>
      <w:pPr>
        <w:ind w:left="580"/>
        <w:spacing w:after="0"/>
        <w:rPr>
          <w:sz w:val="20"/>
          <w:szCs w:val="20"/>
          <w:color w:val="auto"/>
        </w:rPr>
      </w:pPr>
      <w:r>
        <w:rPr>
          <w:rFonts w:ascii="Arial" w:cs="Arial" w:eastAsia="Arial" w:hAnsi="Arial"/>
          <w:sz w:val="17"/>
          <w:szCs w:val="17"/>
          <w:color w:val="auto"/>
        </w:rPr>
        <w:t>On July 15, 2021, we entered into an agreement whereby we obtained an 80.2% interest in DomaniRx, LLC (</w:t>
      </w:r>
      <w:r>
        <w:rPr>
          <w:rFonts w:ascii="Arial" w:cs="Arial" w:eastAsia="Arial" w:hAnsi="Arial"/>
          <w:sz w:val="20"/>
          <w:szCs w:val="20"/>
          <w:color w:val="auto"/>
        </w:rPr>
        <w:t>“</w:t>
      </w:r>
      <w:r>
        <w:rPr>
          <w:rFonts w:ascii="Arial" w:cs="Arial" w:eastAsia="Arial" w:hAnsi="Arial"/>
          <w:sz w:val="17"/>
          <w:szCs w:val="17"/>
          <w:color w:val="auto"/>
        </w:rPr>
        <w:t>DomaniRx</w:t>
      </w:r>
      <w:r>
        <w:rPr>
          <w:rFonts w:ascii="Arial" w:cs="Arial" w:eastAsia="Arial" w:hAnsi="Arial"/>
          <w:sz w:val="20"/>
          <w:szCs w:val="20"/>
          <w:color w:val="auto"/>
        </w:rPr>
        <w:t>”</w:t>
      </w:r>
      <w:r>
        <w:rPr>
          <w:rFonts w:ascii="Arial" w:cs="Arial" w:eastAsia="Arial" w:hAnsi="Arial"/>
          <w:sz w:val="17"/>
          <w:szCs w:val="17"/>
          <w:color w:val="auto"/>
        </w:rPr>
        <w:t>), a variable interest</w:t>
      </w:r>
    </w:p>
    <w:p>
      <w:pPr>
        <w:spacing w:after="0" w:line="44" w:lineRule="exact"/>
        <w:rPr>
          <w:sz w:val="20"/>
          <w:szCs w:val="20"/>
          <w:color w:val="auto"/>
        </w:rPr>
      </w:pPr>
    </w:p>
    <w:p>
      <w:pPr>
        <w:ind w:right="180"/>
        <w:spacing w:after="0" w:line="242" w:lineRule="auto"/>
        <w:rPr>
          <w:sz w:val="20"/>
          <w:szCs w:val="20"/>
          <w:color w:val="auto"/>
        </w:rPr>
      </w:pPr>
      <w:r>
        <w:rPr>
          <w:rFonts w:ascii="Arial" w:cs="Arial" w:eastAsia="Arial" w:hAnsi="Arial"/>
          <w:sz w:val="18"/>
          <w:szCs w:val="18"/>
          <w:color w:val="auto"/>
        </w:rPr>
        <w:t>entity under GAAP. We have the power to direct the majority of the activities of DomaniRx that most significantly impact its economic performance, the obligation to absorb losses and the right to receive benefits from DomaniRx. Accordingly, we determined that we are the primary beneficiary of DomaniRx and consolidate its results.</w:t>
      </w:r>
    </w:p>
    <w:p>
      <w:pPr>
        <w:spacing w:after="0" w:line="92" w:lineRule="exact"/>
        <w:rPr>
          <w:sz w:val="20"/>
          <w:szCs w:val="20"/>
          <w:color w:val="auto"/>
        </w:rPr>
      </w:pPr>
    </w:p>
    <w:p>
      <w:pPr>
        <w:ind w:firstLine="569"/>
        <w:spacing w:after="0" w:line="324" w:lineRule="auto"/>
        <w:rPr>
          <w:sz w:val="20"/>
          <w:szCs w:val="20"/>
          <w:color w:val="auto"/>
        </w:rPr>
      </w:pPr>
      <w:r>
        <w:rPr>
          <w:rFonts w:ascii="Arial" w:cs="Arial" w:eastAsia="Arial" w:hAnsi="Arial"/>
          <w:sz w:val="16"/>
          <w:szCs w:val="16"/>
          <w:color w:val="auto"/>
        </w:rPr>
        <w:t>The carrying value of the assets and liabilities associated with DomaniRx included in our condensed consolidated balance sheet as of September 30, 2022, which are limited for use in its operations and do not have recourse against our general credit or our senior secured credit facilities, are as follows:</w:t>
      </w:r>
    </w:p>
    <w:p>
      <w:pPr>
        <w:spacing w:after="0" w:line="62" w:lineRule="exact"/>
        <w:rPr>
          <w:sz w:val="20"/>
          <w:szCs w:val="20"/>
          <w:color w:val="auto"/>
        </w:rPr>
      </w:pPr>
    </w:p>
    <w:tbl>
      <w:tblPr>
        <w:tblLayout w:type="fixed"/>
        <w:tblInd w:w="960" w:type="dxa"/>
        <w:tblCellMar>
          <w:top w:w="0" w:type="dxa"/>
          <w:left w:w="0" w:type="dxa"/>
          <w:bottom w:w="0" w:type="dxa"/>
          <w:right w:w="0" w:type="dxa"/>
        </w:tblCellMar>
      </w:tblPr>
      <w:tr>
        <w:trPr>
          <w:trHeight w:val="185"/>
        </w:trPr>
        <w:tc>
          <w:tcPr>
            <w:tcW w:w="77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September 30,</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7720" w:type="dxa"/>
            <w:vAlign w:val="bottom"/>
            <w:vMerge w:val="restart"/>
          </w:tcPr>
          <w:p>
            <w:pPr>
              <w:ind w:left="20"/>
              <w:spacing w:after="0"/>
              <w:rPr>
                <w:sz w:val="20"/>
                <w:szCs w:val="20"/>
                <w:color w:val="auto"/>
              </w:rPr>
            </w:pPr>
            <w:r>
              <w:rPr>
                <w:rFonts w:ascii="Arial" w:cs="Arial" w:eastAsia="Arial" w:hAnsi="Arial"/>
                <w:sz w:val="18"/>
                <w:szCs w:val="18"/>
                <w:color w:val="auto"/>
              </w:rPr>
              <w:t>Assets:</w:t>
            </w:r>
          </w:p>
        </w:tc>
        <w:tc>
          <w:tcPr>
            <w:tcW w:w="2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72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100"/>
              <w:spacing w:after="0"/>
              <w:rPr>
                <w:sz w:val="20"/>
                <w:szCs w:val="20"/>
                <w:color w:val="auto"/>
              </w:rPr>
            </w:pPr>
            <w:r>
              <w:rPr>
                <w:rFonts w:ascii="Arial" w:cs="Arial" w:eastAsia="Arial" w:hAnsi="Arial"/>
                <w:sz w:val="18"/>
                <w:szCs w:val="18"/>
                <w:color w:val="auto"/>
              </w:rPr>
              <w:t>Cash and cash equivalents</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151.6</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100"/>
              <w:spacing w:after="0"/>
              <w:rPr>
                <w:sz w:val="20"/>
                <w:szCs w:val="20"/>
                <w:color w:val="auto"/>
              </w:rPr>
            </w:pPr>
            <w:r>
              <w:rPr>
                <w:rFonts w:ascii="Arial" w:cs="Arial" w:eastAsia="Arial" w:hAnsi="Arial"/>
                <w:sz w:val="18"/>
                <w:szCs w:val="18"/>
                <w:color w:val="auto"/>
              </w:rPr>
              <w:t>Intangible assets</w:t>
            </w: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151.6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Liabilities:</w:t>
            </w:r>
          </w:p>
        </w:tc>
        <w:tc>
          <w:tcPr>
            <w:tcW w:w="20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100"/>
              <w:spacing w:after="0"/>
              <w:rPr>
                <w:sz w:val="20"/>
                <w:szCs w:val="20"/>
                <w:color w:val="auto"/>
              </w:rPr>
            </w:pPr>
            <w:r>
              <w:rPr>
                <w:rFonts w:ascii="Arial" w:cs="Arial" w:eastAsia="Arial" w:hAnsi="Arial"/>
                <w:sz w:val="18"/>
                <w:szCs w:val="18"/>
                <w:color w:val="auto"/>
              </w:rPr>
              <w:t>Other liabilities</w:t>
            </w:r>
          </w:p>
        </w:tc>
        <w:tc>
          <w:tcPr>
            <w:tcW w:w="2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17.5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10—Revenues</w:t>
      </w:r>
    </w:p>
    <w:p>
      <w:pPr>
        <w:spacing w:after="0" w:line="121" w:lineRule="exact"/>
        <w:rPr>
          <w:sz w:val="20"/>
          <w:szCs w:val="20"/>
          <w:color w:val="auto"/>
        </w:rPr>
      </w:pPr>
    </w:p>
    <w:p>
      <w:pPr>
        <w:ind w:right="60" w:firstLine="569"/>
        <w:spacing w:after="0" w:line="244" w:lineRule="auto"/>
        <w:rPr>
          <w:sz w:val="20"/>
          <w:szCs w:val="20"/>
          <w:color w:val="auto"/>
        </w:rPr>
      </w:pPr>
      <w:r>
        <w:rPr>
          <w:rFonts w:ascii="Arial" w:cs="Arial" w:eastAsia="Arial" w:hAnsi="Arial"/>
          <w:sz w:val="18"/>
          <w:szCs w:val="18"/>
          <w:color w:val="auto"/>
        </w:rPr>
        <w:t>We generate revenues primarily through our software-enabled services. Our software-enabled services are generally provided under contracts with initial terms of one to five years that require monthly or quarterly payments and are subject to automatic annual renewal at the end of the initial term unless terminated by either party. We also generate revenues by licensing our software to clients through either perpetual or term licenses and by selling maintenance services. We classify license revenues related to sales-based royalty arrangements as term license revenue. Maintenance services are generally provided under annually renewable contracts. Our pricing typically scales as a function of our clients’ assets under management, the complexity of asset classes managed, the volume of transactions and the level of service the client requires. Revenues from professional services consist mostly of services provided on a time and materials basis.</w:t>
      </w:r>
    </w:p>
    <w:p>
      <w:pPr>
        <w:spacing w:after="0" w:line="147" w:lineRule="exact"/>
        <w:rPr>
          <w:sz w:val="20"/>
          <w:szCs w:val="20"/>
          <w:color w:val="auto"/>
        </w:rPr>
      </w:pPr>
    </w:p>
    <w:p>
      <w:pPr>
        <w:ind w:right="440" w:firstLine="569"/>
        <w:spacing w:after="0" w:line="277" w:lineRule="auto"/>
        <w:rPr>
          <w:sz w:val="20"/>
          <w:szCs w:val="20"/>
          <w:color w:val="auto"/>
        </w:rPr>
      </w:pPr>
      <w:r>
        <w:rPr>
          <w:rFonts w:ascii="Arial" w:cs="Arial" w:eastAsia="Arial" w:hAnsi="Arial"/>
          <w:sz w:val="18"/>
          <w:szCs w:val="18"/>
          <w:color w:val="auto"/>
        </w:rPr>
        <w:t>Deferred revenues primarily represent unrecognized fees billed or collected for maintenance and professional services. Deferred revenues are recognized as (or when) we perform under the contract. Deferred revenues are recorded on a net basis with</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5" w:name="page16"/>
    <w:bookmarkEnd w:id="15"/>
    <w:p>
      <w:pPr>
        <w:ind w:right="20" w:firstLine="45"/>
        <w:spacing w:after="0" w:line="263" w:lineRule="auto"/>
        <w:rPr>
          <w:sz w:val="20"/>
          <w:szCs w:val="20"/>
          <w:color w:val="auto"/>
        </w:rPr>
      </w:pPr>
      <w:r>
        <w:rPr>
          <w:rFonts w:ascii="Arial" w:cs="Arial" w:eastAsia="Arial" w:hAnsi="Arial"/>
          <w:sz w:val="17"/>
          <w:szCs w:val="17"/>
          <w:color w:val="auto"/>
        </w:rPr>
        <w:t>contract assets at the contract level. Accordingly, as of September 30, 2022 and December 31, 2021, approximately $65.6 million and $61.0 million, respectively, of deferred revenue is presented net within contract assets arising from the same contracts. The amount of revenues recognized in the period that was included in the opening deferred revenues balance was $50.5 million and $231.8 million for the three and nine months ended September 30, 2022, respectively. The amount of revenues recognized in the period that was included in the opening deferred revenue balance was $56.3 million and $238.1 million for the three and nine months ended September 30, 2021, respectively.</w:t>
      </w:r>
    </w:p>
    <w:p>
      <w:pPr>
        <w:spacing w:after="0" w:line="144" w:lineRule="exact"/>
        <w:rPr>
          <w:sz w:val="20"/>
          <w:szCs w:val="20"/>
          <w:color w:val="auto"/>
        </w:rPr>
      </w:pPr>
    </w:p>
    <w:p>
      <w:pPr>
        <w:ind w:firstLine="360"/>
        <w:spacing w:after="0" w:line="291" w:lineRule="auto"/>
        <w:rPr>
          <w:sz w:val="20"/>
          <w:szCs w:val="20"/>
          <w:color w:val="auto"/>
        </w:rPr>
      </w:pPr>
      <w:r>
        <w:rPr>
          <w:rFonts w:ascii="Arial" w:cs="Arial" w:eastAsia="Arial" w:hAnsi="Arial"/>
          <w:sz w:val="17"/>
          <w:szCs w:val="17"/>
          <w:color w:val="auto"/>
        </w:rPr>
        <w:t>As of September 30, 2022, revenue of approximately $923.2 million is expected to be recognized from remaining performance obligations for license, maintenance and related revenues, of which $449.0 million is expected to be recognized over the next twelve months.</w:t>
      </w:r>
    </w:p>
    <w:p>
      <w:pPr>
        <w:spacing w:after="0" w:line="3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We record revenue net of any taxes assessed by governmental authorities.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Disaggregation</w:t>
      </w:r>
    </w:p>
    <w:p>
      <w:pPr>
        <w:spacing w:after="0" w:line="10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following table disaggregates our revenues by geography (in millions):</w:t>
      </w:r>
    </w:p>
    <w:p>
      <w:pPr>
        <w:spacing w:after="0" w:line="149"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5220" w:type="dxa"/>
            <w:vAlign w:val="bottom"/>
          </w:tcPr>
          <w:p>
            <w:pPr>
              <w:spacing w:after="0"/>
              <w:rPr>
                <w:sz w:val="16"/>
                <w:szCs w:val="16"/>
                <w:color w:val="auto"/>
              </w:rPr>
            </w:pPr>
          </w:p>
        </w:tc>
        <w:tc>
          <w:tcPr>
            <w:tcW w:w="230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4"/>
              </w:rPr>
              <w:t>Three Months Ended September 30,</w:t>
            </w:r>
          </w:p>
        </w:tc>
        <w:tc>
          <w:tcPr>
            <w:tcW w:w="220" w:type="dxa"/>
            <w:vAlign w:val="bottom"/>
          </w:tcPr>
          <w:p>
            <w:pPr>
              <w:spacing w:after="0"/>
              <w:rPr>
                <w:sz w:val="16"/>
                <w:szCs w:val="16"/>
                <w:color w:val="auto"/>
              </w:rPr>
            </w:pPr>
          </w:p>
        </w:tc>
        <w:tc>
          <w:tcPr>
            <w:tcW w:w="226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4"/>
              </w:rPr>
              <w:t>Nine Months Ended September 30,</w:t>
            </w:r>
          </w:p>
        </w:tc>
        <w:tc>
          <w:tcPr>
            <w:tcW w:w="100" w:type="dxa"/>
            <w:vAlign w:val="bottom"/>
          </w:tcPr>
          <w:p>
            <w:pPr>
              <w:spacing w:after="0"/>
              <w:rPr>
                <w:sz w:val="16"/>
                <w:szCs w:val="16"/>
                <w:color w:val="auto"/>
              </w:rPr>
            </w:pPr>
          </w:p>
        </w:tc>
      </w:tr>
      <w:tr>
        <w:trPr>
          <w:trHeight w:val="169"/>
        </w:trPr>
        <w:tc>
          <w:tcPr>
            <w:tcW w:w="52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r>
      <w:tr>
        <w:trPr>
          <w:trHeight w:val="209"/>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United States</w:t>
            </w:r>
          </w:p>
        </w:tc>
        <w:tc>
          <w:tcPr>
            <w:tcW w:w="240" w:type="dxa"/>
            <w:vAlign w:val="bottom"/>
            <w:shd w:val="clear" w:color="auto" w:fill="CFF0FC"/>
          </w:tcPr>
          <w:p>
            <w:pPr>
              <w:jc w:val="right"/>
              <w:ind w:right="56"/>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927.1</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909.6</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6"/>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2,787.5</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2,682.6</w:t>
            </w:r>
          </w:p>
        </w:tc>
        <w:tc>
          <w:tcPr>
            <w:tcW w:w="100" w:type="dxa"/>
            <w:vAlign w:val="bottom"/>
            <w:shd w:val="clear" w:color="auto" w:fill="CFF0FC"/>
          </w:tcPr>
          <w:p>
            <w:pPr>
              <w:spacing w:after="0"/>
              <w:rPr>
                <w:sz w:val="18"/>
                <w:szCs w:val="18"/>
                <w:color w:val="auto"/>
              </w:rPr>
            </w:pP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United Kingdom</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138.2</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143.9</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433.8</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449.4</w:t>
            </w:r>
          </w:p>
        </w:tc>
        <w:tc>
          <w:tcPr>
            <w:tcW w:w="100" w:type="dxa"/>
            <w:vAlign w:val="bottom"/>
          </w:tcPr>
          <w:p>
            <w:pPr>
              <w:spacing w:after="0"/>
              <w:rPr>
                <w:sz w:val="18"/>
                <w:szCs w:val="18"/>
                <w:color w:val="auto"/>
              </w:rPr>
            </w:pPr>
          </w:p>
        </w:tc>
      </w:tr>
      <w:tr>
        <w:trPr>
          <w:trHeight w:val="216"/>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Europe (excluding United Kingdom), Middle East and Africa</w:t>
            </w:r>
          </w:p>
        </w:tc>
        <w:tc>
          <w:tcPr>
            <w:tcW w:w="24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105.2</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84.4</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292.8</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240.1</w:t>
            </w:r>
          </w:p>
        </w:tc>
        <w:tc>
          <w:tcPr>
            <w:tcW w:w="100" w:type="dxa"/>
            <w:vAlign w:val="bottom"/>
            <w:shd w:val="clear" w:color="auto" w:fill="CFF0FC"/>
          </w:tcPr>
          <w:p>
            <w:pPr>
              <w:spacing w:after="0"/>
              <w:rPr>
                <w:sz w:val="18"/>
                <w:szCs w:val="18"/>
                <w:color w:val="auto"/>
              </w:rPr>
            </w:pP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Asia-Pacific and Japan</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62.5</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57.8</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193.3</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183.2</w:t>
            </w:r>
          </w:p>
        </w:tc>
        <w:tc>
          <w:tcPr>
            <w:tcW w:w="100" w:type="dxa"/>
            <w:vAlign w:val="bottom"/>
          </w:tcPr>
          <w:p>
            <w:pPr>
              <w:spacing w:after="0"/>
              <w:rPr>
                <w:sz w:val="18"/>
                <w:szCs w:val="18"/>
                <w:color w:val="auto"/>
              </w:rPr>
            </w:pPr>
          </w:p>
        </w:tc>
      </w:tr>
      <w:tr>
        <w:trPr>
          <w:trHeight w:val="216"/>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Canada</w:t>
            </w:r>
          </w:p>
        </w:tc>
        <w:tc>
          <w:tcPr>
            <w:tcW w:w="24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64.9</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48.3</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169.5</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141.6</w:t>
            </w:r>
          </w:p>
        </w:tc>
        <w:tc>
          <w:tcPr>
            <w:tcW w:w="100" w:type="dxa"/>
            <w:vAlign w:val="bottom"/>
            <w:shd w:val="clear" w:color="auto" w:fill="CFF0FC"/>
          </w:tcPr>
          <w:p>
            <w:pPr>
              <w:spacing w:after="0"/>
              <w:rPr>
                <w:sz w:val="18"/>
                <w:szCs w:val="18"/>
                <w:color w:val="auto"/>
              </w:rPr>
            </w:pP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Americas, excluding United States and Canada</w:t>
            </w: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w:t>
            </w: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67.8</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59.9</w:t>
            </w:r>
          </w:p>
        </w:tc>
        <w:tc>
          <w:tcPr>
            <w:tcW w:w="100" w:type="dxa"/>
            <w:vAlign w:val="bottom"/>
          </w:tcPr>
          <w:p>
            <w:pPr>
              <w:spacing w:after="0"/>
              <w:rPr>
                <w:sz w:val="18"/>
                <w:szCs w:val="18"/>
                <w:color w:val="auto"/>
              </w:rPr>
            </w:pPr>
          </w:p>
        </w:tc>
      </w:tr>
      <w:tr>
        <w:trPr>
          <w:trHeight w:val="250"/>
        </w:trPr>
        <w:tc>
          <w:tcPr>
            <w:tcW w:w="522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FF0FC"/>
          </w:tcPr>
          <w:p>
            <w:pPr>
              <w:jc w:val="right"/>
              <w:ind w:right="56"/>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1,321.0</w:t>
            </w:r>
          </w:p>
        </w:tc>
        <w:tc>
          <w:tcPr>
            <w:tcW w:w="24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1,264.4</w:t>
            </w:r>
          </w:p>
        </w:tc>
        <w:tc>
          <w:tcPr>
            <w:tcW w:w="2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56"/>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3,944.7</w:t>
            </w:r>
          </w:p>
        </w:tc>
        <w:tc>
          <w:tcPr>
            <w:tcW w:w="2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3,756.8</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4333875</wp:posOffset>
            </wp:positionH>
            <wp:positionV relativeFrom="paragraph">
              <wp:posOffset>-24765</wp:posOffset>
            </wp:positionV>
            <wp:extent cx="6858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-7620</wp:posOffset>
            </wp:positionV>
            <wp:extent cx="685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-24765</wp:posOffset>
            </wp:positionV>
            <wp:extent cx="5969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-7620</wp:posOffset>
            </wp:positionV>
            <wp:extent cx="5969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-24765</wp:posOffset>
            </wp:positionV>
            <wp:extent cx="6032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-7620</wp:posOffset>
            </wp:positionV>
            <wp:extent cx="6032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8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following table disaggregates our revenues by source (in millions):</w:t>
      </w:r>
    </w:p>
    <w:p>
      <w:pPr>
        <w:spacing w:after="0" w:line="149"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48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4"/>
          </w:tcPr>
          <w:p>
            <w:pPr>
              <w:jc w:val="right"/>
              <w:ind w:right="53"/>
              <w:spacing w:after="0"/>
              <w:rPr>
                <w:sz w:val="20"/>
                <w:szCs w:val="20"/>
                <w:color w:val="auto"/>
              </w:rPr>
            </w:pPr>
            <w:r>
              <w:rPr>
                <w:rFonts w:ascii="Arial" w:cs="Arial" w:eastAsia="Arial" w:hAnsi="Arial"/>
                <w:sz w:val="14"/>
                <w:szCs w:val="14"/>
                <w:b w:val="1"/>
                <w:bCs w:val="1"/>
                <w:color w:val="auto"/>
                <w:w w:val="93"/>
              </w:rPr>
              <w:t>Three Months Ended September 30,</w:t>
            </w:r>
          </w:p>
        </w:tc>
        <w:tc>
          <w:tcPr>
            <w:tcW w:w="2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4"/>
          </w:tcPr>
          <w:p>
            <w:pPr>
              <w:jc w:val="right"/>
              <w:ind w:right="53"/>
              <w:spacing w:after="0"/>
              <w:rPr>
                <w:sz w:val="20"/>
                <w:szCs w:val="20"/>
                <w:color w:val="auto"/>
              </w:rPr>
            </w:pPr>
            <w:r>
              <w:rPr>
                <w:rFonts w:ascii="Arial" w:cs="Arial" w:eastAsia="Arial" w:hAnsi="Arial"/>
                <w:sz w:val="14"/>
                <w:szCs w:val="14"/>
                <w:b w:val="1"/>
                <w:bCs w:val="1"/>
                <w:color w:val="auto"/>
                <w:w w:val="92"/>
              </w:rPr>
              <w:t>Nine Months Ended September 30,</w:t>
            </w:r>
          </w:p>
        </w:tc>
        <w:tc>
          <w:tcPr>
            <w:tcW w:w="100" w:type="dxa"/>
            <w:vAlign w:val="bottom"/>
          </w:tcPr>
          <w:p>
            <w:pPr>
              <w:spacing w:after="0"/>
              <w:rPr>
                <w:sz w:val="16"/>
                <w:szCs w:val="16"/>
                <w:color w:val="auto"/>
              </w:rPr>
            </w:pPr>
          </w:p>
        </w:tc>
      </w:tr>
      <w:tr>
        <w:trPr>
          <w:trHeight w:val="169"/>
        </w:trPr>
        <w:tc>
          <w:tcPr>
            <w:tcW w:w="48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r>
      <w:tr>
        <w:trPr>
          <w:trHeight w:val="209"/>
        </w:trPr>
        <w:tc>
          <w:tcPr>
            <w:tcW w:w="4860" w:type="dxa"/>
            <w:vAlign w:val="bottom"/>
            <w:shd w:val="clear" w:color="auto" w:fill="CFF0FC"/>
          </w:tcPr>
          <w:p>
            <w:pPr>
              <w:spacing w:after="0"/>
              <w:rPr>
                <w:sz w:val="20"/>
                <w:szCs w:val="20"/>
                <w:color w:val="auto"/>
              </w:rPr>
            </w:pPr>
            <w:r>
              <w:rPr>
                <w:rFonts w:ascii="Arial" w:cs="Arial" w:eastAsia="Arial" w:hAnsi="Arial"/>
                <w:sz w:val="18"/>
                <w:szCs w:val="18"/>
                <w:color w:val="auto"/>
              </w:rPr>
              <w:t>Software-enabled services</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1,049.8</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1,069.9</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3,205.7</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3,170.4</w:t>
            </w:r>
          </w:p>
        </w:tc>
        <w:tc>
          <w:tcPr>
            <w:tcW w:w="100" w:type="dxa"/>
            <w:vAlign w:val="bottom"/>
            <w:shd w:val="clear" w:color="auto" w:fill="CFF0FC"/>
          </w:tcPr>
          <w:p>
            <w:pPr>
              <w:spacing w:after="0"/>
              <w:rPr>
                <w:sz w:val="18"/>
                <w:szCs w:val="18"/>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Maintenance and term licenses</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237.4</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167.3</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639.5</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497.0</w:t>
            </w:r>
          </w:p>
        </w:tc>
        <w:tc>
          <w:tcPr>
            <w:tcW w:w="100" w:type="dxa"/>
            <w:vAlign w:val="bottom"/>
          </w:tcPr>
          <w:p>
            <w:pPr>
              <w:spacing w:after="0"/>
              <w:rPr>
                <w:sz w:val="18"/>
                <w:szCs w:val="18"/>
                <w:color w:val="auto"/>
              </w:rPr>
            </w:pPr>
          </w:p>
        </w:tc>
      </w:tr>
      <w:tr>
        <w:trPr>
          <w:trHeight w:val="216"/>
        </w:trPr>
        <w:tc>
          <w:tcPr>
            <w:tcW w:w="4860" w:type="dxa"/>
            <w:vAlign w:val="bottom"/>
            <w:shd w:val="clear" w:color="auto" w:fill="CFF0FC"/>
          </w:tcPr>
          <w:p>
            <w:pPr>
              <w:spacing w:after="0"/>
              <w:rPr>
                <w:sz w:val="20"/>
                <w:szCs w:val="20"/>
                <w:color w:val="auto"/>
              </w:rPr>
            </w:pPr>
            <w:r>
              <w:rPr>
                <w:rFonts w:ascii="Arial" w:cs="Arial" w:eastAsia="Arial" w:hAnsi="Arial"/>
                <w:sz w:val="18"/>
                <w:szCs w:val="18"/>
                <w:color w:val="auto"/>
              </w:rPr>
              <w:t>Professional services</w:t>
            </w:r>
          </w:p>
        </w:tc>
        <w:tc>
          <w:tcPr>
            <w:tcW w:w="12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27.7</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25.4</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81.4</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74.6</w:t>
            </w:r>
          </w:p>
        </w:tc>
        <w:tc>
          <w:tcPr>
            <w:tcW w:w="100" w:type="dxa"/>
            <w:vAlign w:val="bottom"/>
            <w:shd w:val="clear" w:color="auto" w:fill="CFF0FC"/>
          </w:tcPr>
          <w:p>
            <w:pPr>
              <w:spacing w:after="0"/>
              <w:rPr>
                <w:sz w:val="18"/>
                <w:szCs w:val="18"/>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Perpetual licenses</w:t>
            </w: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2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w:t>
            </w:r>
          </w:p>
        </w:tc>
        <w:tc>
          <w:tcPr>
            <w:tcW w:w="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w:t>
            </w:r>
          </w:p>
        </w:tc>
        <w:tc>
          <w:tcPr>
            <w:tcW w:w="100" w:type="dxa"/>
            <w:vAlign w:val="bottom"/>
          </w:tcPr>
          <w:p>
            <w:pPr>
              <w:spacing w:after="0"/>
              <w:rPr>
                <w:sz w:val="18"/>
                <w:szCs w:val="18"/>
                <w:color w:val="auto"/>
              </w:rPr>
            </w:pPr>
          </w:p>
        </w:tc>
      </w:tr>
      <w:tr>
        <w:trPr>
          <w:trHeight w:val="250"/>
        </w:trPr>
        <w:tc>
          <w:tcPr>
            <w:tcW w:w="486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1,321.0</w:t>
            </w:r>
          </w:p>
        </w:tc>
        <w:tc>
          <w:tcPr>
            <w:tcW w:w="24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1,264.4</w:t>
            </w:r>
          </w:p>
        </w:tc>
        <w:tc>
          <w:tcPr>
            <w:tcW w:w="2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3,944.7</w:t>
            </w:r>
          </w:p>
        </w:tc>
        <w:tc>
          <w:tcPr>
            <w:tcW w:w="22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3,756.8</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4154170</wp:posOffset>
            </wp:positionH>
            <wp:positionV relativeFrom="paragraph">
              <wp:posOffset>-24765</wp:posOffset>
            </wp:positionV>
            <wp:extent cx="6858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-8255</wp:posOffset>
            </wp:positionV>
            <wp:extent cx="6858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-24765</wp:posOffset>
            </wp:positionV>
            <wp:extent cx="6858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-8255</wp:posOffset>
            </wp:positionV>
            <wp:extent cx="6858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-24765</wp:posOffset>
            </wp:positionV>
            <wp:extent cx="6032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-8255</wp:posOffset>
            </wp:positionV>
            <wp:extent cx="60325"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-8255</wp:posOffset>
            </wp:positionV>
            <wp:extent cx="60325"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11—Stock Based Compensation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w:t>
      </w:r>
      <w:r>
        <w:rPr>
          <w:rFonts w:ascii="Arial" w:cs="Arial" w:eastAsia="Arial" w:hAnsi="Arial"/>
          <w:sz w:val="18"/>
          <w:szCs w:val="18"/>
          <w:i w:val="1"/>
          <w:iCs w:val="1"/>
          <w:color w:val="auto"/>
        </w:rPr>
        <w:t>tock options, SARs, PSUs and RSUs</w:t>
      </w:r>
    </w:p>
    <w:p>
      <w:pPr>
        <w:spacing w:after="0" w:line="198" w:lineRule="exact"/>
        <w:rPr>
          <w:sz w:val="20"/>
          <w:szCs w:val="20"/>
          <w:color w:val="auto"/>
        </w:rPr>
      </w:pPr>
    </w:p>
    <w:p>
      <w:pPr>
        <w:ind w:right="100" w:firstLine="509"/>
        <w:spacing w:after="0" w:line="277" w:lineRule="auto"/>
        <w:rPr>
          <w:sz w:val="20"/>
          <w:szCs w:val="20"/>
          <w:color w:val="auto"/>
        </w:rPr>
      </w:pPr>
      <w:r>
        <w:rPr>
          <w:rFonts w:ascii="Arial" w:cs="Arial" w:eastAsia="Arial" w:hAnsi="Arial"/>
          <w:sz w:val="18"/>
          <w:szCs w:val="18"/>
          <w:color w:val="auto"/>
        </w:rPr>
        <w:t>The amount of stock-based compensation expense recognized in our Condensed Consolidated Statements of Comprehensive (Loss) Income for the three and nine months ended September 30, 2022 and 2021 was as follows (in millions):</w:t>
      </w:r>
    </w:p>
    <w:p>
      <w:pPr>
        <w:spacing w:after="0" w:line="189"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3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7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36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340"/>
              <w:spacing w:after="0"/>
              <w:rPr>
                <w:sz w:val="20"/>
                <w:szCs w:val="20"/>
                <w:color w:val="auto"/>
              </w:rPr>
            </w:pPr>
            <w:r>
              <w:rPr>
                <w:rFonts w:ascii="Arial" w:cs="Arial" w:eastAsia="Arial" w:hAnsi="Arial"/>
                <w:sz w:val="14"/>
                <w:szCs w:val="14"/>
                <w:b w:val="1"/>
                <w:bCs w:val="1"/>
                <w:color w:val="auto"/>
                <w:w w:val="98"/>
              </w:rPr>
              <w:t>Nine Months Ended September 30,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3700" w:type="dxa"/>
            <w:vAlign w:val="bottom"/>
            <w:gridSpan w:val="2"/>
          </w:tcPr>
          <w:p>
            <w:pPr>
              <w:spacing w:after="0" w:line="133" w:lineRule="exact"/>
              <w:rPr>
                <w:sz w:val="20"/>
                <w:szCs w:val="20"/>
                <w:color w:val="auto"/>
              </w:rPr>
            </w:pPr>
            <w:r>
              <w:rPr>
                <w:rFonts w:ascii="Arial" w:cs="Arial" w:eastAsia="Arial" w:hAnsi="Arial"/>
                <w:sz w:val="14"/>
                <w:szCs w:val="14"/>
                <w:b w:val="1"/>
                <w:bCs w:val="1"/>
                <w:color w:val="auto"/>
                <w:w w:val="98"/>
              </w:rPr>
              <w:t>Condensed Consolidated Statements of Comprehensive</w:t>
            </w:r>
          </w:p>
        </w:tc>
        <w:tc>
          <w:tcPr>
            <w:tcW w:w="1000" w:type="dxa"/>
            <w:vAlign w:val="bottom"/>
            <w:vMerge w:val="restart"/>
          </w:tcPr>
          <w:p>
            <w:pPr>
              <w:jc w:val="right"/>
              <w:ind w:right="106"/>
              <w:spacing w:after="0"/>
              <w:rPr>
                <w:sz w:val="20"/>
                <w:szCs w:val="20"/>
                <w:color w:val="auto"/>
              </w:rPr>
            </w:pPr>
            <w:r>
              <w:rPr>
                <w:rFonts w:ascii="Arial" w:cs="Arial" w:eastAsia="Arial" w:hAnsi="Arial"/>
                <w:sz w:val="14"/>
                <w:szCs w:val="14"/>
                <w:b w:val="1"/>
                <w:bCs w:val="1"/>
                <w:color w:val="auto"/>
              </w:rPr>
              <w:t>2022</w:t>
            </w:r>
          </w:p>
        </w:tc>
        <w:tc>
          <w:tcPr>
            <w:tcW w:w="380" w:type="dxa"/>
            <w:vAlign w:val="bottom"/>
          </w:tcPr>
          <w:p>
            <w:pPr>
              <w:spacing w:after="0"/>
              <w:rPr>
                <w:sz w:val="11"/>
                <w:szCs w:val="11"/>
                <w:color w:val="auto"/>
              </w:rPr>
            </w:pPr>
          </w:p>
        </w:tc>
        <w:tc>
          <w:tcPr>
            <w:tcW w:w="1360" w:type="dxa"/>
            <w:vAlign w:val="bottom"/>
            <w:gridSpan w:val="2"/>
            <w:vMerge w:val="restart"/>
          </w:tcPr>
          <w:p>
            <w:pPr>
              <w:jc w:val="right"/>
              <w:ind w:right="159"/>
              <w:spacing w:after="0"/>
              <w:rPr>
                <w:sz w:val="20"/>
                <w:szCs w:val="20"/>
                <w:color w:val="auto"/>
              </w:rPr>
            </w:pPr>
            <w:r>
              <w:rPr>
                <w:rFonts w:ascii="Arial" w:cs="Arial" w:eastAsia="Arial" w:hAnsi="Arial"/>
                <w:sz w:val="14"/>
                <w:szCs w:val="14"/>
                <w:b w:val="1"/>
                <w:bCs w:val="1"/>
                <w:color w:val="auto"/>
              </w:rPr>
              <w:t>2021</w:t>
            </w: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00" w:type="dxa"/>
            <w:vAlign w:val="bottom"/>
            <w:vMerge w:val="restart"/>
          </w:tcPr>
          <w:p>
            <w:pPr>
              <w:jc w:val="right"/>
              <w:ind w:right="461"/>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60" w:type="dxa"/>
            <w:vAlign w:val="bottom"/>
            <w:vMerge w:val="restart"/>
          </w:tcPr>
          <w:p>
            <w:pPr>
              <w:jc w:val="right"/>
              <w:ind w:right="480"/>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3700" w:type="dxa"/>
            <w:vAlign w:val="bottom"/>
            <w:gridSpan w:val="2"/>
          </w:tcPr>
          <w:p>
            <w:pPr>
              <w:spacing w:after="0"/>
              <w:rPr>
                <w:sz w:val="20"/>
                <w:szCs w:val="20"/>
                <w:color w:val="auto"/>
              </w:rPr>
            </w:pPr>
            <w:r>
              <w:rPr>
                <w:rFonts w:ascii="Arial" w:cs="Arial" w:eastAsia="Arial" w:hAnsi="Arial"/>
                <w:sz w:val="14"/>
                <w:szCs w:val="14"/>
                <w:b w:val="1"/>
                <w:bCs w:val="1"/>
                <w:color w:val="auto"/>
              </w:rPr>
              <w:t>(Loss) Income Classification</w:t>
            </w:r>
          </w:p>
        </w:tc>
        <w:tc>
          <w:tcPr>
            <w:tcW w:w="1000" w:type="dxa"/>
            <w:vAlign w:val="bottom"/>
            <w:vMerge w:val="continue"/>
          </w:tcPr>
          <w:p>
            <w:pPr>
              <w:spacing w:after="0"/>
              <w:rPr>
                <w:sz w:val="16"/>
                <w:szCs w:val="16"/>
                <w:color w:val="auto"/>
              </w:rPr>
            </w:pPr>
          </w:p>
        </w:tc>
        <w:tc>
          <w:tcPr>
            <w:tcW w:w="380" w:type="dxa"/>
            <w:vAlign w:val="bottom"/>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5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6"/>
                <w:szCs w:val="16"/>
                <w:color w:val="auto"/>
              </w:rPr>
              <w:t>Cost of software-enabled services</w:t>
            </w:r>
          </w:p>
        </w:tc>
        <w:tc>
          <w:tcPr>
            <w:tcW w:w="160" w:type="dxa"/>
            <w:vAlign w:val="bottom"/>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jc w:val="right"/>
              <w:ind w:right="846"/>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2.3</w:t>
            </w:r>
          </w:p>
        </w:tc>
        <w:tc>
          <w:tcPr>
            <w:tcW w:w="240" w:type="dxa"/>
            <w:vAlign w:val="bottom"/>
            <w:shd w:val="clear" w:color="auto" w:fill="CFF0FC"/>
          </w:tcPr>
          <w:p>
            <w:pPr>
              <w:spacing w:after="0"/>
              <w:rPr>
                <w:sz w:val="17"/>
                <w:szCs w:val="17"/>
                <w:color w:val="auto"/>
              </w:rPr>
            </w:pPr>
          </w:p>
        </w:tc>
        <w:tc>
          <w:tcPr>
            <w:tcW w:w="1120" w:type="dxa"/>
            <w:vAlign w:val="bottom"/>
            <w:tcBorders>
              <w:top w:val="single" w:sz="8" w:color="auto"/>
            </w:tcBorders>
            <w:shd w:val="clear" w:color="auto" w:fill="CFF0FC"/>
          </w:tcPr>
          <w:p>
            <w:pPr>
              <w:jc w:val="right"/>
              <w:ind w:right="939"/>
              <w:spacing w:after="0"/>
              <w:rPr>
                <w:sz w:val="20"/>
                <w:szCs w:val="20"/>
                <w:color w:val="auto"/>
              </w:rPr>
            </w:pPr>
            <w:r>
              <w:rPr>
                <w:rFonts w:ascii="Arial" w:cs="Arial" w:eastAsia="Arial" w:hAnsi="Arial"/>
                <w:sz w:val="16"/>
                <w:szCs w:val="16"/>
                <w:color w:val="auto"/>
                <w:w w:val="89"/>
              </w:rPr>
              <w:t>$</w:t>
            </w:r>
          </w:p>
        </w:tc>
        <w:tc>
          <w:tcPr>
            <w:tcW w:w="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10.4</w:t>
            </w:r>
          </w:p>
        </w:tc>
        <w:tc>
          <w:tcPr>
            <w:tcW w:w="220" w:type="dxa"/>
            <w:vAlign w:val="bottom"/>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34.6</w:t>
            </w:r>
          </w:p>
        </w:tc>
        <w:tc>
          <w:tcPr>
            <w:tcW w:w="220" w:type="dxa"/>
            <w:vAlign w:val="bottom"/>
            <w:shd w:val="clear" w:color="auto" w:fill="CFF0FC"/>
          </w:tcPr>
          <w:p>
            <w:pPr>
              <w:spacing w:after="0"/>
              <w:rPr>
                <w:sz w:val="17"/>
                <w:szCs w:val="17"/>
                <w:color w:val="auto"/>
              </w:rPr>
            </w:pPr>
          </w:p>
        </w:tc>
        <w:tc>
          <w:tcPr>
            <w:tcW w:w="340" w:type="dxa"/>
            <w:vAlign w:val="bottom"/>
            <w:tcBorders>
              <w:top w:val="single" w:sz="8" w:color="auto"/>
            </w:tcBorders>
            <w:shd w:val="clear" w:color="auto" w:fill="CFF0FC"/>
          </w:tcPr>
          <w:p>
            <w:pPr>
              <w:jc w:val="right"/>
              <w:ind w:right="15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31.1</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00" w:type="dxa"/>
            <w:vAlign w:val="bottom"/>
            <w:gridSpan w:val="2"/>
          </w:tcPr>
          <w:p>
            <w:pPr>
              <w:spacing w:after="0"/>
              <w:rPr>
                <w:sz w:val="20"/>
                <w:szCs w:val="20"/>
                <w:color w:val="auto"/>
              </w:rPr>
            </w:pPr>
            <w:r>
              <w:rPr>
                <w:rFonts w:ascii="Arial" w:cs="Arial" w:eastAsia="Arial" w:hAnsi="Arial"/>
                <w:sz w:val="16"/>
                <w:szCs w:val="16"/>
                <w:color w:val="auto"/>
              </w:rPr>
              <w:t>Cost of license, maintenance and other related</w:t>
            </w:r>
          </w:p>
        </w:tc>
        <w:tc>
          <w:tcPr>
            <w:tcW w:w="10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w:t>
            </w:r>
          </w:p>
        </w:tc>
        <w:tc>
          <w:tcPr>
            <w:tcW w:w="240" w:type="dxa"/>
            <w:vAlign w:val="bottom"/>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2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w:t>
            </w:r>
          </w:p>
        </w:tc>
        <w:tc>
          <w:tcPr>
            <w:tcW w:w="2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700" w:type="dxa"/>
            <w:vAlign w:val="bottom"/>
            <w:tcBorders>
              <w:bottom w:val="single" w:sz="8" w:color="CFF0FC"/>
            </w:tcBorders>
            <w:gridSpan w:val="2"/>
            <w:shd w:val="clear" w:color="auto" w:fill="CFF0FC"/>
          </w:tcPr>
          <w:p>
            <w:pPr>
              <w:ind w:left="280"/>
              <w:spacing w:after="0"/>
              <w:rPr>
                <w:sz w:val="20"/>
                <w:szCs w:val="20"/>
                <w:color w:val="auto"/>
              </w:rPr>
            </w:pPr>
            <w:r>
              <w:rPr>
                <w:rFonts w:ascii="Arial" w:cs="Arial" w:eastAsia="Arial" w:hAnsi="Arial"/>
                <w:sz w:val="16"/>
                <w:szCs w:val="16"/>
                <w:color w:val="auto"/>
              </w:rPr>
              <w:t>Total cost of revenues</w:t>
            </w:r>
          </w:p>
        </w:tc>
        <w:tc>
          <w:tcPr>
            <w:tcW w:w="1000" w:type="dxa"/>
            <w:vAlign w:val="bottom"/>
            <w:tcBorders>
              <w:bottom w:val="single" w:sz="8" w:color="auto"/>
            </w:tcBorders>
            <w:shd w:val="clear" w:color="auto" w:fill="CFF0FC"/>
          </w:tcPr>
          <w:p>
            <w:pPr>
              <w:spacing w:after="0"/>
              <w:rPr>
                <w:sz w:val="17"/>
                <w:szCs w:val="17"/>
                <w:color w:val="auto"/>
              </w:rPr>
            </w:pPr>
          </w:p>
        </w:tc>
        <w:tc>
          <w:tcPr>
            <w:tcW w:w="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3.6</w:t>
            </w:r>
          </w:p>
        </w:tc>
        <w:tc>
          <w:tcPr>
            <w:tcW w:w="240" w:type="dxa"/>
            <w:vAlign w:val="bottom"/>
            <w:tcBorders>
              <w:bottom w:val="single" w:sz="8" w:color="CFF0FC"/>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11.9</w:t>
            </w:r>
          </w:p>
        </w:tc>
        <w:tc>
          <w:tcPr>
            <w:tcW w:w="22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38.6</w:t>
            </w:r>
          </w:p>
        </w:tc>
        <w:tc>
          <w:tcPr>
            <w:tcW w:w="22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35.7</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700" w:type="dxa"/>
            <w:vAlign w:val="bottom"/>
            <w:gridSpan w:val="2"/>
          </w:tcPr>
          <w:p>
            <w:pPr>
              <w:spacing w:after="0"/>
              <w:rPr>
                <w:sz w:val="20"/>
                <w:szCs w:val="20"/>
                <w:color w:val="auto"/>
              </w:rPr>
            </w:pPr>
            <w:r>
              <w:rPr>
                <w:rFonts w:ascii="Arial" w:cs="Arial" w:eastAsia="Arial" w:hAnsi="Arial"/>
                <w:sz w:val="16"/>
                <w:szCs w:val="16"/>
                <w:color w:val="auto"/>
              </w:rPr>
              <w:t>Selling and marketing</w:t>
            </w:r>
          </w:p>
        </w:tc>
        <w:tc>
          <w:tcPr>
            <w:tcW w:w="100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1.5</w:t>
            </w: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4.6</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17.2</w:t>
            </w: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14.3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0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Research and development</w:t>
            </w:r>
          </w:p>
        </w:tc>
        <w:tc>
          <w:tcPr>
            <w:tcW w:w="1000" w:type="dxa"/>
            <w:vAlign w:val="bottom"/>
            <w:shd w:val="clear" w:color="auto" w:fill="CFF0FC"/>
          </w:tcPr>
          <w:p>
            <w:pPr>
              <w:spacing w:after="0"/>
              <w:rPr>
                <w:sz w:val="17"/>
                <w:szCs w:val="17"/>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w:t>
            </w:r>
          </w:p>
        </w:tc>
        <w:tc>
          <w:tcPr>
            <w:tcW w:w="24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w:t>
            </w:r>
          </w:p>
        </w:tc>
        <w:tc>
          <w:tcPr>
            <w:tcW w:w="2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12.3</w:t>
            </w:r>
          </w:p>
        </w:tc>
        <w:tc>
          <w:tcPr>
            <w:tcW w:w="2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00" w:type="dxa"/>
            <w:vAlign w:val="bottom"/>
            <w:gridSpan w:val="2"/>
          </w:tcPr>
          <w:p>
            <w:pPr>
              <w:spacing w:after="0"/>
              <w:rPr>
                <w:sz w:val="20"/>
                <w:szCs w:val="20"/>
                <w:color w:val="auto"/>
              </w:rPr>
            </w:pPr>
            <w:r>
              <w:rPr>
                <w:rFonts w:ascii="Arial" w:cs="Arial" w:eastAsia="Arial" w:hAnsi="Arial"/>
                <w:sz w:val="16"/>
                <w:szCs w:val="16"/>
                <w:color w:val="auto"/>
              </w:rPr>
              <w:t>General and administrative</w:t>
            </w:r>
          </w:p>
        </w:tc>
        <w:tc>
          <w:tcPr>
            <w:tcW w:w="10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w:t>
            </w:r>
          </w:p>
        </w:tc>
        <w:tc>
          <w:tcPr>
            <w:tcW w:w="240" w:type="dxa"/>
            <w:vAlign w:val="bottom"/>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w:t>
            </w:r>
          </w:p>
        </w:tc>
        <w:tc>
          <w:tcPr>
            <w:tcW w:w="2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25.2</w:t>
            </w:r>
          </w:p>
        </w:tc>
        <w:tc>
          <w:tcPr>
            <w:tcW w:w="2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700" w:type="dxa"/>
            <w:vAlign w:val="bottom"/>
            <w:tcBorders>
              <w:bottom w:val="single" w:sz="8" w:color="CFF0FC"/>
            </w:tcBorders>
            <w:gridSpan w:val="2"/>
            <w:shd w:val="clear" w:color="auto" w:fill="CFF0FC"/>
          </w:tcPr>
          <w:p>
            <w:pPr>
              <w:ind w:left="280"/>
              <w:spacing w:after="0"/>
              <w:rPr>
                <w:sz w:val="20"/>
                <w:szCs w:val="20"/>
                <w:color w:val="auto"/>
              </w:rPr>
            </w:pPr>
            <w:r>
              <w:rPr>
                <w:rFonts w:ascii="Arial" w:cs="Arial" w:eastAsia="Arial" w:hAnsi="Arial"/>
                <w:sz w:val="16"/>
                <w:szCs w:val="16"/>
                <w:color w:val="auto"/>
              </w:rPr>
              <w:t>Total operating expenses</w:t>
            </w:r>
          </w:p>
        </w:tc>
        <w:tc>
          <w:tcPr>
            <w:tcW w:w="1000" w:type="dxa"/>
            <w:vAlign w:val="bottom"/>
            <w:tcBorders>
              <w:bottom w:val="single" w:sz="8" w:color="auto"/>
            </w:tcBorders>
            <w:shd w:val="clear" w:color="auto" w:fill="CFF0FC"/>
          </w:tcPr>
          <w:p>
            <w:pPr>
              <w:spacing w:after="0"/>
              <w:rPr>
                <w:sz w:val="17"/>
                <w:szCs w:val="17"/>
                <w:color w:val="auto"/>
              </w:rPr>
            </w:pPr>
          </w:p>
        </w:tc>
        <w:tc>
          <w:tcPr>
            <w:tcW w:w="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3.8</w:t>
            </w:r>
          </w:p>
        </w:tc>
        <w:tc>
          <w:tcPr>
            <w:tcW w:w="240" w:type="dxa"/>
            <w:vAlign w:val="bottom"/>
            <w:tcBorders>
              <w:bottom w:val="single" w:sz="8" w:color="CFF0FC"/>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15.3</w:t>
            </w:r>
          </w:p>
        </w:tc>
        <w:tc>
          <w:tcPr>
            <w:tcW w:w="22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54.7</w:t>
            </w:r>
          </w:p>
        </w:tc>
        <w:tc>
          <w:tcPr>
            <w:tcW w:w="22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47.0</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700" w:type="dxa"/>
            <w:vAlign w:val="bottom"/>
            <w:gridSpan w:val="2"/>
          </w:tcPr>
          <w:p>
            <w:pPr>
              <w:spacing w:after="0"/>
              <w:rPr>
                <w:sz w:val="20"/>
                <w:szCs w:val="20"/>
                <w:color w:val="auto"/>
              </w:rPr>
            </w:pPr>
            <w:r>
              <w:rPr>
                <w:rFonts w:ascii="Arial" w:cs="Arial" w:eastAsia="Arial" w:hAnsi="Arial"/>
                <w:sz w:val="16"/>
                <w:szCs w:val="16"/>
                <w:color w:val="auto"/>
              </w:rPr>
              <w:t>Total stock-based compensation expense</w:t>
            </w:r>
          </w:p>
        </w:tc>
        <w:tc>
          <w:tcPr>
            <w:tcW w:w="1000" w:type="dxa"/>
            <w:vAlign w:val="bottom"/>
          </w:tcPr>
          <w:p>
            <w:pPr>
              <w:jc w:val="right"/>
              <w:ind w:right="846"/>
              <w:spacing w:after="0"/>
              <w:rPr>
                <w:sz w:val="20"/>
                <w:szCs w:val="20"/>
                <w:color w:val="auto"/>
              </w:rPr>
            </w:pPr>
            <w:r>
              <w:rPr>
                <w:rFonts w:ascii="Arial" w:cs="Arial" w:eastAsia="Arial" w:hAnsi="Arial"/>
                <w:sz w:val="15"/>
                <w:szCs w:val="15"/>
                <w:color w:val="auto"/>
                <w:w w:val="71"/>
              </w:rPr>
              <w:t>$</w:t>
            </w:r>
          </w:p>
        </w:tc>
        <w:tc>
          <w:tcPr>
            <w:tcW w:w="380" w:type="dxa"/>
            <w:vAlign w:val="bottom"/>
          </w:tcPr>
          <w:p>
            <w:pPr>
              <w:jc w:val="right"/>
              <w:spacing w:after="0"/>
              <w:rPr>
                <w:sz w:val="20"/>
                <w:szCs w:val="20"/>
                <w:color w:val="auto"/>
              </w:rPr>
            </w:pPr>
            <w:r>
              <w:rPr>
                <w:rFonts w:ascii="Arial" w:cs="Arial" w:eastAsia="Arial" w:hAnsi="Arial"/>
                <w:sz w:val="16"/>
                <w:szCs w:val="16"/>
                <w:color w:val="auto"/>
              </w:rPr>
              <w:t>7.4</w:t>
            </w:r>
          </w:p>
        </w:tc>
        <w:tc>
          <w:tcPr>
            <w:tcW w:w="1360" w:type="dxa"/>
            <w:vAlign w:val="bottom"/>
            <w:gridSpan w:val="2"/>
          </w:tcPr>
          <w:p>
            <w:pPr>
              <w:jc w:val="right"/>
              <w:ind w:right="939"/>
              <w:spacing w:after="0"/>
              <w:rPr>
                <w:sz w:val="20"/>
                <w:szCs w:val="20"/>
                <w:color w:val="auto"/>
              </w:rPr>
            </w:pPr>
            <w:r>
              <w:rPr>
                <w:rFonts w:ascii="Arial" w:cs="Arial" w:eastAsia="Arial" w:hAnsi="Arial"/>
                <w:sz w:val="16"/>
                <w:szCs w:val="16"/>
                <w:color w:val="auto"/>
              </w:rPr>
              <w:t>$</w:t>
            </w:r>
          </w:p>
        </w:tc>
        <w:tc>
          <w:tcPr>
            <w:tcW w:w="360" w:type="dxa"/>
            <w:vAlign w:val="bottom"/>
          </w:tcPr>
          <w:p>
            <w:pPr>
              <w:jc w:val="right"/>
              <w:spacing w:after="0"/>
              <w:rPr>
                <w:sz w:val="20"/>
                <w:szCs w:val="20"/>
                <w:color w:val="auto"/>
              </w:rPr>
            </w:pPr>
            <w:r>
              <w:rPr>
                <w:rFonts w:ascii="Arial" w:cs="Arial" w:eastAsia="Arial" w:hAnsi="Arial"/>
                <w:sz w:val="16"/>
                <w:szCs w:val="16"/>
                <w:color w:val="auto"/>
              </w:rPr>
              <w:t>27.2</w:t>
            </w:r>
          </w:p>
        </w:tc>
        <w:tc>
          <w:tcPr>
            <w:tcW w:w="480" w:type="dxa"/>
            <w:vAlign w:val="bottom"/>
            <w:gridSpan w:val="2"/>
          </w:tcPr>
          <w:p>
            <w:pPr>
              <w:jc w:val="right"/>
              <w:ind w:right="7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93.3</w:t>
            </w:r>
          </w:p>
        </w:tc>
        <w:tc>
          <w:tcPr>
            <w:tcW w:w="560" w:type="dxa"/>
            <w:vAlign w:val="bottom"/>
            <w:gridSpan w:val="2"/>
          </w:tcPr>
          <w:p>
            <w:pPr>
              <w:jc w:val="right"/>
              <w:ind w:right="159"/>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82.7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-694055</wp:posOffset>
            </wp:positionV>
            <wp:extent cx="68580" cy="13716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-694055</wp:posOffset>
            </wp:positionV>
            <wp:extent cx="60325" cy="13716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0325" cy="137160"/>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-694055</wp:posOffset>
            </wp:positionV>
            <wp:extent cx="59690" cy="13716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59690" cy="13716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-694055</wp:posOffset>
            </wp:positionV>
            <wp:extent cx="60325" cy="13716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0325" cy="137160"/>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-162560</wp:posOffset>
            </wp:positionV>
            <wp:extent cx="68580" cy="16319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-162560</wp:posOffset>
            </wp:positionV>
            <wp:extent cx="60325" cy="16319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0325" cy="16319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-162560</wp:posOffset>
            </wp:positionV>
            <wp:extent cx="59690" cy="16319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59690" cy="16319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-162560</wp:posOffset>
            </wp:positionV>
            <wp:extent cx="60325" cy="16319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0325" cy="163195"/>
                    </a:xfrm>
                    <a:prstGeom prst="rect">
                      <a:avLst/>
                    </a:prstGeom>
                    <a:noFill/>
                  </pic:spPr>
                </pic:pic>
              </a:graphicData>
            </a:graphic>
          </wp:anchor>
        </w:drawing>
      </w:r>
    </w:p>
    <w:p>
      <w:pPr>
        <w:spacing w:after="0" w:line="317" w:lineRule="exact"/>
        <w:rPr>
          <w:sz w:val="20"/>
          <w:szCs w:val="20"/>
          <w:color w:val="auto"/>
        </w:rPr>
      </w:pPr>
    </w:p>
    <w:p>
      <w:pPr>
        <w:jc w:val="both"/>
        <w:ind w:right="200" w:firstLine="659"/>
        <w:spacing w:after="0" w:line="256" w:lineRule="auto"/>
        <w:rPr>
          <w:sz w:val="20"/>
          <w:szCs w:val="20"/>
          <w:color w:val="auto"/>
        </w:rPr>
      </w:pPr>
      <w:r>
        <w:rPr>
          <w:rFonts w:ascii="Arial" w:cs="Arial" w:eastAsia="Arial" w:hAnsi="Arial"/>
          <w:sz w:val="18"/>
          <w:szCs w:val="18"/>
          <w:color w:val="auto"/>
        </w:rPr>
        <w:t>The stock-based compensation expense related to performance awards is adjusted for changes in our assessment of the performance target level that is probable of being achieved and the number of performance-based equity awards expected to vest. During the three months ended September 30, 2022, we recorded a true-up to reduce previously recorded stock-based compensation</w:t>
      </w:r>
    </w:p>
    <w:p>
      <w:pPr>
        <w:spacing w:after="0" w:line="17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17" w:right="379" w:bottom="1440" w:gutter="0" w:footer="0" w:header="0"/>
        </w:sectPr>
      </w:pPr>
    </w:p>
    <w:bookmarkStart w:id="16" w:name="page17"/>
    <w:bookmarkEnd w:id="16"/>
    <w:p>
      <w:pPr>
        <w:ind w:right="100"/>
        <w:spacing w:after="0" w:line="277" w:lineRule="auto"/>
        <w:rPr>
          <w:sz w:val="20"/>
          <w:szCs w:val="20"/>
          <w:color w:val="auto"/>
        </w:rPr>
      </w:pPr>
      <w:r>
        <w:rPr>
          <w:rFonts w:ascii="Arial" w:cs="Arial" w:eastAsia="Arial" w:hAnsi="Arial"/>
          <w:sz w:val="18"/>
          <w:szCs w:val="18"/>
          <w:color w:val="auto"/>
        </w:rPr>
        <w:t>expense relating to performance-based equity awards by $25.7 million as the number of performance-based options and performance-based units expected to vest has decreased.</w:t>
      </w:r>
    </w:p>
    <w:p>
      <w:pPr>
        <w:spacing w:after="0" w:line="49" w:lineRule="exact"/>
        <w:rPr>
          <w:sz w:val="20"/>
          <w:szCs w:val="20"/>
          <w:color w:val="auto"/>
        </w:rPr>
      </w:pPr>
    </w:p>
    <w:p>
      <w:pPr>
        <w:ind w:right="380" w:firstLine="569"/>
        <w:spacing w:after="0" w:line="261" w:lineRule="auto"/>
        <w:rPr>
          <w:sz w:val="20"/>
          <w:szCs w:val="20"/>
          <w:color w:val="auto"/>
        </w:rPr>
      </w:pPr>
      <w:r>
        <w:rPr>
          <w:rFonts w:ascii="Arial" w:cs="Arial" w:eastAsia="Arial" w:hAnsi="Arial"/>
          <w:sz w:val="18"/>
          <w:szCs w:val="18"/>
          <w:color w:val="auto"/>
        </w:rPr>
        <w:t>The following table summarizes stock option and stock appreciation rights (“SARs”) activity, as well as performance stock units (“PSUs”) and restricted stock units (“RSUs”) activity, for the nine months ended September 30, 2022 (shares in millions):</w:t>
      </w:r>
    </w:p>
    <w:p>
      <w:pPr>
        <w:spacing w:after="0" w:line="69"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4360" w:type="dxa"/>
            <w:vAlign w:val="bottom"/>
          </w:tcPr>
          <w:p>
            <w:pPr>
              <w:spacing w:after="0"/>
              <w:rPr>
                <w:sz w:val="14"/>
                <w:szCs w:val="14"/>
                <w:color w:val="auto"/>
              </w:rPr>
            </w:pPr>
          </w:p>
        </w:tc>
        <w:tc>
          <w:tcPr>
            <w:tcW w:w="17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Stock Options and</w:t>
            </w:r>
          </w:p>
        </w:tc>
        <w:tc>
          <w:tcPr>
            <w:tcW w:w="174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PSUs and RSUs</w:t>
            </w:r>
          </w:p>
        </w:tc>
        <w:tc>
          <w:tcPr>
            <w:tcW w:w="0" w:type="dxa"/>
            <w:vAlign w:val="bottom"/>
          </w:tcPr>
          <w:p>
            <w:pPr>
              <w:spacing w:after="0"/>
              <w:rPr>
                <w:sz w:val="1"/>
                <w:szCs w:val="1"/>
                <w:color w:val="auto"/>
              </w:rPr>
            </w:pPr>
          </w:p>
        </w:tc>
      </w:tr>
      <w:tr>
        <w:trPr>
          <w:trHeight w:val="185"/>
        </w:trPr>
        <w:tc>
          <w:tcPr>
            <w:tcW w:w="4360" w:type="dxa"/>
            <w:vAlign w:val="bottom"/>
          </w:tcPr>
          <w:p>
            <w:pPr>
              <w:spacing w:after="0"/>
              <w:rPr>
                <w:sz w:val="16"/>
                <w:szCs w:val="16"/>
                <w:color w:val="auto"/>
              </w:rPr>
            </w:pPr>
          </w:p>
        </w:tc>
        <w:tc>
          <w:tcPr>
            <w:tcW w:w="176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rPr>
              <w:t>SARs</w:t>
            </w:r>
          </w:p>
        </w:tc>
        <w:tc>
          <w:tcPr>
            <w:tcW w:w="17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360" w:type="dxa"/>
            <w:vAlign w:val="bottom"/>
          </w:tcPr>
          <w:p>
            <w:pPr>
              <w:spacing w:after="0"/>
              <w:rPr>
                <w:sz w:val="20"/>
                <w:szCs w:val="20"/>
                <w:color w:val="auto"/>
              </w:rPr>
            </w:pPr>
            <w:r>
              <w:rPr>
                <w:rFonts w:ascii="Arial" w:cs="Arial" w:eastAsia="Arial" w:hAnsi="Arial"/>
                <w:sz w:val="18"/>
                <w:szCs w:val="18"/>
                <w:color w:val="auto"/>
              </w:rPr>
              <w:t>Outstanding at December 31, 2021</w:t>
            </w: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44.9</w:t>
            </w:r>
          </w:p>
        </w:tc>
        <w:tc>
          <w:tcPr>
            <w:tcW w:w="280" w:type="dxa"/>
            <w:vAlign w:val="bottom"/>
          </w:tcPr>
          <w:p>
            <w:pPr>
              <w:spacing w:after="0"/>
              <w:rPr>
                <w:sz w:val="19"/>
                <w:szCs w:val="19"/>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shd w:val="clear" w:color="auto" w:fill="CFF0FC"/>
          </w:tcPr>
          <w:p>
            <w:pPr>
              <w:ind w:left="100"/>
              <w:spacing w:after="0"/>
              <w:rPr>
                <w:sz w:val="20"/>
                <w:szCs w:val="20"/>
                <w:color w:val="auto"/>
              </w:rPr>
            </w:pPr>
            <w:r>
              <w:rPr>
                <w:rFonts w:ascii="Arial" w:cs="Arial" w:eastAsia="Arial" w:hAnsi="Arial"/>
                <w:sz w:val="18"/>
                <w:szCs w:val="18"/>
                <w:color w:val="auto"/>
              </w:rPr>
              <w:t>Granted</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28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3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60" w:type="dxa"/>
            <w:vAlign w:val="bottom"/>
          </w:tcPr>
          <w:p>
            <w:pPr>
              <w:ind w:left="100"/>
              <w:spacing w:after="0"/>
              <w:rPr>
                <w:sz w:val="20"/>
                <w:szCs w:val="20"/>
                <w:color w:val="auto"/>
              </w:rPr>
            </w:pPr>
            <w:r>
              <w:rPr>
                <w:rFonts w:ascii="Arial" w:cs="Arial" w:eastAsia="Arial" w:hAnsi="Arial"/>
                <w:sz w:val="18"/>
                <w:szCs w:val="18"/>
                <w:color w:val="auto"/>
              </w:rPr>
              <w:t>Cancelled/forfeited</w:t>
            </w:r>
          </w:p>
        </w:tc>
        <w:tc>
          <w:tcPr>
            <w:tcW w:w="1760" w:type="dxa"/>
            <w:vAlign w:val="bottom"/>
            <w:gridSpan w:val="2"/>
          </w:tcPr>
          <w:p>
            <w:pPr>
              <w:jc w:val="right"/>
              <w:ind w:right="200"/>
              <w:spacing w:after="0"/>
              <w:rPr>
                <w:sz w:val="20"/>
                <w:szCs w:val="20"/>
                <w:color w:val="auto"/>
              </w:rPr>
            </w:pPr>
            <w:r>
              <w:rPr>
                <w:rFonts w:ascii="Arial" w:cs="Arial" w:eastAsia="Arial" w:hAnsi="Arial"/>
                <w:sz w:val="18"/>
                <w:szCs w:val="18"/>
                <w:color w:val="auto"/>
              </w:rPr>
              <w:t>(1.5 )</w:t>
            </w:r>
          </w:p>
        </w:tc>
        <w:tc>
          <w:tcPr>
            <w:tcW w:w="1740" w:type="dxa"/>
            <w:vAlign w:val="bottom"/>
            <w:gridSpan w:val="2"/>
          </w:tcPr>
          <w:p>
            <w:pPr>
              <w:jc w:val="right"/>
              <w:ind w:right="220"/>
              <w:spacing w:after="0"/>
              <w:rPr>
                <w:sz w:val="20"/>
                <w:szCs w:val="20"/>
                <w:color w:val="auto"/>
              </w:rPr>
            </w:pPr>
            <w:r>
              <w:rPr>
                <w:rFonts w:ascii="Arial" w:cs="Arial" w:eastAsia="Arial" w:hAnsi="Arial"/>
                <w:sz w:val="18"/>
                <w:szCs w:val="18"/>
                <w:color w:val="auto"/>
              </w:rPr>
              <w:t>(0.1 )</w:t>
            </w:r>
          </w:p>
        </w:tc>
        <w:tc>
          <w:tcPr>
            <w:tcW w:w="0" w:type="dxa"/>
            <w:vAlign w:val="bottom"/>
          </w:tcPr>
          <w:p>
            <w:pPr>
              <w:spacing w:after="0"/>
              <w:rPr>
                <w:sz w:val="1"/>
                <w:szCs w:val="1"/>
                <w:color w:val="auto"/>
              </w:rPr>
            </w:pPr>
          </w:p>
        </w:tc>
      </w:tr>
      <w:tr>
        <w:trPr>
          <w:trHeight w:val="216"/>
        </w:trPr>
        <w:tc>
          <w:tcPr>
            <w:tcW w:w="4360" w:type="dxa"/>
            <w:vAlign w:val="bottom"/>
            <w:shd w:val="clear" w:color="auto" w:fill="CFF0FC"/>
          </w:tcPr>
          <w:p>
            <w:pPr>
              <w:ind w:left="100"/>
              <w:spacing w:after="0"/>
              <w:rPr>
                <w:sz w:val="20"/>
                <w:szCs w:val="20"/>
                <w:color w:val="auto"/>
              </w:rPr>
            </w:pPr>
            <w:r>
              <w:rPr>
                <w:rFonts w:ascii="Arial" w:cs="Arial" w:eastAsia="Arial" w:hAnsi="Arial"/>
                <w:sz w:val="18"/>
                <w:szCs w:val="18"/>
                <w:color w:val="auto"/>
              </w:rPr>
              <w:t>Exercised</w:t>
            </w:r>
          </w:p>
        </w:tc>
        <w:tc>
          <w:tcPr>
            <w:tcW w:w="17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(1.9 )</w:t>
            </w:r>
          </w:p>
        </w:tc>
        <w:tc>
          <w:tcPr>
            <w:tcW w:w="17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360" w:type="dxa"/>
            <w:vAlign w:val="bottom"/>
            <w:tcBorders>
              <w:top w:val="single" w:sz="8" w:color="CFF0FC"/>
            </w:tcBorders>
          </w:tcPr>
          <w:p>
            <w:pPr>
              <w:spacing w:after="0"/>
              <w:rPr>
                <w:sz w:val="20"/>
                <w:szCs w:val="20"/>
                <w:color w:val="auto"/>
              </w:rPr>
            </w:pPr>
            <w:r>
              <w:rPr>
                <w:rFonts w:ascii="Arial" w:cs="Arial" w:eastAsia="Arial" w:hAnsi="Arial"/>
                <w:sz w:val="18"/>
                <w:szCs w:val="18"/>
                <w:color w:val="auto"/>
              </w:rPr>
              <w:t>Outstanding at September 30, 2022</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41.6</w:t>
            </w:r>
          </w:p>
        </w:tc>
        <w:tc>
          <w:tcPr>
            <w:tcW w:w="280" w:type="dxa"/>
            <w:vAlign w:val="bottom"/>
            <w:tcBorders>
              <w:top w:val="single" w:sz="8" w:color="CFF0FC"/>
            </w:tcBorders>
          </w:tcPr>
          <w:p>
            <w:pPr>
              <w:spacing w:after="0"/>
              <w:rPr>
                <w:sz w:val="18"/>
                <w:szCs w:val="18"/>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3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4788535</wp:posOffset>
            </wp:positionH>
            <wp:positionV relativeFrom="paragraph">
              <wp:posOffset>-170815</wp:posOffset>
            </wp:positionV>
            <wp:extent cx="51435" cy="17145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51435" cy="17145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-170815</wp:posOffset>
            </wp:positionV>
            <wp:extent cx="43180" cy="17145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43180" cy="171450"/>
                    </a:xfrm>
                    <a:prstGeom prst="rect">
                      <a:avLst/>
                    </a:prstGeom>
                    <a:noFill/>
                  </pic:spPr>
                </pic:pic>
              </a:graphicData>
            </a:graphic>
          </wp:anchor>
        </w:drawing>
      </w: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12—Income Taxes</w:t>
      </w:r>
    </w:p>
    <w:p>
      <w:pPr>
        <w:spacing w:after="0" w:line="121" w:lineRule="exact"/>
        <w:rPr>
          <w:sz w:val="20"/>
          <w:szCs w:val="20"/>
          <w:color w:val="auto"/>
        </w:rPr>
      </w:pPr>
    </w:p>
    <w:p>
      <w:pPr>
        <w:ind w:right="100" w:firstLine="509"/>
        <w:spacing w:after="0" w:line="243" w:lineRule="auto"/>
        <w:rPr>
          <w:sz w:val="20"/>
          <w:szCs w:val="20"/>
          <w:color w:val="auto"/>
        </w:rPr>
      </w:pPr>
      <w:r>
        <w:rPr>
          <w:rFonts w:ascii="Arial" w:cs="Arial" w:eastAsia="Arial" w:hAnsi="Arial"/>
          <w:sz w:val="18"/>
          <w:szCs w:val="18"/>
          <w:color w:val="auto"/>
        </w:rPr>
        <w:t>The effective tax rate was 25.0% and 24.7% for the three months ended September 30, 2022 and 2021, respectively, and 26.9% and 26.5% for the nine months ended September 30, 2022 and 2021, respectively. The change in the effective tax rate for the three and nine months ended September 30, 2022 compared to the respective prior year periods was primarily due to a decrease in recognition of windfall tax benefits from stock awards in the current year, an increase in valuation allowances on deferred tax assets in the current year and a proportionate change in the composition of income before income taxes from foreign and domestic tax jurisdictions. In addition, the effective tax rate for the nine months ended September 30, 2021 included tax expense related to a law change in the United Kingdom.</w:t>
      </w:r>
    </w:p>
    <w:p>
      <w:pPr>
        <w:spacing w:after="0" w:line="79" w:lineRule="exact"/>
        <w:rPr>
          <w:sz w:val="20"/>
          <w:szCs w:val="20"/>
          <w:color w:val="auto"/>
        </w:rPr>
      </w:pPr>
    </w:p>
    <w:p>
      <w:pPr>
        <w:ind w:right="20" w:firstLine="509"/>
        <w:spacing w:after="0" w:line="256" w:lineRule="auto"/>
        <w:rPr>
          <w:sz w:val="20"/>
          <w:szCs w:val="20"/>
          <w:color w:val="auto"/>
        </w:rPr>
      </w:pPr>
      <w:r>
        <w:rPr>
          <w:rFonts w:ascii="Arial" w:cs="Arial" w:eastAsia="Arial" w:hAnsi="Arial"/>
          <w:sz w:val="18"/>
          <w:szCs w:val="18"/>
          <w:color w:val="auto"/>
        </w:rPr>
        <w:t>During the nine months ended September 30, 2022, we recorded a net deferred tax liability of $117.6 million related primarily to acquired intangible assets in the allocation of the purchase price for the acquisitions of Blue Prism and Hubwise, which will not be deductible for tax purposes and is partially offset by net operating loss carryforwards.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13—Earnings per Share</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sets forth the computation of basic and diluted EPS (in millions, except per share amounts):</w:t>
      </w:r>
    </w:p>
    <w:p>
      <w:pPr>
        <w:spacing w:after="0" w:line="96"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520" w:type="dxa"/>
            <w:vAlign w:val="bottom"/>
          </w:tcPr>
          <w:p>
            <w:pPr>
              <w:spacing w:after="0"/>
              <w:rPr>
                <w:sz w:val="14"/>
                <w:szCs w:val="14"/>
                <w:color w:val="auto"/>
              </w:rPr>
            </w:pPr>
          </w:p>
        </w:tc>
        <w:tc>
          <w:tcPr>
            <w:tcW w:w="2100" w:type="dxa"/>
            <w:vAlign w:val="bottom"/>
            <w:gridSpan w:val="5"/>
          </w:tcPr>
          <w:p>
            <w:pPr>
              <w:ind w:left="40"/>
              <w:spacing w:after="0"/>
              <w:rPr>
                <w:sz w:val="20"/>
                <w:szCs w:val="20"/>
                <w:color w:val="auto"/>
              </w:rPr>
            </w:pPr>
            <w:r>
              <w:rPr>
                <w:rFonts w:ascii="Arial" w:cs="Arial" w:eastAsia="Arial" w:hAnsi="Arial"/>
                <w:sz w:val="14"/>
                <w:szCs w:val="14"/>
                <w:b w:val="1"/>
                <w:bCs w:val="1"/>
                <w:color w:val="auto"/>
                <w:w w:val="94"/>
              </w:rPr>
              <w:t>Three Months Ended September</w:t>
            </w:r>
          </w:p>
        </w:tc>
        <w:tc>
          <w:tcPr>
            <w:tcW w:w="220" w:type="dxa"/>
            <w:vAlign w:val="bottom"/>
          </w:tcPr>
          <w:p>
            <w:pPr>
              <w:spacing w:after="0"/>
              <w:rPr>
                <w:sz w:val="14"/>
                <w:szCs w:val="14"/>
                <w:color w:val="auto"/>
              </w:rPr>
            </w:pPr>
          </w:p>
        </w:tc>
        <w:tc>
          <w:tcPr>
            <w:tcW w:w="2160" w:type="dxa"/>
            <w:vAlign w:val="bottom"/>
            <w:gridSpan w:val="5"/>
          </w:tcPr>
          <w:p>
            <w:pPr>
              <w:jc w:val="right"/>
              <w:ind w:right="53"/>
              <w:spacing w:after="0"/>
              <w:rPr>
                <w:sz w:val="20"/>
                <w:szCs w:val="20"/>
                <w:color w:val="auto"/>
              </w:rPr>
            </w:pPr>
            <w:r>
              <w:rPr>
                <w:rFonts w:ascii="Arial" w:cs="Arial" w:eastAsia="Arial" w:hAnsi="Arial"/>
                <w:sz w:val="14"/>
                <w:szCs w:val="14"/>
                <w:b w:val="1"/>
                <w:bCs w:val="1"/>
                <w:color w:val="auto"/>
                <w:w w:val="96"/>
              </w:rPr>
              <w:t>Nine Months Ended September</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55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4"/>
                <w:szCs w:val="14"/>
                <w:b w:val="1"/>
                <w:bCs w:val="1"/>
                <w:color w:val="auto"/>
              </w:rPr>
              <w:t>30,</w:t>
            </w:r>
          </w:p>
        </w:tc>
        <w:tc>
          <w:tcPr>
            <w:tcW w:w="74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4"/>
                <w:szCs w:val="14"/>
                <w:b w:val="1"/>
                <w:bCs w:val="1"/>
                <w:color w:val="auto"/>
                <w:w w:val="81"/>
              </w:rPr>
              <w:t>30,</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5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2022</w:t>
            </w:r>
          </w:p>
        </w:tc>
        <w:tc>
          <w:tcPr>
            <w:tcW w:w="1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520" w:type="dxa"/>
            <w:vAlign w:val="bottom"/>
            <w:shd w:val="clear" w:color="auto" w:fill="CFF0FC"/>
          </w:tcPr>
          <w:p>
            <w:pPr>
              <w:spacing w:after="0"/>
              <w:rPr>
                <w:sz w:val="20"/>
                <w:szCs w:val="20"/>
                <w:color w:val="auto"/>
              </w:rPr>
            </w:pPr>
            <w:r>
              <w:rPr>
                <w:rFonts w:ascii="Arial" w:cs="Arial" w:eastAsia="Arial" w:hAnsi="Arial"/>
                <w:sz w:val="18"/>
                <w:szCs w:val="18"/>
                <w:color w:val="auto"/>
              </w:rPr>
              <w:t>Net income attributable to SS&amp;C common stockholders</w:t>
            </w:r>
          </w:p>
        </w:tc>
        <w:tc>
          <w:tcPr>
            <w:tcW w:w="220" w:type="dxa"/>
            <w:vAlign w:val="bottom"/>
            <w:shd w:val="clear" w:color="auto" w:fill="CFF0FC"/>
          </w:tcPr>
          <w:p>
            <w:pPr>
              <w:ind w:lef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160.0</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184.4</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442.7</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549.1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shd w:val="clear" w:color="auto" w:fill="CFF0FC"/>
          </w:tcPr>
          <w:p>
            <w:pPr>
              <w:spacing w:after="0"/>
              <w:rPr>
                <w:sz w:val="20"/>
                <w:szCs w:val="20"/>
                <w:color w:val="auto"/>
              </w:rPr>
            </w:pPr>
            <w:r>
              <w:rPr>
                <w:rFonts w:ascii="Arial" w:cs="Arial" w:eastAsia="Arial" w:hAnsi="Arial"/>
                <w:sz w:val="18"/>
                <w:szCs w:val="18"/>
                <w:color w:val="auto"/>
              </w:rPr>
              <w:t>Shares attributable to SS&amp;C:</w:t>
            </w:r>
          </w:p>
        </w:tc>
        <w:tc>
          <w:tcPr>
            <w:tcW w:w="2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5520" w:type="dxa"/>
            <w:vAlign w:val="bottom"/>
          </w:tcPr>
          <w:p>
            <w:pPr>
              <w:spacing w:after="0" w:line="175" w:lineRule="exact"/>
              <w:rPr>
                <w:sz w:val="20"/>
                <w:szCs w:val="20"/>
                <w:color w:val="auto"/>
              </w:rPr>
            </w:pPr>
            <w:r>
              <w:rPr>
                <w:rFonts w:ascii="Arial" w:cs="Arial" w:eastAsia="Arial" w:hAnsi="Arial"/>
                <w:sz w:val="18"/>
                <w:szCs w:val="18"/>
                <w:color w:val="auto"/>
                <w:w w:val="97"/>
              </w:rPr>
              <w:t>Weighted-average common shares outstanding – used in calculation of</w:t>
            </w: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520" w:type="dxa"/>
            <w:vAlign w:val="bottom"/>
          </w:tcPr>
          <w:p>
            <w:pPr>
              <w:spacing w:after="0"/>
              <w:rPr>
                <w:sz w:val="20"/>
                <w:szCs w:val="20"/>
                <w:color w:val="auto"/>
              </w:rPr>
            </w:pPr>
            <w:r>
              <w:rPr>
                <w:rFonts w:ascii="Arial" w:cs="Arial" w:eastAsia="Arial" w:hAnsi="Arial"/>
                <w:sz w:val="18"/>
                <w:szCs w:val="18"/>
                <w:color w:val="auto"/>
              </w:rPr>
              <w:t>basic EPS</w:t>
            </w:r>
          </w:p>
        </w:tc>
        <w:tc>
          <w:tcPr>
            <w:tcW w:w="2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253.9</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254.7</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254.8</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255.8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5520" w:type="dxa"/>
            <w:vAlign w:val="bottom"/>
            <w:shd w:val="clear" w:color="auto" w:fill="CFF0FC"/>
          </w:tcPr>
          <w:p>
            <w:pPr>
              <w:spacing w:after="0" w:line="175" w:lineRule="exact"/>
              <w:rPr>
                <w:sz w:val="20"/>
                <w:szCs w:val="20"/>
                <w:color w:val="auto"/>
              </w:rPr>
            </w:pPr>
            <w:r>
              <w:rPr>
                <w:rFonts w:ascii="Arial" w:cs="Arial" w:eastAsia="Arial" w:hAnsi="Arial"/>
                <w:sz w:val="18"/>
                <w:szCs w:val="18"/>
                <w:color w:val="auto"/>
              </w:rPr>
              <w:t>Weighted-average common stock equivalents – stock options and</w:t>
            </w:r>
          </w:p>
        </w:tc>
        <w:tc>
          <w:tcPr>
            <w:tcW w:w="220" w:type="dxa"/>
            <w:vAlign w:val="bottom"/>
            <w:shd w:val="clear" w:color="auto" w:fill="CFF0FC"/>
          </w:tcPr>
          <w:p>
            <w:pPr>
              <w:spacing w:after="0"/>
              <w:rPr>
                <w:sz w:val="15"/>
                <w:szCs w:val="15"/>
                <w:color w:val="auto"/>
              </w:rPr>
            </w:pPr>
          </w:p>
        </w:tc>
        <w:tc>
          <w:tcPr>
            <w:tcW w:w="7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7.0</w:t>
            </w:r>
          </w:p>
        </w:tc>
        <w:tc>
          <w:tcPr>
            <w:tcW w:w="2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11.8</w:t>
            </w:r>
          </w:p>
        </w:tc>
        <w:tc>
          <w:tcPr>
            <w:tcW w:w="2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8.9</w:t>
            </w:r>
          </w:p>
        </w:tc>
        <w:tc>
          <w:tcPr>
            <w:tcW w:w="1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11.5</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55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restricted shares</w:t>
            </w:r>
          </w:p>
        </w:tc>
        <w:tc>
          <w:tcPr>
            <w:tcW w:w="22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vMerge w:val="continue"/>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vMerge w:val="continue"/>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vMerge w:val="continue"/>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vMerge w:val="continue"/>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5520" w:type="dxa"/>
            <w:vAlign w:val="bottom"/>
          </w:tcPr>
          <w:p>
            <w:pPr>
              <w:spacing w:after="0" w:line="168" w:lineRule="exact"/>
              <w:rPr>
                <w:sz w:val="20"/>
                <w:szCs w:val="20"/>
                <w:color w:val="auto"/>
              </w:rPr>
            </w:pPr>
            <w:r>
              <w:rPr>
                <w:rFonts w:ascii="Arial" w:cs="Arial" w:eastAsia="Arial" w:hAnsi="Arial"/>
                <w:sz w:val="18"/>
                <w:szCs w:val="18"/>
                <w:color w:val="auto"/>
                <w:w w:val="93"/>
              </w:rPr>
              <w:t>Weighted-average common and common equivalent shares outstanding –</w:t>
            </w:r>
          </w:p>
        </w:tc>
        <w:tc>
          <w:tcPr>
            <w:tcW w:w="22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260.9</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266.5</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263.7</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267.3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5520" w:type="dxa"/>
            <w:vAlign w:val="bottom"/>
          </w:tcPr>
          <w:p>
            <w:pPr>
              <w:spacing w:after="0" w:line="190" w:lineRule="exact"/>
              <w:rPr>
                <w:sz w:val="20"/>
                <w:szCs w:val="20"/>
                <w:color w:val="auto"/>
              </w:rPr>
            </w:pPr>
            <w:r>
              <w:rPr>
                <w:rFonts w:ascii="Arial" w:cs="Arial" w:eastAsia="Arial" w:hAnsi="Arial"/>
                <w:sz w:val="18"/>
                <w:szCs w:val="18"/>
                <w:color w:val="auto"/>
              </w:rPr>
              <w:t>used in calculation of diluted EPS</w:t>
            </w: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5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440" w:type="dxa"/>
            <w:vAlign w:val="bottom"/>
            <w:gridSpan w:val="2"/>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440" w:type="dxa"/>
            <w:vAlign w:val="bottom"/>
            <w:gridSpan w:val="2"/>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400" w:type="dxa"/>
            <w:vAlign w:val="bottom"/>
            <w:gridSpan w:val="2"/>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w w:val="97"/>
              </w:rPr>
              <w:t>Earnings per share attributable to SS&amp;C common stockholders – Basic</w:t>
            </w: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0.63</w:t>
            </w:r>
          </w:p>
        </w:tc>
        <w:tc>
          <w:tcPr>
            <w:tcW w:w="4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0.72</w:t>
            </w:r>
          </w:p>
        </w:tc>
        <w:tc>
          <w:tcPr>
            <w:tcW w:w="440" w:type="dxa"/>
            <w:vAlign w:val="bottom"/>
            <w:gridSpan w:val="2"/>
          </w:tcPr>
          <w:p>
            <w:pPr>
              <w:jc w:val="right"/>
              <w:ind w:right="39"/>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1.74</w:t>
            </w:r>
          </w:p>
        </w:tc>
        <w:tc>
          <w:tcPr>
            <w:tcW w:w="4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shd w:val="clear" w:color="auto" w:fill="CFF0FC"/>
          </w:tcPr>
          <w:p>
            <w:pPr>
              <w:spacing w:after="0"/>
              <w:rPr>
                <w:sz w:val="20"/>
                <w:szCs w:val="20"/>
                <w:color w:val="auto"/>
              </w:rPr>
            </w:pPr>
            <w:r>
              <w:rPr>
                <w:rFonts w:ascii="Arial" w:cs="Arial" w:eastAsia="Arial" w:hAnsi="Arial"/>
                <w:sz w:val="18"/>
                <w:szCs w:val="18"/>
                <w:color w:val="auto"/>
                <w:w w:val="95"/>
              </w:rPr>
              <w:t>Earnings per share attributable to SS&amp;C common stockholders – Diluted</w:t>
            </w:r>
          </w:p>
        </w:tc>
        <w:tc>
          <w:tcPr>
            <w:tcW w:w="220" w:type="dxa"/>
            <w:vAlign w:val="bottom"/>
            <w:shd w:val="clear" w:color="auto" w:fill="CFF0FC"/>
          </w:tcPr>
          <w:p>
            <w:pPr>
              <w:ind w:lef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0.61</w:t>
            </w:r>
          </w:p>
        </w:tc>
        <w:tc>
          <w:tcPr>
            <w:tcW w:w="44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0.69</w:t>
            </w:r>
          </w:p>
        </w:tc>
        <w:tc>
          <w:tcPr>
            <w:tcW w:w="440" w:type="dxa"/>
            <w:vAlign w:val="bottom"/>
            <w:gridSpan w:val="2"/>
            <w:shd w:val="clear" w:color="auto" w:fill="CFF0FC"/>
          </w:tcPr>
          <w:p>
            <w:pPr>
              <w:jc w:val="right"/>
              <w:ind w:right="39"/>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w:t>
            </w:r>
          </w:p>
        </w:tc>
        <w:tc>
          <w:tcPr>
            <w:tcW w:w="40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4462780</wp:posOffset>
            </wp:positionH>
            <wp:positionV relativeFrom="paragraph">
              <wp:posOffset>-676910</wp:posOffset>
            </wp:positionV>
            <wp:extent cx="68580" cy="26606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 cy="26606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-676910</wp:posOffset>
            </wp:positionV>
            <wp:extent cx="68580" cy="26606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26606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-676910</wp:posOffset>
            </wp:positionV>
            <wp:extent cx="60325" cy="26606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0325" cy="26606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-676910</wp:posOffset>
            </wp:positionV>
            <wp:extent cx="60325" cy="26606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0325" cy="266065"/>
                    </a:xfrm>
                    <a:prstGeom prst="rect">
                      <a:avLst/>
                    </a:prstGeom>
                    <a:noFill/>
                  </pic:spPr>
                </pic:pic>
              </a:graphicData>
            </a:graphic>
          </wp:anchor>
        </w:drawing>
      </w:r>
    </w:p>
    <w:p>
      <w:pPr>
        <w:spacing w:after="0" w:line="209" w:lineRule="exact"/>
        <w:rPr>
          <w:sz w:val="20"/>
          <w:szCs w:val="20"/>
          <w:color w:val="auto"/>
        </w:rPr>
      </w:pPr>
    </w:p>
    <w:p>
      <w:pPr>
        <w:ind w:firstLine="509"/>
        <w:spacing w:after="0" w:line="249" w:lineRule="auto"/>
        <w:rPr>
          <w:sz w:val="20"/>
          <w:szCs w:val="20"/>
          <w:color w:val="auto"/>
        </w:rPr>
      </w:pPr>
      <w:r>
        <w:rPr>
          <w:rFonts w:ascii="Arial" w:cs="Arial" w:eastAsia="Arial" w:hAnsi="Arial"/>
          <w:sz w:val="18"/>
          <w:szCs w:val="18"/>
          <w:color w:val="auto"/>
        </w:rPr>
        <w:t>Stock options, SARs and PSUs representing 22.0 million shares were outstanding for the three and nine months ended September 30, 2022, but were not included in the computation of diluted EPS because the effect of including them would be anti-dilutive. Stock options, SARs and PSUs representing 8.3 million and 8.8 million shares were outstanding for the three and nine months ended September 30, 2021, respectively, but were not included in the computation of diluted EPS because the effect of including them would be anti-dilutive.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14—Commitments and Contingencies</w:t>
      </w:r>
    </w:p>
    <w:p>
      <w:pPr>
        <w:spacing w:after="0" w:line="108" w:lineRule="exact"/>
        <w:rPr>
          <w:sz w:val="20"/>
          <w:szCs w:val="20"/>
          <w:color w:val="auto"/>
        </w:rPr>
      </w:pPr>
    </w:p>
    <w:p>
      <w:pPr>
        <w:ind w:right="240" w:firstLine="509"/>
        <w:spacing w:after="0" w:line="261" w:lineRule="auto"/>
        <w:rPr>
          <w:sz w:val="20"/>
          <w:szCs w:val="20"/>
          <w:color w:val="auto"/>
        </w:rPr>
      </w:pPr>
      <w:r>
        <w:rPr>
          <w:rFonts w:ascii="Arial" w:cs="Arial" w:eastAsia="Arial" w:hAnsi="Arial"/>
          <w:sz w:val="18"/>
          <w:szCs w:val="18"/>
          <w:color w:val="auto"/>
        </w:rPr>
        <w:t>From time to time, we are subject to legal proceedings and claims. In our opinion, we are not involved in any litigation or proceedings that would have a material adverse effect on us or our business.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i w:val="1"/>
          <w:iCs w:val="1"/>
          <w:color w:val="auto"/>
        </w:rPr>
        <w:t>Legal Proceedings</w:t>
      </w:r>
    </w:p>
    <w:p>
      <w:pPr>
        <w:spacing w:after="0" w:line="117" w:lineRule="exact"/>
        <w:rPr>
          <w:sz w:val="20"/>
          <w:szCs w:val="20"/>
          <w:color w:val="auto"/>
        </w:rPr>
      </w:pPr>
    </w:p>
    <w:p>
      <w:pPr>
        <w:ind w:right="180" w:firstLine="509"/>
        <w:spacing w:after="0" w:line="268" w:lineRule="auto"/>
        <w:rPr>
          <w:sz w:val="20"/>
          <w:szCs w:val="20"/>
          <w:color w:val="auto"/>
        </w:rPr>
      </w:pPr>
      <w:r>
        <w:rPr>
          <w:rFonts w:ascii="Arial" w:cs="Arial" w:eastAsia="Arial" w:hAnsi="Arial"/>
          <w:sz w:val="17"/>
          <w:szCs w:val="17"/>
          <w:color w:val="auto"/>
        </w:rPr>
        <w:t>During the third quarter of 2021, in connection with the ongoing DST ERISA matters and associated legal proceedings described below, including the arbitration awards, we recorded an accrued liability and expense of $43.4 million to Other (expense) income, net on the Condensed Consolidated Statements of Comprehensive (Loss) Income. Due to the inherent uncertainties associated with the resolution of these matters, the ultimate resolution of and any additional potential exposure related to these matters are uncertain at this time.</w:t>
      </w:r>
    </w:p>
    <w:p>
      <w:pPr>
        <w:spacing w:after="0" w:line="58" w:lineRule="exact"/>
        <w:rPr>
          <w:sz w:val="20"/>
          <w:szCs w:val="20"/>
          <w:color w:val="auto"/>
        </w:rPr>
      </w:pPr>
    </w:p>
    <w:p>
      <w:pPr>
        <w:ind w:right="20" w:firstLine="509"/>
        <w:spacing w:after="0" w:line="272" w:lineRule="auto"/>
        <w:rPr>
          <w:sz w:val="20"/>
          <w:szCs w:val="20"/>
          <w:color w:val="auto"/>
        </w:rPr>
      </w:pPr>
      <w:r>
        <w:rPr>
          <w:rFonts w:ascii="Arial" w:cs="Arial" w:eastAsia="Arial" w:hAnsi="Arial"/>
          <w:sz w:val="16"/>
          <w:szCs w:val="16"/>
          <w:color w:val="auto"/>
        </w:rPr>
        <w:t>On September 1, 2017, a putative representative action was filed on behalf of the DST 401(k) Profit Sharing Plan (the “Plan”) in the United States District Court for the Southern District of New York, captioned Ferguson, et al v. Ruane Cunniff &amp; Goldfarb Inc., et al. (“Ferguson”), naming as defendants DST, the Compensation Committee of DST’s Board of Directors, the Advisory Committee of the Plan and certain of DST’s present and/or former officers and directors (collectively the “DST Defendants”), alleging breach of fiduciary duties and other violations of the Employee Retirement Income Security Act (“ERISA”). The DST Defendants answered the operative complaint and asserted crossclaims for contribution and/or indemnification against Ruane, Cunniff &amp; Goldfarb Inc. (“Ruane”). On January 9, 2020, Ruane filed an amended answer to the amended complaint and asserted crossclaims for contribution and/or indemnification against DST. Both DST and Ruane have filed answers denying the crossclaims asserted against them. On March 8, 2021, the Court entered an order denying without prejudice the plaintiffs’ (the “Ferguson Plaintiffs”) then-pending motions for leave to file a third amended complaint and for class certification, ordering that the parties address the effect, if any, on the Ferguson Plaintiffs’ motions of the March 4, 2021 decision by the United States Court of Appeals for the Second Circuit Court in Cooper v. Ruane Cunniff &amp; Goldfarb Inc. The Ferguson Plaintiffs renewed their motions for leave to file a third amended complaint and for class certification, which motions were fully briefed on May 10, 2021. On August 17, 2021, the Court entered an order certifying a mandatory, non-opt-out class under Federal Rule of Civil Procedure 23(b)(1) that includes all plan participants other than certain plan fiduciaries. Arbitration Claimants, and the Canfield Plaintiffs and Mendon Plaintiffs, each as defined below, filed petitions under Federal Rule of Civil Procedure 23(f) with the Second Circuit on August 30, 2021 and August 31, 2021, respectively, seeking interlocutory review of the Ferguson class certification order, which the Ferguson Plaintiffs and the DST Defendants opposed. The Second Circuit denied the Rule 23(f) petitions on May 24, 2022 and May 25, 2022, respectively. On February 4, 2022, the Ferguson Plaintiffs filed a third amended complaint, which included the class allegations. On March 7, 2022, the DST Defendants and Ruane each filed answers to the Ferguson Plaintiffs’ third amended complaint and reasserted their respective cross-claims. On August 23, 2021, the DST Defendants moved for a temporary restraining order and preliminary injunction against other proceedings, including the below-described arbitrations, which arise out of or relate to the allegations in Ferguson. Following briefing, on November 18, 2021, the Court granted the DST Defendants’ motion and entered a preliminary injunction enjoining the Ferguson class members, including Arbitration Claimants, from instituting new actions or litigating in arbitration or other proceedings against the DST Defendants matters arising out of or relating to the facts or transactions alleged in the Ferguson amended complaint. On November 18, 2021, the Court also ordered the DST Defendants and Arbitration Claimants to submit briefing regarding how the arbitration awards that have been entered against the DST Defendants should be handled in light of the Court’s class certification order and preliminary injunction.</w:t>
      </w:r>
    </w:p>
    <w:p>
      <w:pPr>
        <w:spacing w:after="0" w:line="267" w:lineRule="exact"/>
        <w:rPr>
          <w:sz w:val="20"/>
          <w:szCs w:val="20"/>
          <w:color w:val="auto"/>
        </w:rPr>
      </w:pPr>
    </w:p>
    <w:p>
      <w:pPr>
        <w:ind w:firstLine="509"/>
        <w:spacing w:after="0" w:line="257" w:lineRule="auto"/>
        <w:rPr>
          <w:sz w:val="20"/>
          <w:szCs w:val="20"/>
          <w:color w:val="auto"/>
        </w:rPr>
      </w:pPr>
      <w:r>
        <w:rPr>
          <w:rFonts w:ascii="Arial" w:cs="Arial" w:eastAsia="Arial" w:hAnsi="Arial"/>
          <w:sz w:val="17"/>
          <w:szCs w:val="17"/>
          <w:color w:val="auto"/>
        </w:rPr>
        <w:t>On December 15, 2021, Arbitration Claimants and the Canfield Plaintiffs and Mendon Plaintiffs filed appeals of the Court’s preliminary injunction. On December 23, 2021, the DST Defendants, Arbitration Claimants, and the Ferguson Plaintiffs submitted briefs concerning the treatment of the arbitration awards that have been entered against the DST Defendants, and further briefing by the DST Defendants and Arbitration Claimants was submitted on January 26, 2022. On December 31, 2021, Arbitration Claimants moved by order to show cause for an immediate stay of the preliminary injunction pending their appeal to the Second Circuit. On January 3, 2022, the Court denied Arbitration Claimants’ motion for an immediate stay and ordered the DST Defendants to show cause as to why the Court should not issue a stay of the preliminary injunction pending appeal. The show-cause order was fully briefed on January 10, 2022. On February 3, 2022, the Court denied Arbitration Claimants’ motion to stay the preliminary injunction pending appeal. In the same order, the Court held that it would determine the status of the arbitration awards already entered against DST at final judgment in the Ferguson action, either after trial or after settlement. On February 4, 2022, Arbitration Claimants filed a motion in the Second Circuit to stay the preliminary injunction pending their appeal of the Court’s preliminary injunction. On June 7, 2022, the Second Circuit denied Arbitration Claimants’ motion to stay the preliminary injunction pending appeal. On February 8, 2022, Arbitration Claimants and the Canfield Plaintiffs and Mendon Plaintiffs noticed an appeal of the Court’s February 3, 2022 order. The February 8, 2022 appeal was consolidated with the December 15, 2021 appeal of the preliminary injunction. On May 17, 2022, Arbitration Claimants and the Canfield Plaintiffs and Mendon Plaintiffs filed their opening brief in the consolidated appeals. The DST Defendants filed their answering brief on September 15, 2022. Arbitration Claimants and the Canfield Plaintiffs and Mendon Plaintiffs filed their reply brief on October 20, 2022. This appeal remains pending.</w:t>
      </w:r>
    </w:p>
    <w:p>
      <w:pPr>
        <w:spacing w:after="0" w:line="73" w:lineRule="exact"/>
        <w:rPr>
          <w:sz w:val="20"/>
          <w:szCs w:val="20"/>
          <w:color w:val="auto"/>
        </w:rPr>
      </w:pPr>
    </w:p>
    <w:p>
      <w:pPr>
        <w:ind w:right="100" w:firstLine="509"/>
        <w:spacing w:after="0" w:line="212" w:lineRule="exact"/>
        <w:rPr>
          <w:sz w:val="20"/>
          <w:szCs w:val="20"/>
          <w:color w:val="auto"/>
        </w:rPr>
      </w:pPr>
      <w:r>
        <w:rPr>
          <w:rFonts w:ascii="Arial" w:cs="Arial" w:eastAsia="Arial" w:hAnsi="Arial"/>
          <w:sz w:val="18"/>
          <w:szCs w:val="18"/>
          <w:color w:val="auto"/>
        </w:rPr>
        <w:t>On July 10, 2020, the Ferguson Plaintiffs and the DST Defendants reached an agreement in principle to settle the class claims for $27 million, subject to the occurrence of certain conditions, including: Court certification of a “non</w:t>
      </w:r>
      <w:r>
        <w:rPr>
          <w:rFonts w:ascii="MS PGothic" w:cs="MS PGothic" w:eastAsia="MS PGothic" w:hAnsi="MS PGothic"/>
          <w:sz w:val="18"/>
          <w:szCs w:val="18"/>
          <w:color w:val="auto"/>
        </w:rPr>
        <w:t>‑</w:t>
      </w:r>
      <w:r>
        <w:rPr>
          <w:rFonts w:ascii="Arial" w:cs="Arial" w:eastAsia="Arial" w:hAnsi="Arial"/>
          <w:sz w:val="18"/>
          <w:szCs w:val="18"/>
          <w:color w:val="auto"/>
        </w:rPr>
        <w:t>opt-out” class in the case that includes as class members all participants of the Plan, Court approval of the settlement in accordance with applicable law and the satisfactory resolution of claims made by certain other litigants. On September 18, 2020, the parties submitted a letter to the Court disclosing that the Ferguson Plaintiffs and Ruane also had reached a settlement in principle, subject to Court approval. The Ferguson Plaintiffs and the DST Defendants entered into a settlement agreement dated January 8, 2021 memorializing the terms of their</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18" w:name="page19"/>
    <w:bookmarkEnd w:id="18"/>
    <w:p>
      <w:pPr>
        <w:ind w:right="100"/>
        <w:spacing w:after="0" w:line="249" w:lineRule="auto"/>
        <w:rPr>
          <w:sz w:val="20"/>
          <w:szCs w:val="20"/>
          <w:color w:val="auto"/>
        </w:rPr>
      </w:pPr>
      <w:r>
        <w:rPr>
          <w:rFonts w:ascii="Arial" w:cs="Arial" w:eastAsia="Arial" w:hAnsi="Arial"/>
          <w:sz w:val="18"/>
          <w:szCs w:val="18"/>
          <w:color w:val="auto"/>
        </w:rPr>
        <w:t>proposed settlement, which was filed by the Ferguson Plaintiffs with the Court on the same date. On January 12, 2021, the Ferguson Plaintiffs moved for preliminary approval of the settlement with the DST Defendants, as well as preliminary approval of a separate settlement reached between the Ferguson Plaintiffs and Ruane. Arbitration Claimants and the U.S. Department of Labor (“DOL”) objected to various aspects of those settlements in filings dated January 15, 2021, January 27, 2021, and February 5, 2021. On August 17, 2021, the Court denied the Ferguson Plaintiffs’ motion for preliminary approval of the settlement on the terms proposed.</w:t>
      </w:r>
    </w:p>
    <w:p>
      <w:pPr>
        <w:spacing w:after="0" w:line="74" w:lineRule="exact"/>
        <w:rPr>
          <w:sz w:val="20"/>
          <w:szCs w:val="20"/>
          <w:color w:val="auto"/>
        </w:rPr>
      </w:pPr>
    </w:p>
    <w:p>
      <w:pPr>
        <w:ind w:right="60" w:firstLine="509"/>
        <w:spacing w:after="0" w:line="257" w:lineRule="auto"/>
        <w:rPr>
          <w:sz w:val="20"/>
          <w:szCs w:val="20"/>
          <w:color w:val="auto"/>
        </w:rPr>
      </w:pPr>
      <w:r>
        <w:rPr>
          <w:rFonts w:ascii="Arial" w:cs="Arial" w:eastAsia="Arial" w:hAnsi="Arial"/>
          <w:sz w:val="17"/>
          <w:szCs w:val="17"/>
          <w:color w:val="auto"/>
        </w:rPr>
        <w:t>On September 28, 2018, a complaint was filed in the United States District Court for the Southern District of New York captioned Robert Canfield, et al. v. SS&amp;C Technologies Holdings, Inc., et al., on behalf of five individual plaintiffs (the “Canfield Plaintiffs”). On November 5, 2018, a similar complaint was filed in the United States District Court for the Southern District of New York captioned Mark Mendon, et al. v. SS&amp;C Technologies Holdings, Inc., et al., on behalf of two individual plaintiffs (the “Mendon Plaintiffs”). These complaints name as defendants SS&amp;C, the DST Defendants, and Ruane. The underlying claim in each complaint is the same as in the above-described Ferguson matter, with the exception that these actions purport to be brought as individual actions and not putative class actions. On July 10, 2020, the Court entered an order granting the DST Defendants’ motion to disqualify plaintiffs’ counsel in the Canfield and Mendon actions. On March 17, 2021, the Court issued an opinion and order denying the DST Defendants’ motion to disqualify counsel from the arbitrations described below. On April 12, 2021, the Canfield Plaintiffs and Mendon Plaintiffs filed notices of voluntary dismissal dismissing their claims against Ruane with prejudice, which were entered by the Court on April 13, 2021. On April 22, 2021, the DST Defendants filed motions to dismiss the Canfield and Mendon actions. Those motions were fully briefed on May 28, 2021. On November 19, 2021, the Court dismissed the Canfield and Mendon actions. On December 17, 2021, the Canfield Plaintiffs and Mendon Plaintiffs appealed the Court’s November 19, 2021 orders dismissing their respective actions to the Second Circuit. On May 17, 2022, the Canfield Plaintiffs and Mendon Plaintiffs filed their opening briefs in those appeals. The DST Defendants filed their answering briefs on September 15, 2022. The Canfield Plaintiffs and Mendon Plaintiffs filed their reply briefs on October 20, 2022. These appeals remain pending.</w:t>
      </w:r>
    </w:p>
    <w:p>
      <w:pPr>
        <w:spacing w:after="0" w:line="67" w:lineRule="exact"/>
        <w:rPr>
          <w:sz w:val="20"/>
          <w:szCs w:val="20"/>
          <w:color w:val="auto"/>
        </w:rPr>
      </w:pPr>
    </w:p>
    <w:p>
      <w:pPr>
        <w:ind w:right="20" w:firstLine="509"/>
        <w:spacing w:after="0" w:line="278" w:lineRule="auto"/>
        <w:rPr>
          <w:sz w:val="20"/>
          <w:szCs w:val="20"/>
          <w:color w:val="auto"/>
        </w:rPr>
      </w:pPr>
      <w:r>
        <w:rPr>
          <w:rFonts w:ascii="Arial" w:cs="Arial" w:eastAsia="Arial" w:hAnsi="Arial"/>
          <w:sz w:val="16"/>
          <w:szCs w:val="16"/>
          <w:color w:val="auto"/>
        </w:rPr>
        <w:t>On October 8, 2019, a substantially similar action to the above-described Ferguson, Canfield, Mendon and below-described arbitration matters captioned Scalia v. Ruane, Cunniff &amp; Goldfarb Inc. was filed by the DOL in the United States District Court for the Southern District of New York naming as defendants DST, the Advisory Committee of the Plan, the Compensation Committee of DST’s Board of Directors and certain of DST’s former officers and directors, and alleging that the DST Defendants breached fiduciary duties in violation of ERISA in connection with the Plan. The complaint also names as defendants Ruane and its former Chairman and Chief Executive Officer Robert D. Goldfarb. In the complaint, the DOL seeks disgorgement, damages and any other appropriate injunctive or equitable relief. The DST Defendants moved to dismiss the complaint on December 4, 2020 on the ground that the DOL’s complaint is time-barred. Other defendants also filed motions to dismiss on the same and other grounds. Briefing on the motions to dismiss was completed on February 5, 2021. On March 28, 2022, the court denied Defendants’ motions to dismiss, and Martin J. Walsh was substituted for Eugene Scalia as the plaintiff. On April 11, 2022, the DST Defendants answered the DOL’s complaint.</w:t>
      </w:r>
    </w:p>
    <w:p>
      <w:pPr>
        <w:spacing w:after="0" w:line="53" w:lineRule="exact"/>
        <w:rPr>
          <w:sz w:val="20"/>
          <w:szCs w:val="20"/>
          <w:color w:val="auto"/>
        </w:rPr>
      </w:pPr>
    </w:p>
    <w:p>
      <w:pPr>
        <w:ind w:firstLine="509"/>
        <w:spacing w:after="0" w:line="272" w:lineRule="auto"/>
        <w:rPr>
          <w:sz w:val="20"/>
          <w:szCs w:val="20"/>
          <w:color w:val="auto"/>
        </w:rPr>
      </w:pPr>
      <w:r>
        <w:rPr>
          <w:rFonts w:ascii="Arial" w:cs="Arial" w:eastAsia="Arial" w:hAnsi="Arial"/>
          <w:sz w:val="16"/>
          <w:szCs w:val="16"/>
          <w:color w:val="auto"/>
        </w:rPr>
        <w:t>DST, the Advisory Committee of the Plan, and the Compensation Committee of DST’s Board of Directors have been named in 579 substantially similar individual demands for arbitration to date, by former and current DST employees demanding arbitration under the DST Employee Arbitration Program and Agreement (the “Arbitration Claimants”). The underlying claim in each is the same as in the above-described Ferguson matter, with the exception that the arbitrations purport to be brought as individual actions. On November 24, 2021, in light of the preliminary injunction entered in Ferguson discussed above, the American Arbitration Association ceased administration of the arbitrations brought by members of the Ferguson class, which includes all of the Arbitration Claimants with the exception of certain former Plan fiduciaries. As of November 24, 2021, 557 demands for arbitration had been submitted to the American Arbitration Association (the “AAA”). As of the date on which the preliminary injunction was entered, those individual arbitrations were at various stages depending on the particular proceeding. Certain of those arbitrations had resulted in awards against DST and others had resulted in decisions finding no liability as against DST. Many of those decisions were subject to further appeal within the AAA. Certain of the arbitration proceedings had been resolved in whole or in part by settlement. Since November 24, 2021, the AAA has administered only those arbitration proceedings associated with claimants who are not members of the Ferguson class, certain of which have resulted in awards against DST. Between August 20, 2021 and November 17, 2021, counsel for Arbitration Claimants filed 177 motions to confirm certain of the arbitration awards. DST filed responses to those motions. Between October 4 and December 22, 2021, the Western District of Missouri issued orders confirming those 177 arbitration awards and entering judgments against DST. DST has appealed those judgments to the Eighth Circuit. On November 20, 2021, DST requested that the Eighth Circuit stay the pending appeals in light of the preliminary injunction entered in Ferguson. On December 3, 2021, the Eighth Circuit ordered the parties to brief DST’s stay request. On December 17, 2021, Arbitration Claimants and DST filed with the Eighth Circuit their respective briefs addressing the DST’s stay request. On January 3, 2022, the Eighth Circuit declined to stay the briefing schedule on the pending appeals and consolidated those appeals. DST filed its opening brief in the Eighth Circuit on March 24, 2022. Arbitration Claimants filed their opposition brief on April 26, 2022, and DST filed its reply brief on May 18, 2022. The Eighth Circuit heard oral argument on June 14, 2022, and those appeals remain pending. On November 9, 2021, counsel for Arbitration Claimants filed in the Western District of Missouri a petition to compel arbitration captioned Addison v. DST Systems, Inc. (the “Addison Petition”) on behalf of 155 Arbitration Claimants, which DST opposed. On September 15, 2022, the Western District of Missouri dismissed the Addison Petition without prejudice, subject to that action being reopened after the Eighth Circuit’s rulings on DST’s appeals of the 177 orders confirming arbitration awards.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19" w:name="page20"/>
    <w:bookmarkEnd w:id="19"/>
    <w:p>
      <w:pPr>
        <w:ind w:left="520"/>
        <w:spacing w:after="0"/>
        <w:rPr>
          <w:sz w:val="20"/>
          <w:szCs w:val="20"/>
          <w:color w:val="auto"/>
        </w:rPr>
      </w:pPr>
      <w:r>
        <w:rPr>
          <w:rFonts w:ascii="Arial" w:cs="Arial" w:eastAsia="Arial" w:hAnsi="Arial"/>
          <w:sz w:val="18"/>
          <w:szCs w:val="18"/>
          <w:color w:val="auto"/>
        </w:rPr>
        <w:t>We continue to vigorously defend these matters.</w:t>
      </w:r>
    </w:p>
    <w:p>
      <w:pPr>
        <w:spacing w:after="0" w:line="117" w:lineRule="exact"/>
        <w:rPr>
          <w:sz w:val="20"/>
          <w:szCs w:val="20"/>
          <w:color w:val="auto"/>
        </w:rPr>
      </w:pPr>
    </w:p>
    <w:p>
      <w:pPr>
        <w:ind w:firstLine="509"/>
        <w:spacing w:after="0" w:line="275" w:lineRule="auto"/>
        <w:rPr>
          <w:sz w:val="20"/>
          <w:szCs w:val="20"/>
          <w:color w:val="auto"/>
        </w:rPr>
      </w:pPr>
      <w:r>
        <w:rPr>
          <w:rFonts w:ascii="Arial" w:cs="Arial" w:eastAsia="Arial" w:hAnsi="Arial"/>
          <w:sz w:val="16"/>
          <w:szCs w:val="16"/>
          <w:color w:val="auto"/>
        </w:rPr>
        <w:t>On November 11, 2020, DST, the Compensation Committee of DST’s Board of Directors, and the Advisory Committee of the Plan as plaintiffs filed a complaint in the United States District Court for the Southern District of New York against Ruane, certain of its related entities, and certain of its current and former employees. The complaint asserts claims for contribution, indemnification, and breach of contract arising out of Ruane’s management of the Plan’s investments and claims for actual and constructive fraudulent conveyances. On May 24, 2021, Defendant Robert Goldfarb filed an answer to the complaint. On September 17, 2021, the remaining defendants filed a pre-motion letter requesting permission to file a motion to dismiss the complaint. On September 22, 2021, the DST plaintiffs responded to the remaining defendants’ pre-motion letter. On November 5, 2021, the Court denied the remaining defendants’ request for a pre-motion conference and granted the remaining defendants leave to file a motion to dismiss. On December 17, 2021, the remaining defendants filed a motion to dismiss the DST plaintiffs’ complaint. On July 27, 2022, the Court denied without prejudice the pending motion to dismiss, and ordered the parties to submit by October 3, 2022 a joint status report with a new briefing schedule on the motion. On October 3, 2022, the parties filed a joint status report with a new briefing schedule on the motion, which the court approved on October 4, 2022. The remaining defendants' opening brief is due on November 10, 2022, and the motion is scheduled to be fully briefed by December 23, 2022.</w:t>
      </w:r>
    </w:p>
    <w:p>
      <w:pPr>
        <w:spacing w:after="0" w:line="53"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08" w:lineRule="exact"/>
        <w:rPr>
          <w:sz w:val="20"/>
          <w:szCs w:val="20"/>
          <w:color w:val="auto"/>
        </w:rPr>
      </w:pPr>
    </w:p>
    <w:p>
      <w:pPr>
        <w:ind w:right="120" w:firstLine="509"/>
        <w:spacing w:after="0" w:line="263" w:lineRule="auto"/>
        <w:rPr>
          <w:sz w:val="20"/>
          <w:szCs w:val="20"/>
          <w:color w:val="auto"/>
        </w:rPr>
      </w:pPr>
      <w:r>
        <w:rPr>
          <w:rFonts w:ascii="Arial" w:cs="Arial" w:eastAsia="Arial" w:hAnsi="Arial"/>
          <w:sz w:val="17"/>
          <w:szCs w:val="17"/>
          <w:color w:val="auto"/>
        </w:rPr>
        <w:t>This Management’s Discussion and Analysis of Financial Condition and Results of Operations, or MD&amp;A, is intended to provide readers of our Condensed Consolidated Financial Statements with the perspectives of management. It presents, in narrative form, information regarding our financial condition, results of operations, liquidity and certain other factors that may affect our future results. It should be read in conjunction with our 2021 Form 10-K and the Condensed Consolidated Financial Statements included in this Form 10-Q. We use the term organic to refer to the businesses and operations that are included in the comparable prior year period on a constant currency basis. Organic excludes the impact of any business which we acquired for the time period which would impact the comparable prior year period.</w:t>
      </w:r>
    </w:p>
    <w:p>
      <w:pPr>
        <w:spacing w:after="0" w:line="146" w:lineRule="exact"/>
        <w:rPr>
          <w:sz w:val="20"/>
          <w:szCs w:val="20"/>
          <w:color w:val="auto"/>
        </w:rPr>
      </w:pPr>
    </w:p>
    <w:p>
      <w:pPr>
        <w:ind w:right="40" w:firstLine="509"/>
        <w:spacing w:after="0" w:line="290" w:lineRule="auto"/>
        <w:rPr>
          <w:sz w:val="20"/>
          <w:szCs w:val="20"/>
          <w:color w:val="auto"/>
        </w:rPr>
      </w:pPr>
      <w:r>
        <w:rPr>
          <w:rFonts w:ascii="Arial" w:cs="Arial" w:eastAsia="Arial" w:hAnsi="Arial"/>
          <w:sz w:val="16"/>
          <w:szCs w:val="16"/>
          <w:color w:val="auto"/>
        </w:rPr>
        <w:t>The COVID-19 pandemic and ongoing macroeconomic conditions, such as increases in interest rates, inflation and changes in foreign currency exchange rates, could have impacts on our results that are uncertain and, in many respects, outside our control. The situations remain dynamic and subject to rapid and possibly material change, which ultimately could result in material negative effects on our business and results of operations. We will continue to evaluate the nature and extent of the potential impacts to our business, consolidated results of operations, liquidity and capital resources.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08" w:lineRule="exact"/>
        <w:rPr>
          <w:sz w:val="20"/>
          <w:szCs w:val="20"/>
          <w:color w:val="auto"/>
        </w:rPr>
      </w:pPr>
    </w:p>
    <w:p>
      <w:pPr>
        <w:ind w:right="40" w:firstLine="509"/>
        <w:spacing w:after="0" w:line="261" w:lineRule="auto"/>
        <w:rPr>
          <w:sz w:val="20"/>
          <w:szCs w:val="20"/>
          <w:color w:val="auto"/>
        </w:rPr>
      </w:pPr>
      <w:r>
        <w:rPr>
          <w:rFonts w:ascii="Arial" w:cs="Arial" w:eastAsia="Arial" w:hAnsi="Arial"/>
          <w:sz w:val="17"/>
          <w:szCs w:val="17"/>
          <w:color w:val="auto"/>
        </w:rPr>
        <w:t>Certain of our accounting policies require the application of significant judgment by our management, and such judgments are reflected in the amounts reported in our Condensed Consolidated Financial Statements. In applying these policies, our management uses its judgment to determine the appropriate assumptions to be used in the determination of estimates. Those estimates are based on our historical experience, terms of existing contracts, management’s observation of trends in the industry, information provided by our clients and information available from other outside sources, as appropriate. Actual results may differ significantly from the estimates contained in our Condensed Consolidated Financial Statements. There have been no material changes to our critical accounting estimates and assumptions or the judgments affecting the application of those estimates and assumptions since the filing of our 2021 Form 10-K. Our critical accounting policies are described in the 2021 Form 10-K and include:</w:t>
      </w:r>
    </w:p>
    <w:p>
      <w:pPr>
        <w:spacing w:after="0" w:line="64" w:lineRule="exact"/>
        <w:rPr>
          <w:sz w:val="20"/>
          <w:szCs w:val="20"/>
          <w:color w:val="auto"/>
        </w:rPr>
      </w:pPr>
    </w:p>
    <w:p>
      <w:pPr>
        <w:ind w:left="1020" w:hanging="503"/>
        <w:spacing w:after="0"/>
        <w:tabs>
          <w:tab w:leader="none" w:pos="102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Investments</w:t>
      </w:r>
    </w:p>
    <w:p>
      <w:pPr>
        <w:spacing w:after="0" w:line="23" w:lineRule="exact"/>
        <w:rPr>
          <w:rFonts w:ascii="Arial" w:cs="Arial" w:eastAsia="Arial" w:hAnsi="Arial"/>
          <w:sz w:val="18"/>
          <w:szCs w:val="18"/>
          <w:color w:val="auto"/>
        </w:rPr>
      </w:pPr>
    </w:p>
    <w:p>
      <w:pPr>
        <w:ind w:left="1020" w:hanging="503"/>
        <w:spacing w:after="0" w:line="236" w:lineRule="auto"/>
        <w:tabs>
          <w:tab w:leader="none" w:pos="1020" w:val="left"/>
        </w:tabs>
        <w:numPr>
          <w:ilvl w:val="0"/>
          <w:numId w:val="2"/>
        </w:numPr>
        <w:rPr>
          <w:rFonts w:ascii="Arial" w:cs="Arial" w:eastAsia="Arial" w:hAnsi="Arial"/>
          <w:sz w:val="18"/>
          <w:szCs w:val="18"/>
          <w:color w:val="auto"/>
        </w:rPr>
      </w:pPr>
      <w:r>
        <w:rPr>
          <w:rFonts w:ascii="Arial" w:cs="Arial" w:eastAsia="Arial" w:hAnsi="Arial"/>
          <w:sz w:val="18"/>
          <w:szCs w:val="18"/>
          <w:color w:val="auto"/>
        </w:rPr>
        <w:t>Long-Lived Assets, Intangible Assets and Goodwill</w:t>
      </w:r>
    </w:p>
    <w:p>
      <w:pPr>
        <w:ind w:left="1020" w:hanging="503"/>
        <w:spacing w:after="0" w:line="234" w:lineRule="auto"/>
        <w:tabs>
          <w:tab w:leader="none" w:pos="1020" w:val="left"/>
        </w:tabs>
        <w:numPr>
          <w:ilvl w:val="0"/>
          <w:numId w:val="2"/>
        </w:numPr>
        <w:rPr>
          <w:rFonts w:ascii="Arial" w:cs="Arial" w:eastAsia="Arial" w:hAnsi="Arial"/>
          <w:sz w:val="18"/>
          <w:szCs w:val="18"/>
          <w:color w:val="auto"/>
        </w:rPr>
      </w:pPr>
      <w:r>
        <w:rPr>
          <w:rFonts w:ascii="Arial" w:cs="Arial" w:eastAsia="Arial" w:hAnsi="Arial"/>
          <w:sz w:val="18"/>
          <w:szCs w:val="18"/>
          <w:color w:val="auto"/>
        </w:rPr>
        <w:t>Software Capitalization</w:t>
      </w:r>
    </w:p>
    <w:p>
      <w:pPr>
        <w:ind w:left="1020" w:hanging="503"/>
        <w:spacing w:after="0"/>
        <w:tabs>
          <w:tab w:leader="none" w:pos="1020" w:val="left"/>
        </w:tabs>
        <w:numPr>
          <w:ilvl w:val="0"/>
          <w:numId w:val="2"/>
        </w:numPr>
        <w:rPr>
          <w:rFonts w:ascii="Arial" w:cs="Arial" w:eastAsia="Arial" w:hAnsi="Arial"/>
          <w:sz w:val="18"/>
          <w:szCs w:val="18"/>
          <w:color w:val="auto"/>
        </w:rPr>
      </w:pPr>
      <w:r>
        <w:rPr>
          <w:rFonts w:ascii="Arial" w:cs="Arial" w:eastAsia="Arial" w:hAnsi="Arial"/>
          <w:sz w:val="18"/>
          <w:szCs w:val="18"/>
          <w:color w:val="auto"/>
        </w:rPr>
        <w:t>Acquisition Accounting</w:t>
      </w:r>
    </w:p>
    <w:p>
      <w:pPr>
        <w:spacing w:after="0" w:line="7" w:lineRule="exact"/>
        <w:rPr>
          <w:rFonts w:ascii="Arial" w:cs="Arial" w:eastAsia="Arial" w:hAnsi="Arial"/>
          <w:sz w:val="18"/>
          <w:szCs w:val="18"/>
          <w:color w:val="auto"/>
        </w:rPr>
      </w:pPr>
    </w:p>
    <w:p>
      <w:pPr>
        <w:ind w:left="1020" w:hanging="503"/>
        <w:spacing w:after="0" w:line="236" w:lineRule="auto"/>
        <w:tabs>
          <w:tab w:leader="none" w:pos="102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Revenue Recognition</w:t>
      </w:r>
    </w:p>
    <w:p>
      <w:pPr>
        <w:ind w:left="1020" w:hanging="503"/>
        <w:spacing w:after="0" w:line="234" w:lineRule="auto"/>
        <w:tabs>
          <w:tab w:leader="none" w:pos="1020" w:val="left"/>
        </w:tabs>
        <w:numPr>
          <w:ilvl w:val="0"/>
          <w:numId w:val="2"/>
        </w:numPr>
        <w:rPr>
          <w:rFonts w:ascii="Arial" w:cs="Arial" w:eastAsia="Arial" w:hAnsi="Arial"/>
          <w:sz w:val="18"/>
          <w:szCs w:val="18"/>
          <w:color w:val="auto"/>
        </w:rPr>
      </w:pPr>
      <w:r>
        <w:rPr>
          <w:rFonts w:ascii="Arial" w:cs="Arial" w:eastAsia="Arial" w:hAnsi="Arial"/>
          <w:sz w:val="18"/>
          <w:szCs w:val="18"/>
          <w:color w:val="auto"/>
        </w:rPr>
        <w:t>Stock-based Compensation</w:t>
      </w:r>
    </w:p>
    <w:p>
      <w:pPr>
        <w:ind w:left="1020" w:hanging="503"/>
        <w:spacing w:after="0"/>
        <w:tabs>
          <w:tab w:leader="none" w:pos="102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Income Taxes</w:t>
      </w:r>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04" w:lineRule="exact"/>
        <w:rPr>
          <w:sz w:val="20"/>
          <w:szCs w:val="20"/>
          <w:color w:val="auto"/>
        </w:rPr>
      </w:pPr>
    </w:p>
    <w:p>
      <w:pPr>
        <w:ind w:firstLine="509"/>
        <w:spacing w:after="0" w:line="258" w:lineRule="auto"/>
        <w:rPr>
          <w:sz w:val="20"/>
          <w:szCs w:val="20"/>
          <w:color w:val="auto"/>
        </w:rPr>
      </w:pPr>
      <w:r>
        <w:rPr>
          <w:rFonts w:ascii="Arial" w:cs="Arial" w:eastAsia="Arial" w:hAnsi="Arial"/>
          <w:sz w:val="17"/>
          <w:szCs w:val="17"/>
          <w:color w:val="auto"/>
        </w:rPr>
        <w:t>We derive our revenues from two sources: software-enabled services revenues and license, maintenance and related revenues. As a general matter, fluctuations in our software-enabled services revenues are attributable to the number of new software-enabled services clients as well as total assets under management in our clients’ portfolios and the number of outsourced transactions provided to our existing clients. Software-enabled services revenues also fluctuate as a result of reimbursements received for “out-of-pocket” expenses, such as postage and telecommunications charges, which are recorded as revenues on an accrual basis. Because these additional revenues are offset by the reimbursable expenses incurred, there is no impact on gross profit, operating income and net income, however the reimbursements billed and expenses incurred can lead to fluctuations in revenues, cost of revenues and gross margin percentage each period. License, maintenance and related revenues consist primarily of term and perpetual license fees, maintenance fees and professional services. Maintenance revenues vary based on customer retention and on the annual increases in fees, which are generally tied to the consumer price index. License and professional services revenues tend to fluctuate based on the number of new licensing clients, the timing and terms of contract renewals and demand for consulting services.</w:t>
      </w:r>
    </w:p>
    <w:p>
      <w:pPr>
        <w:spacing w:after="0" w:line="140" w:lineRule="exact"/>
        <w:rPr>
          <w:sz w:val="20"/>
          <w:szCs w:val="20"/>
          <w:color w:val="auto"/>
        </w:rPr>
      </w:pPr>
    </w:p>
    <w:p>
      <w:pPr>
        <w:ind w:right="300" w:firstLine="509"/>
        <w:spacing w:after="0" w:line="308" w:lineRule="auto"/>
        <w:rPr>
          <w:sz w:val="20"/>
          <w:szCs w:val="20"/>
          <w:color w:val="auto"/>
        </w:rPr>
      </w:pPr>
      <w:r>
        <w:rPr>
          <w:rFonts w:ascii="Arial" w:cs="Arial" w:eastAsia="Arial" w:hAnsi="Arial"/>
          <w:sz w:val="17"/>
          <w:szCs w:val="17"/>
          <w:color w:val="auto"/>
        </w:rPr>
        <w:t>Our results of operations below include the results of our recent acquisitions from the date which they were acquired, including Capita in March 2021, Blue Prism and Hubwise in March 2022, MineralWare in May 2022, O’Shares in June 2022 and Tier1 in August 2022.</w:t>
      </w:r>
    </w:p>
    <w:p>
      <w:pPr>
        <w:spacing w:after="0" w:line="92" w:lineRule="exact"/>
        <w:rPr>
          <w:sz w:val="20"/>
          <w:szCs w:val="20"/>
          <w:color w:val="auto"/>
        </w:rPr>
      </w:pPr>
    </w:p>
    <w:p>
      <w:pPr>
        <w:ind w:right="700" w:firstLine="509"/>
        <w:spacing w:after="0" w:line="277" w:lineRule="auto"/>
        <w:rPr>
          <w:sz w:val="20"/>
          <w:szCs w:val="20"/>
          <w:color w:val="auto"/>
        </w:rPr>
      </w:pPr>
      <w:r>
        <w:rPr>
          <w:rFonts w:ascii="Arial" w:cs="Arial" w:eastAsia="Arial" w:hAnsi="Arial"/>
          <w:sz w:val="18"/>
          <w:szCs w:val="18"/>
          <w:color w:val="auto"/>
        </w:rPr>
        <w:t>The following table sets forth the percentage of our total revenues represented by each of the following sources of revenues for the periods indicated:</w:t>
      </w:r>
    </w:p>
    <w:p>
      <w:pPr>
        <w:spacing w:after="0" w:line="41"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3720" w:type="dxa"/>
            <w:vAlign w:val="bottom"/>
          </w:tcPr>
          <w:p>
            <w:pPr>
              <w:spacing w:after="0"/>
              <w:rPr>
                <w:sz w:val="14"/>
                <w:szCs w:val="14"/>
                <w:color w:val="auto"/>
              </w:rPr>
            </w:pPr>
          </w:p>
        </w:tc>
        <w:tc>
          <w:tcPr>
            <w:tcW w:w="2280" w:type="dxa"/>
            <w:vAlign w:val="bottom"/>
            <w:gridSpan w:val="6"/>
          </w:tcPr>
          <w:p>
            <w:pPr>
              <w:jc w:val="center"/>
              <w:ind w:right="340"/>
              <w:spacing w:after="0"/>
              <w:rPr>
                <w:sz w:val="20"/>
                <w:szCs w:val="20"/>
                <w:color w:val="auto"/>
              </w:rPr>
            </w:pPr>
            <w:r>
              <w:rPr>
                <w:rFonts w:ascii="Arial" w:cs="Arial" w:eastAsia="Arial" w:hAnsi="Arial"/>
                <w:sz w:val="14"/>
                <w:szCs w:val="14"/>
                <w:b w:val="1"/>
                <w:bCs w:val="1"/>
                <w:color w:val="auto"/>
                <w:w w:val="93"/>
              </w:rPr>
              <w:t>Three Months Ended</w:t>
            </w:r>
          </w:p>
        </w:tc>
        <w:tc>
          <w:tcPr>
            <w:tcW w:w="1940" w:type="dxa"/>
            <w:vAlign w:val="bottom"/>
            <w:gridSpan w:val="5"/>
          </w:tcPr>
          <w:p>
            <w:pPr>
              <w:jc w:val="center"/>
              <w:ind w:right="250"/>
              <w:spacing w:after="0"/>
              <w:rPr>
                <w:sz w:val="20"/>
                <w:szCs w:val="20"/>
                <w:color w:val="auto"/>
              </w:rPr>
            </w:pPr>
            <w:r>
              <w:rPr>
                <w:rFonts w:ascii="Arial" w:cs="Arial" w:eastAsia="Arial" w:hAnsi="Arial"/>
                <w:sz w:val="14"/>
                <w:szCs w:val="14"/>
                <w:b w:val="1"/>
                <w:bCs w:val="1"/>
                <w:color w:val="auto"/>
                <w:w w:val="94"/>
              </w:rPr>
              <w:t>Nine Months Ended</w:t>
            </w:r>
          </w:p>
        </w:tc>
        <w:tc>
          <w:tcPr>
            <w:tcW w:w="0" w:type="dxa"/>
            <w:vAlign w:val="bottom"/>
          </w:tcPr>
          <w:p>
            <w:pPr>
              <w:spacing w:after="0"/>
              <w:rPr>
                <w:sz w:val="1"/>
                <w:szCs w:val="1"/>
                <w:color w:val="auto"/>
              </w:rPr>
            </w:pPr>
          </w:p>
        </w:tc>
      </w:tr>
      <w:tr>
        <w:trPr>
          <w:trHeight w:val="185"/>
        </w:trPr>
        <w:tc>
          <w:tcPr>
            <w:tcW w:w="3720" w:type="dxa"/>
            <w:vAlign w:val="bottom"/>
          </w:tcPr>
          <w:p>
            <w:pPr>
              <w:spacing w:after="0"/>
              <w:rPr>
                <w:sz w:val="16"/>
                <w:szCs w:val="16"/>
                <w:color w:val="auto"/>
              </w:rPr>
            </w:pPr>
          </w:p>
        </w:tc>
        <w:tc>
          <w:tcPr>
            <w:tcW w:w="2280" w:type="dxa"/>
            <w:vAlign w:val="bottom"/>
            <w:gridSpan w:val="6"/>
          </w:tcPr>
          <w:p>
            <w:pPr>
              <w:jc w:val="center"/>
              <w:ind w:right="320"/>
              <w:spacing w:after="0"/>
              <w:rPr>
                <w:sz w:val="20"/>
                <w:szCs w:val="20"/>
                <w:color w:val="auto"/>
              </w:rPr>
            </w:pPr>
            <w:r>
              <w:rPr>
                <w:rFonts w:ascii="Arial" w:cs="Arial" w:eastAsia="Arial" w:hAnsi="Arial"/>
                <w:sz w:val="14"/>
                <w:szCs w:val="14"/>
                <w:b w:val="1"/>
                <w:bCs w:val="1"/>
                <w:color w:val="auto"/>
                <w:w w:val="91"/>
              </w:rPr>
              <w:t>September 30,</w:t>
            </w:r>
          </w:p>
        </w:tc>
        <w:tc>
          <w:tcPr>
            <w:tcW w:w="1940" w:type="dxa"/>
            <w:vAlign w:val="bottom"/>
            <w:gridSpan w:val="5"/>
          </w:tcPr>
          <w:p>
            <w:pPr>
              <w:jc w:val="center"/>
              <w:ind w:right="210"/>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96"/>
        </w:trPr>
        <w:tc>
          <w:tcPr>
            <w:tcW w:w="3720" w:type="dxa"/>
            <w:vAlign w:val="bottom"/>
            <w:vMerge w:val="restart"/>
          </w:tcPr>
          <w:p>
            <w:pPr>
              <w:spacing w:after="0"/>
              <w:rPr>
                <w:sz w:val="20"/>
                <w:szCs w:val="20"/>
                <w:color w:val="auto"/>
              </w:rPr>
            </w:pPr>
            <w:r>
              <w:rPr>
                <w:rFonts w:ascii="Arial" w:cs="Arial" w:eastAsia="Arial" w:hAnsi="Arial"/>
                <w:sz w:val="18"/>
                <w:szCs w:val="18"/>
                <w:color w:val="auto"/>
              </w:rPr>
              <w:t>Software-enabled services</w:t>
            </w:r>
          </w:p>
        </w:tc>
        <w:tc>
          <w:tcPr>
            <w:tcW w:w="88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2022</w:t>
            </w:r>
          </w:p>
        </w:tc>
        <w:tc>
          <w:tcPr>
            <w:tcW w:w="160" w:type="dxa"/>
            <w:vAlign w:val="bottom"/>
            <w:tcBorders>
              <w:top w:val="single" w:sz="8" w:color="auto"/>
              <w:bottom w:val="single" w:sz="8" w:color="auto"/>
            </w:tcBorders>
            <w:vMerge w:val="restart"/>
          </w:tcPr>
          <w:p>
            <w:pPr>
              <w:jc w:val="right"/>
              <w:spacing w:after="0"/>
              <w:rPr>
                <w:sz w:val="20"/>
                <w:szCs w:val="20"/>
                <w:color w:val="auto"/>
              </w:rPr>
            </w:pPr>
            <w:r>
              <w:rPr>
                <w:rFonts w:ascii="Arial" w:cs="Arial" w:eastAsia="Arial" w:hAnsi="Arial"/>
                <w:sz w:val="18"/>
                <w:szCs w:val="18"/>
                <w:color w:val="auto"/>
                <w:w w:val="87"/>
              </w:rPr>
              <w:t>%</w:t>
            </w:r>
          </w:p>
        </w:tc>
        <w:tc>
          <w:tcPr>
            <w:tcW w:w="16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2021</w:t>
            </w: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87"/>
              </w:rPr>
              <w:t>%</w:t>
            </w:r>
          </w:p>
        </w:tc>
        <w:tc>
          <w:tcPr>
            <w:tcW w:w="14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2022</w:t>
            </w:r>
          </w:p>
        </w:tc>
        <w:tc>
          <w:tcPr>
            <w:tcW w:w="140" w:type="dxa"/>
            <w:vAlign w:val="bottom"/>
            <w:tcBorders>
              <w:top w:val="single" w:sz="8" w:color="auto"/>
              <w:bottom w:val="single" w:sz="8" w:color="auto"/>
            </w:tcBorders>
            <w:vMerge w:val="restart"/>
          </w:tcPr>
          <w:p>
            <w:pPr>
              <w:jc w:val="center"/>
              <w:spacing w:after="0"/>
              <w:rPr>
                <w:sz w:val="20"/>
                <w:szCs w:val="20"/>
                <w:color w:val="auto"/>
              </w:rPr>
            </w:pPr>
            <w:r>
              <w:rPr>
                <w:rFonts w:ascii="Arial" w:cs="Arial" w:eastAsia="Arial" w:hAnsi="Arial"/>
                <w:sz w:val="18"/>
                <w:szCs w:val="18"/>
                <w:color w:val="auto"/>
                <w:w w:val="87"/>
              </w:rPr>
              <w:t>%</w:t>
            </w:r>
          </w:p>
        </w:tc>
        <w:tc>
          <w:tcPr>
            <w:tcW w:w="16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2021</w:t>
            </w: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9"/>
        </w:trPr>
        <w:tc>
          <w:tcPr>
            <w:tcW w:w="3720" w:type="dxa"/>
            <w:vAlign w:val="bottom"/>
            <w:vMerge w:val="continue"/>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79.5</w:t>
            </w:r>
          </w:p>
        </w:tc>
        <w:tc>
          <w:tcPr>
            <w:tcW w:w="16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84.6</w:t>
            </w:r>
          </w:p>
        </w:tc>
        <w:tc>
          <w:tcPr>
            <w:tcW w:w="16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81.3</w:t>
            </w:r>
          </w:p>
        </w:tc>
        <w:tc>
          <w:tcPr>
            <w:tcW w:w="14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84.4</w:t>
            </w:r>
          </w:p>
        </w:tc>
        <w:tc>
          <w:tcPr>
            <w:tcW w:w="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License, maintenance and related</w:t>
            </w:r>
          </w:p>
        </w:tc>
        <w:tc>
          <w:tcPr>
            <w:tcW w:w="1200" w:type="dxa"/>
            <w:vAlign w:val="bottom"/>
            <w:gridSpan w:val="3"/>
          </w:tcPr>
          <w:p>
            <w:pPr>
              <w:jc w:val="right"/>
              <w:ind w:right="160"/>
              <w:spacing w:after="0"/>
              <w:rPr>
                <w:sz w:val="20"/>
                <w:szCs w:val="20"/>
                <w:color w:val="auto"/>
              </w:rPr>
            </w:pPr>
            <w:r>
              <w:rPr>
                <w:rFonts w:ascii="Arial" w:cs="Arial" w:eastAsia="Arial" w:hAnsi="Arial"/>
                <w:sz w:val="18"/>
                <w:szCs w:val="18"/>
                <w:color w:val="auto"/>
              </w:rPr>
              <w:t>20.5 %</w:t>
            </w:r>
          </w:p>
        </w:tc>
        <w:tc>
          <w:tcPr>
            <w:tcW w:w="1080" w:type="dxa"/>
            <w:vAlign w:val="bottom"/>
            <w:gridSpan w:val="3"/>
          </w:tcPr>
          <w:p>
            <w:pPr>
              <w:jc w:val="right"/>
              <w:ind w:right="140"/>
              <w:spacing w:after="0"/>
              <w:rPr>
                <w:sz w:val="20"/>
                <w:szCs w:val="20"/>
                <w:color w:val="auto"/>
              </w:rPr>
            </w:pPr>
            <w:r>
              <w:rPr>
                <w:rFonts w:ascii="Arial" w:cs="Arial" w:eastAsia="Arial" w:hAnsi="Arial"/>
                <w:sz w:val="18"/>
                <w:szCs w:val="18"/>
                <w:color w:val="auto"/>
              </w:rPr>
              <w:t>15.4 %</w:t>
            </w:r>
          </w:p>
        </w:tc>
        <w:tc>
          <w:tcPr>
            <w:tcW w:w="1040" w:type="dxa"/>
            <w:vAlign w:val="bottom"/>
            <w:gridSpan w:val="3"/>
          </w:tcPr>
          <w:p>
            <w:pPr>
              <w:jc w:val="right"/>
              <w:ind w:right="140"/>
              <w:spacing w:after="0"/>
              <w:rPr>
                <w:sz w:val="20"/>
                <w:szCs w:val="20"/>
                <w:color w:val="auto"/>
              </w:rPr>
            </w:pPr>
            <w:r>
              <w:rPr>
                <w:rFonts w:ascii="Arial" w:cs="Arial" w:eastAsia="Arial" w:hAnsi="Arial"/>
                <w:sz w:val="18"/>
                <w:szCs w:val="18"/>
                <w:color w:val="auto"/>
              </w:rPr>
              <w:t>18.7 %</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15.6 %</w:t>
            </w:r>
          </w:p>
        </w:tc>
        <w:tc>
          <w:tcPr>
            <w:tcW w:w="0" w:type="dxa"/>
            <w:vAlign w:val="bottom"/>
          </w:tcPr>
          <w:p>
            <w:pPr>
              <w:spacing w:after="0"/>
              <w:rPr>
                <w:sz w:val="1"/>
                <w:szCs w:val="1"/>
                <w:color w:val="auto"/>
              </w:rPr>
            </w:pPr>
          </w:p>
        </w:tc>
      </w:tr>
      <w:tr>
        <w:trPr>
          <w:trHeight w:val="210"/>
        </w:trPr>
        <w:tc>
          <w:tcPr>
            <w:tcW w:w="3720" w:type="dxa"/>
            <w:vAlign w:val="bottom"/>
          </w:tcPr>
          <w:p>
            <w:pPr>
              <w:ind w:left="180"/>
              <w:spacing w:after="0"/>
              <w:rPr>
                <w:sz w:val="20"/>
                <w:szCs w:val="20"/>
                <w:color w:val="auto"/>
              </w:rPr>
            </w:pPr>
            <w:r>
              <w:rPr>
                <w:rFonts w:ascii="Arial" w:cs="Arial" w:eastAsia="Arial" w:hAnsi="Arial"/>
                <w:sz w:val="18"/>
                <w:szCs w:val="18"/>
                <w:color w:val="auto"/>
              </w:rPr>
              <w:t>Total revenues</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6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6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6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4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40" w:type="dxa"/>
            <w:vAlign w:val="bottom"/>
          </w:tcPr>
          <w:p>
            <w:pPr>
              <w:jc w:val="center"/>
              <w:spacing w:after="0"/>
              <w:rPr>
                <w:sz w:val="20"/>
                <w:szCs w:val="20"/>
                <w:color w:val="auto"/>
              </w:rPr>
            </w:pPr>
            <w:r>
              <w:rPr>
                <w:rFonts w:ascii="Arial" w:cs="Arial" w:eastAsia="Arial" w:hAnsi="Arial"/>
                <w:sz w:val="18"/>
                <w:szCs w:val="18"/>
                <w:color w:val="auto"/>
                <w:w w:val="87"/>
              </w:rPr>
              <w:t>%</w:t>
            </w:r>
          </w:p>
        </w:tc>
        <w:tc>
          <w:tcPr>
            <w:tcW w:w="16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6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-445135</wp:posOffset>
            </wp:positionV>
            <wp:extent cx="4989195" cy="13716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4989195" cy="137160"/>
                    </a:xfrm>
                    <a:prstGeom prst="rect">
                      <a:avLst/>
                    </a:prstGeom>
                    <a:noFill/>
                  </pic:spPr>
                </pic:pic>
              </a:graphicData>
            </a:graphic>
          </wp:anchor>
        </w:drawing>
        <w:drawing>
          <wp:anchor simplePos="0" relativeHeight="251657728" behindDoc="1" locked="0" layoutInCell="0" allowOverlap="1">
            <wp:simplePos x="0" y="0"/>
            <wp:positionH relativeFrom="column">
              <wp:posOffset>1076325</wp:posOffset>
            </wp:positionH>
            <wp:positionV relativeFrom="paragraph">
              <wp:posOffset>-162560</wp:posOffset>
            </wp:positionV>
            <wp:extent cx="4989195" cy="16319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4989195" cy="163195"/>
                    </a:xfrm>
                    <a:prstGeom prst="rect">
                      <a:avLst/>
                    </a:prstGeom>
                    <a:noFill/>
                  </pic:spPr>
                </pic:pic>
              </a:graphicData>
            </a:graphic>
          </wp:anchor>
        </w:drawing>
      </w:r>
    </w:p>
    <w:p>
      <w:pPr>
        <w:sectPr>
          <w:pgSz w:w="11900" w:h="16838" w:orient="portrait"/>
          <w:cols w:equalWidth="0" w:num="1">
            <w:col w:w="11200"/>
          </w:cols>
          <w:pgMar w:left="320" w:top="432" w:right="379" w:bottom="1440" w:gutter="0" w:footer="0" w:header="0"/>
        </w:sectPr>
      </w:pPr>
    </w:p>
    <w:p>
      <w:pPr>
        <w:spacing w:after="0" w:line="229"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following table sets forth revenues (dollars in millions) and percent change in revenues for the periods indicated:</w:t>
      </w:r>
    </w:p>
    <w:p>
      <w:pPr>
        <w:spacing w:after="0" w:line="10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gridSpan w:val="3"/>
          </w:tcPr>
          <w:p>
            <w:pPr>
              <w:jc w:val="center"/>
              <w:ind w:right="290"/>
              <w:spacing w:after="0"/>
              <w:rPr>
                <w:sz w:val="20"/>
                <w:szCs w:val="20"/>
                <w:color w:val="auto"/>
              </w:rPr>
            </w:pPr>
            <w:r>
              <w:rPr>
                <w:rFonts w:ascii="Arial" w:cs="Arial" w:eastAsia="Arial" w:hAnsi="Arial"/>
                <w:sz w:val="14"/>
                <w:szCs w:val="14"/>
                <w:b w:val="1"/>
                <w:bCs w:val="1"/>
                <w:color w:val="auto"/>
                <w:w w:val="89"/>
              </w:rPr>
              <w:t>Percent</w:t>
            </w: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gridSpan w:val="3"/>
          </w:tcPr>
          <w:p>
            <w:pPr>
              <w:jc w:val="center"/>
              <w:ind w:right="270"/>
              <w:spacing w:after="0"/>
              <w:rPr>
                <w:sz w:val="20"/>
                <w:szCs w:val="20"/>
                <w:color w:val="auto"/>
              </w:rPr>
            </w:pPr>
            <w:r>
              <w:rPr>
                <w:rFonts w:ascii="Arial" w:cs="Arial" w:eastAsia="Arial" w:hAnsi="Arial"/>
                <w:sz w:val="14"/>
                <w:szCs w:val="14"/>
                <w:b w:val="1"/>
                <w:bCs w:val="1"/>
                <w:color w:val="auto"/>
                <w:w w:val="92"/>
              </w:rPr>
              <w:t>Change from</w:t>
            </w: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00" w:type="dxa"/>
            <w:vAlign w:val="bottom"/>
            <w:gridSpan w:val="4"/>
          </w:tcPr>
          <w:p>
            <w:pPr>
              <w:ind w:left="80"/>
              <w:spacing w:after="0" w:line="149" w:lineRule="exact"/>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2"/>
                <w:szCs w:val="12"/>
                <w:color w:val="auto"/>
              </w:rPr>
            </w:pPr>
          </w:p>
        </w:tc>
        <w:tc>
          <w:tcPr>
            <w:tcW w:w="1320" w:type="dxa"/>
            <w:vAlign w:val="bottom"/>
            <w:gridSpan w:val="3"/>
          </w:tcPr>
          <w:p>
            <w:pPr>
              <w:jc w:val="center"/>
              <w:ind w:right="270"/>
              <w:spacing w:after="0" w:line="149" w:lineRule="exact"/>
              <w:rPr>
                <w:sz w:val="20"/>
                <w:szCs w:val="20"/>
                <w:color w:val="auto"/>
              </w:rPr>
            </w:pPr>
            <w:r>
              <w:rPr>
                <w:rFonts w:ascii="Arial" w:cs="Arial" w:eastAsia="Arial" w:hAnsi="Arial"/>
                <w:sz w:val="14"/>
                <w:szCs w:val="14"/>
                <w:b w:val="1"/>
                <w:bCs w:val="1"/>
                <w:color w:val="auto"/>
                <w:w w:val="97"/>
              </w:rPr>
              <w:t>Prior</w:t>
            </w:r>
          </w:p>
        </w:tc>
        <w:tc>
          <w:tcPr>
            <w:tcW w:w="1640" w:type="dxa"/>
            <w:vAlign w:val="bottom"/>
            <w:gridSpan w:val="4"/>
          </w:tcPr>
          <w:p>
            <w:pPr>
              <w:jc w:val="right"/>
              <w:ind w:right="235"/>
              <w:spacing w:after="0" w:line="149" w:lineRule="exact"/>
              <w:rPr>
                <w:sz w:val="20"/>
                <w:szCs w:val="20"/>
                <w:color w:val="auto"/>
              </w:rPr>
            </w:pPr>
            <w:r>
              <w:rPr>
                <w:rFonts w:ascii="Arial" w:cs="Arial" w:eastAsia="Arial" w:hAnsi="Arial"/>
                <w:sz w:val="14"/>
                <w:szCs w:val="14"/>
                <w:b w:val="1"/>
                <w:bCs w:val="1"/>
                <w:color w:val="auto"/>
                <w:w w:val="99"/>
              </w:rPr>
              <w:t>Nine Months Ended</w:t>
            </w:r>
          </w:p>
        </w:tc>
        <w:tc>
          <w:tcPr>
            <w:tcW w:w="0" w:type="dxa"/>
            <w:vAlign w:val="bottom"/>
          </w:tcPr>
          <w:p>
            <w:pPr>
              <w:spacing w:after="0"/>
              <w:rPr>
                <w:sz w:val="1"/>
                <w:szCs w:val="1"/>
                <w:color w:val="auto"/>
              </w:rPr>
            </w:pPr>
          </w:p>
        </w:tc>
      </w:tr>
      <w:tr>
        <w:trPr>
          <w:trHeight w:val="185"/>
        </w:trPr>
        <w:tc>
          <w:tcPr>
            <w:tcW w:w="38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4"/>
          </w:tcPr>
          <w:p>
            <w:pPr>
              <w:jc w:val="right"/>
              <w:ind w:right="415"/>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6"/>
                <w:szCs w:val="16"/>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Period</w:t>
            </w:r>
          </w:p>
        </w:tc>
        <w:tc>
          <w:tcPr>
            <w:tcW w:w="1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4"/>
          </w:tcPr>
          <w:p>
            <w:pPr>
              <w:jc w:val="right"/>
              <w:ind w:right="395"/>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96"/>
        </w:trPr>
        <w:tc>
          <w:tcPr>
            <w:tcW w:w="3860" w:type="dxa"/>
            <w:vAlign w:val="bottom"/>
            <w:vMerge w:val="restart"/>
          </w:tcPr>
          <w:p>
            <w:pPr>
              <w:spacing w:after="0"/>
              <w:rPr>
                <w:sz w:val="20"/>
                <w:szCs w:val="20"/>
                <w:color w:val="auto"/>
              </w:rPr>
            </w:pPr>
            <w:r>
              <w:rPr>
                <w:rFonts w:ascii="Arial" w:cs="Arial" w:eastAsia="Arial" w:hAnsi="Arial"/>
                <w:sz w:val="18"/>
                <w:szCs w:val="18"/>
                <w:color w:val="auto"/>
              </w:rPr>
              <w:t>Software-enabled services</w:t>
            </w:r>
          </w:p>
        </w:tc>
        <w:tc>
          <w:tcPr>
            <w:tcW w:w="2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2021</w:t>
            </w:r>
          </w:p>
        </w:tc>
        <w:tc>
          <w:tcPr>
            <w:tcW w:w="1360" w:type="dxa"/>
            <w:vAlign w:val="bottom"/>
            <w:gridSpan w:val="3"/>
            <w:vMerge w:val="restart"/>
          </w:tcPr>
          <w:p>
            <w:pPr>
              <w:jc w:val="right"/>
              <w:spacing w:after="0"/>
              <w:rPr>
                <w:sz w:val="20"/>
                <w:szCs w:val="20"/>
                <w:color w:val="auto"/>
              </w:rPr>
            </w:pPr>
            <w:r>
              <w:rPr>
                <w:rFonts w:ascii="Arial" w:cs="Arial" w:eastAsia="Arial" w:hAnsi="Arial"/>
                <w:sz w:val="18"/>
                <w:szCs w:val="18"/>
                <w:color w:val="auto"/>
              </w:rPr>
              <w:t>(1.9 )%</w:t>
            </w:r>
          </w:p>
        </w:tc>
        <w:tc>
          <w:tcPr>
            <w:tcW w:w="1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2022</w:t>
            </w:r>
          </w:p>
        </w:tc>
        <w:tc>
          <w:tcPr>
            <w:tcW w:w="1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95"/>
        </w:trPr>
        <w:tc>
          <w:tcPr>
            <w:tcW w:w="3860" w:type="dxa"/>
            <w:vAlign w:val="bottom"/>
            <w:vMerge w:val="continue"/>
          </w:tcPr>
          <w:p>
            <w:pPr>
              <w:spacing w:after="0"/>
              <w:rPr>
                <w:sz w:val="16"/>
                <w:szCs w:val="16"/>
                <w:color w:val="auto"/>
              </w:rPr>
            </w:pPr>
          </w:p>
        </w:tc>
        <w:tc>
          <w:tcPr>
            <w:tcW w:w="200" w:type="dxa"/>
            <w:vAlign w:val="bottom"/>
          </w:tcPr>
          <w:p>
            <w:pPr>
              <w:jc w:val="right"/>
              <w:spacing w:after="0" w:line="195" w:lineRule="exact"/>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line="195" w:lineRule="exact"/>
              <w:rPr>
                <w:sz w:val="20"/>
                <w:szCs w:val="20"/>
                <w:color w:val="auto"/>
              </w:rPr>
            </w:pPr>
            <w:r>
              <w:rPr>
                <w:rFonts w:ascii="Arial" w:cs="Arial" w:eastAsia="Arial" w:hAnsi="Arial"/>
                <w:sz w:val="18"/>
                <w:szCs w:val="18"/>
                <w:color w:val="auto"/>
              </w:rPr>
              <w:t>1,049.8</w:t>
            </w:r>
          </w:p>
        </w:tc>
        <w:tc>
          <w:tcPr>
            <w:tcW w:w="220" w:type="dxa"/>
            <w:vAlign w:val="bottom"/>
          </w:tcPr>
          <w:p>
            <w:pPr>
              <w:spacing w:after="0"/>
              <w:rPr>
                <w:sz w:val="16"/>
                <w:szCs w:val="16"/>
                <w:color w:val="auto"/>
              </w:rPr>
            </w:pPr>
          </w:p>
        </w:tc>
        <w:tc>
          <w:tcPr>
            <w:tcW w:w="200" w:type="dxa"/>
            <w:vAlign w:val="bottom"/>
          </w:tcPr>
          <w:p>
            <w:pPr>
              <w:jc w:val="right"/>
              <w:ind w:right="10"/>
              <w:spacing w:after="0" w:line="195" w:lineRule="exact"/>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line="195" w:lineRule="exact"/>
              <w:rPr>
                <w:sz w:val="20"/>
                <w:szCs w:val="20"/>
                <w:color w:val="auto"/>
              </w:rPr>
            </w:pPr>
            <w:r>
              <w:rPr>
                <w:rFonts w:ascii="Arial" w:cs="Arial" w:eastAsia="Arial" w:hAnsi="Arial"/>
                <w:sz w:val="18"/>
                <w:szCs w:val="18"/>
                <w:color w:val="auto"/>
                <w:w w:val="99"/>
              </w:rPr>
              <w:t>1,069.9</w:t>
            </w:r>
          </w:p>
        </w:tc>
        <w:tc>
          <w:tcPr>
            <w:tcW w:w="1360" w:type="dxa"/>
            <w:vAlign w:val="bottom"/>
            <w:gridSpan w:val="3"/>
            <w:vMerge w:val="continue"/>
          </w:tcPr>
          <w:p>
            <w:pPr>
              <w:spacing w:after="0"/>
              <w:rPr>
                <w:sz w:val="16"/>
                <w:szCs w:val="16"/>
                <w:color w:val="auto"/>
              </w:rPr>
            </w:pPr>
          </w:p>
        </w:tc>
        <w:tc>
          <w:tcPr>
            <w:tcW w:w="180" w:type="dxa"/>
            <w:vAlign w:val="bottom"/>
          </w:tcPr>
          <w:p>
            <w:pPr>
              <w:jc w:val="right"/>
              <w:spacing w:after="0" w:line="195" w:lineRule="exact"/>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line="195" w:lineRule="exact"/>
              <w:rPr>
                <w:sz w:val="20"/>
                <w:szCs w:val="20"/>
                <w:color w:val="auto"/>
              </w:rPr>
            </w:pPr>
            <w:r>
              <w:rPr>
                <w:rFonts w:ascii="Arial" w:cs="Arial" w:eastAsia="Arial" w:hAnsi="Arial"/>
                <w:sz w:val="18"/>
                <w:szCs w:val="18"/>
                <w:color w:val="auto"/>
                <w:w w:val="99"/>
              </w:rPr>
              <w:t>3,205.7</w:t>
            </w:r>
          </w:p>
        </w:tc>
        <w:tc>
          <w:tcPr>
            <w:tcW w:w="180" w:type="dxa"/>
            <w:vAlign w:val="bottom"/>
          </w:tcPr>
          <w:p>
            <w:pPr>
              <w:spacing w:after="0"/>
              <w:rPr>
                <w:sz w:val="16"/>
                <w:szCs w:val="16"/>
                <w:color w:val="auto"/>
              </w:rPr>
            </w:pPr>
          </w:p>
        </w:tc>
        <w:tc>
          <w:tcPr>
            <w:tcW w:w="180" w:type="dxa"/>
            <w:vAlign w:val="bottom"/>
          </w:tcPr>
          <w:p>
            <w:pPr>
              <w:jc w:val="right"/>
              <w:spacing w:after="0" w:line="195" w:lineRule="exact"/>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line="195" w:lineRule="exact"/>
              <w:rPr>
                <w:sz w:val="20"/>
                <w:szCs w:val="20"/>
                <w:color w:val="auto"/>
              </w:rPr>
            </w:pPr>
            <w:r>
              <w:rPr>
                <w:rFonts w:ascii="Arial" w:cs="Arial" w:eastAsia="Arial" w:hAnsi="Arial"/>
                <w:sz w:val="18"/>
                <w:szCs w:val="18"/>
                <w:color w:val="auto"/>
                <w:w w:val="99"/>
              </w:rPr>
              <w:t>3,170.4</w:t>
            </w:r>
          </w:p>
        </w:tc>
        <w:tc>
          <w:tcPr>
            <w:tcW w:w="0" w:type="dxa"/>
            <w:vAlign w:val="bottom"/>
          </w:tcPr>
          <w:p>
            <w:pPr>
              <w:spacing w:after="0"/>
              <w:rPr>
                <w:sz w:val="1"/>
                <w:szCs w:val="1"/>
                <w:color w:val="auto"/>
              </w:rPr>
            </w:pPr>
          </w:p>
        </w:tc>
      </w:tr>
      <w:tr>
        <w:trPr>
          <w:trHeight w:val="230"/>
        </w:trPr>
        <w:tc>
          <w:tcPr>
            <w:tcW w:w="3860" w:type="dxa"/>
            <w:vAlign w:val="bottom"/>
          </w:tcPr>
          <w:p>
            <w:pPr>
              <w:spacing w:after="0"/>
              <w:rPr>
                <w:sz w:val="20"/>
                <w:szCs w:val="20"/>
                <w:color w:val="auto"/>
              </w:rPr>
            </w:pPr>
            <w:r>
              <w:rPr>
                <w:rFonts w:ascii="Arial" w:cs="Arial" w:eastAsia="Arial" w:hAnsi="Arial"/>
                <w:sz w:val="18"/>
                <w:szCs w:val="18"/>
                <w:color w:val="auto"/>
              </w:rPr>
              <w:t>License, maintenance and related</w:t>
            </w:r>
          </w:p>
        </w:tc>
        <w:tc>
          <w:tcPr>
            <w:tcW w:w="2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271.2</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194.5</w:t>
            </w:r>
          </w:p>
        </w:tc>
        <w:tc>
          <w:tcPr>
            <w:tcW w:w="1360" w:type="dxa"/>
            <w:vAlign w:val="bottom"/>
            <w:gridSpan w:val="3"/>
          </w:tcPr>
          <w:p>
            <w:pPr>
              <w:jc w:val="right"/>
              <w:ind w:right="20"/>
              <w:spacing w:after="0"/>
              <w:rPr>
                <w:sz w:val="20"/>
                <w:szCs w:val="20"/>
                <w:color w:val="auto"/>
              </w:rPr>
            </w:pPr>
            <w:r>
              <w:rPr>
                <w:rFonts w:ascii="Arial" w:cs="Arial" w:eastAsia="Arial" w:hAnsi="Arial"/>
                <w:sz w:val="18"/>
                <w:szCs w:val="18"/>
                <w:color w:val="auto"/>
              </w:rPr>
              <w:t>39.4 %</w:t>
            </w:r>
          </w:p>
        </w:tc>
        <w:tc>
          <w:tcPr>
            <w:tcW w:w="1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739.0</w:t>
            </w:r>
          </w:p>
        </w:tc>
        <w:tc>
          <w:tcPr>
            <w:tcW w:w="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586.4</w:t>
            </w:r>
          </w:p>
        </w:tc>
        <w:tc>
          <w:tcPr>
            <w:tcW w:w="0" w:type="dxa"/>
            <w:vAlign w:val="bottom"/>
          </w:tcPr>
          <w:p>
            <w:pPr>
              <w:spacing w:after="0"/>
              <w:rPr>
                <w:sz w:val="1"/>
                <w:szCs w:val="1"/>
                <w:color w:val="auto"/>
              </w:rPr>
            </w:pPr>
          </w:p>
        </w:tc>
      </w:tr>
      <w:tr>
        <w:trPr>
          <w:trHeight w:val="210"/>
        </w:trPr>
        <w:tc>
          <w:tcPr>
            <w:tcW w:w="3860" w:type="dxa"/>
            <w:vAlign w:val="bottom"/>
          </w:tcPr>
          <w:p>
            <w:pPr>
              <w:ind w:left="180"/>
              <w:spacing w:after="0"/>
              <w:rPr>
                <w:sz w:val="20"/>
                <w:szCs w:val="20"/>
                <w:color w:val="auto"/>
              </w:rPr>
            </w:pPr>
            <w:r>
              <w:rPr>
                <w:rFonts w:ascii="Arial" w:cs="Arial" w:eastAsia="Arial" w:hAnsi="Arial"/>
                <w:sz w:val="18"/>
                <w:szCs w:val="18"/>
                <w:color w:val="auto"/>
              </w:rPr>
              <w:t>Total revenues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1,321.0</w:t>
            </w:r>
          </w:p>
        </w:tc>
        <w:tc>
          <w:tcPr>
            <w:tcW w:w="22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1,264.4</w:t>
            </w:r>
          </w:p>
        </w:tc>
        <w:tc>
          <w:tcPr>
            <w:tcW w:w="1360" w:type="dxa"/>
            <w:vAlign w:val="bottom"/>
            <w:gridSpan w:val="3"/>
          </w:tcPr>
          <w:p>
            <w:pPr>
              <w:jc w:val="right"/>
              <w:ind w:right="20"/>
              <w:spacing w:after="0"/>
              <w:rPr>
                <w:sz w:val="20"/>
                <w:szCs w:val="20"/>
                <w:color w:val="auto"/>
              </w:rPr>
            </w:pPr>
            <w:r>
              <w:rPr>
                <w:rFonts w:ascii="Arial" w:cs="Arial" w:eastAsia="Arial" w:hAnsi="Arial"/>
                <w:sz w:val="18"/>
                <w:szCs w:val="18"/>
                <w:color w:val="auto"/>
              </w:rPr>
              <w:t>4.5 %</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3,944.</w:t>
            </w:r>
            <w:r>
              <w:rPr>
                <w:rFonts w:ascii="Arial" w:cs="Arial" w:eastAsia="Arial" w:hAnsi="Arial"/>
                <w:sz w:val="18"/>
                <w:szCs w:val="18"/>
                <w:u w:val="single" w:color="auto"/>
                <w:color w:val="auto"/>
                <w:w w:val="99"/>
              </w:rPr>
              <w:t>7</w:t>
            </w:r>
          </w:p>
        </w:tc>
        <w:tc>
          <w:tcPr>
            <w:tcW w:w="18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3,756.8</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-445135</wp:posOffset>
            </wp:positionV>
            <wp:extent cx="6412230" cy="13716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412230" cy="137160"/>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-162560</wp:posOffset>
            </wp:positionV>
            <wp:extent cx="6412230" cy="16319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412230"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4" w:lineRule="exact"/>
        <w:rPr>
          <w:sz w:val="20"/>
          <w:szCs w:val="20"/>
          <w:color w:val="auto"/>
        </w:rPr>
      </w:pPr>
    </w:p>
    <w:p>
      <w:pPr>
        <w:jc w:val="center"/>
        <w:ind w:right="660"/>
        <w:spacing w:after="0"/>
        <w:rPr>
          <w:sz w:val="20"/>
          <w:szCs w:val="20"/>
          <w:color w:val="auto"/>
        </w:rPr>
      </w:pPr>
      <w:r>
        <w:rPr>
          <w:rFonts w:ascii="Arial" w:cs="Arial" w:eastAsia="Arial" w:hAnsi="Arial"/>
          <w:sz w:val="14"/>
          <w:szCs w:val="14"/>
          <w:b w:val="1"/>
          <w:bCs w:val="1"/>
          <w:color w:val="auto"/>
        </w:rPr>
        <w:t>Percent</w:t>
      </w:r>
    </w:p>
    <w:p>
      <w:pPr>
        <w:spacing w:after="0" w:line="4" w:lineRule="exact"/>
        <w:rPr>
          <w:sz w:val="20"/>
          <w:szCs w:val="20"/>
          <w:color w:val="auto"/>
        </w:rPr>
      </w:pPr>
    </w:p>
    <w:p>
      <w:pPr>
        <w:jc w:val="center"/>
        <w:ind w:right="660"/>
        <w:spacing w:after="0"/>
        <w:rPr>
          <w:sz w:val="20"/>
          <w:szCs w:val="20"/>
          <w:color w:val="auto"/>
        </w:rPr>
      </w:pPr>
      <w:r>
        <w:rPr>
          <w:rFonts w:ascii="Arial" w:cs="Arial" w:eastAsia="Arial" w:hAnsi="Arial"/>
          <w:sz w:val="12"/>
          <w:szCs w:val="12"/>
          <w:b w:val="1"/>
          <w:bCs w:val="1"/>
          <w:color w:val="auto"/>
        </w:rPr>
        <w:t>Change from</w:t>
      </w:r>
    </w:p>
    <w:p>
      <w:pPr>
        <w:spacing w:after="0" w:line="12" w:lineRule="exact"/>
        <w:rPr>
          <w:sz w:val="20"/>
          <w:szCs w:val="20"/>
          <w:color w:val="auto"/>
        </w:rPr>
      </w:pPr>
    </w:p>
    <w:p>
      <w:pPr>
        <w:ind w:left="240"/>
        <w:spacing w:after="0"/>
        <w:rPr>
          <w:sz w:val="20"/>
          <w:szCs w:val="20"/>
          <w:color w:val="auto"/>
        </w:rPr>
      </w:pPr>
      <w:r>
        <w:rPr>
          <w:rFonts w:ascii="Arial" w:cs="Arial" w:eastAsia="Arial" w:hAnsi="Arial"/>
          <w:sz w:val="14"/>
          <w:szCs w:val="14"/>
          <w:b w:val="1"/>
          <w:bCs w:val="1"/>
          <w:color w:val="auto"/>
        </w:rPr>
        <w:t>Prior</w:t>
      </w:r>
    </w:p>
    <w:p>
      <w:pPr>
        <w:ind w:left="200"/>
        <w:spacing w:after="0"/>
        <w:rPr>
          <w:sz w:val="20"/>
          <w:szCs w:val="20"/>
          <w:color w:val="auto"/>
        </w:rPr>
      </w:pPr>
      <w:r>
        <w:rPr>
          <w:rFonts w:ascii="Arial" w:cs="Arial" w:eastAsia="Arial" w:hAnsi="Arial"/>
          <w:sz w:val="14"/>
          <w:szCs w:val="14"/>
          <w:b w:val="1"/>
          <w:bCs w:val="1"/>
          <w:color w:val="auto"/>
        </w:rPr>
        <w:t>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wp:posOffset>
            </wp:positionH>
            <wp:positionV relativeFrom="paragraph">
              <wp:posOffset>5080</wp:posOffset>
            </wp:positionV>
            <wp:extent cx="556895"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556895" cy="8890"/>
                    </a:xfrm>
                    <a:prstGeom prst="rect">
                      <a:avLst/>
                    </a:prstGeom>
                    <a:noFill/>
                  </pic:spPr>
                </pic:pic>
              </a:graphicData>
            </a:graphic>
          </wp:anchor>
        </w:drawing>
      </w:r>
    </w:p>
    <w:p>
      <w:pPr>
        <w:spacing w:after="0" w:line="203" w:lineRule="exact"/>
        <w:rPr>
          <w:sz w:val="20"/>
          <w:szCs w:val="20"/>
          <w:color w:val="auto"/>
        </w:rPr>
      </w:pPr>
    </w:p>
    <w:p>
      <w:pPr>
        <w:jc w:val="right"/>
        <w:ind w:right="460"/>
        <w:spacing w:after="0"/>
        <w:rPr>
          <w:sz w:val="20"/>
          <w:szCs w:val="20"/>
          <w:color w:val="auto"/>
        </w:rPr>
      </w:pPr>
      <w:r>
        <w:rPr>
          <w:rFonts w:ascii="Arial" w:cs="Arial" w:eastAsia="Arial" w:hAnsi="Arial"/>
          <w:sz w:val="18"/>
          <w:szCs w:val="18"/>
          <w:color w:val="auto"/>
        </w:rPr>
        <w:t>1.1 %</w:t>
      </w:r>
    </w:p>
    <w:p>
      <w:pPr>
        <w:spacing w:after="0" w:line="23" w:lineRule="exact"/>
        <w:rPr>
          <w:sz w:val="20"/>
          <w:szCs w:val="20"/>
          <w:color w:val="auto"/>
        </w:rPr>
      </w:pPr>
    </w:p>
    <w:p>
      <w:pPr>
        <w:jc w:val="right"/>
        <w:ind w:right="460"/>
        <w:spacing w:after="0"/>
        <w:rPr>
          <w:sz w:val="20"/>
          <w:szCs w:val="20"/>
          <w:color w:val="auto"/>
        </w:rPr>
      </w:pPr>
      <w:r>
        <w:rPr>
          <w:rFonts w:ascii="Arial" w:cs="Arial" w:eastAsia="Arial" w:hAnsi="Arial"/>
          <w:sz w:val="18"/>
          <w:szCs w:val="18"/>
          <w:color w:val="auto"/>
        </w:rPr>
        <w:t>26.0 %</w:t>
      </w:r>
    </w:p>
    <w:p>
      <w:pPr>
        <w:spacing w:after="0" w:line="49" w:lineRule="exact"/>
        <w:rPr>
          <w:sz w:val="20"/>
          <w:szCs w:val="20"/>
          <w:color w:val="auto"/>
        </w:rPr>
      </w:pPr>
    </w:p>
    <w:p>
      <w:pPr>
        <w:jc w:val="right"/>
        <w:ind w:right="460"/>
        <w:spacing w:after="0"/>
        <w:rPr>
          <w:sz w:val="20"/>
          <w:szCs w:val="20"/>
          <w:color w:val="auto"/>
        </w:rPr>
      </w:pPr>
      <w:r>
        <w:rPr>
          <w:rFonts w:ascii="Arial" w:cs="Arial" w:eastAsia="Arial" w:hAnsi="Arial"/>
          <w:sz w:val="18"/>
          <w:szCs w:val="18"/>
          <w:color w:val="auto"/>
        </w:rPr>
        <w:t>5.0 %</w:t>
      </w:r>
    </w:p>
    <w:p>
      <w:pPr>
        <w:spacing w:after="0" w:line="223" w:lineRule="exact"/>
        <w:rPr>
          <w:sz w:val="20"/>
          <w:szCs w:val="20"/>
          <w:color w:val="auto"/>
        </w:rPr>
      </w:pPr>
    </w:p>
    <w:p>
      <w:pPr>
        <w:sectPr>
          <w:pgSz w:w="11900" w:h="16838" w:orient="portrait"/>
          <w:cols w:equalWidth="0" w:num="2">
            <w:col w:w="9520" w:space="220"/>
            <w:col w:w="1460"/>
          </w:cols>
          <w:pgMar w:left="320" w:top="432" w:right="379" w:bottom="1440" w:gutter="0" w:footer="0" w:header="0"/>
          <w:type w:val="continuous"/>
        </w:sectPr>
      </w:pPr>
    </w:p>
    <w:p>
      <w:pPr>
        <w:spacing w:after="0" w:line="29" w:lineRule="exact"/>
        <w:rPr>
          <w:sz w:val="20"/>
          <w:szCs w:val="20"/>
          <w:color w:val="auto"/>
        </w:rPr>
      </w:pPr>
    </w:p>
    <w:p>
      <w:pPr>
        <w:ind w:right="120" w:firstLine="509"/>
        <w:spacing w:after="0" w:line="277" w:lineRule="auto"/>
        <w:rPr>
          <w:sz w:val="20"/>
          <w:szCs w:val="20"/>
          <w:color w:val="auto"/>
        </w:rPr>
      </w:pPr>
      <w:r>
        <w:rPr>
          <w:rFonts w:ascii="Arial" w:cs="Arial" w:eastAsia="Arial" w:hAnsi="Arial"/>
          <w:sz w:val="16"/>
          <w:szCs w:val="16"/>
          <w:i w:val="1"/>
          <w:iCs w:val="1"/>
          <w:color w:val="auto"/>
        </w:rPr>
        <w:t>Three Months Ended September 30, 2022 and 2021</w:t>
      </w:r>
      <w:r>
        <w:rPr>
          <w:rFonts w:ascii="Arial" w:cs="Arial" w:eastAsia="Arial" w:hAnsi="Arial"/>
          <w:sz w:val="16"/>
          <w:szCs w:val="16"/>
          <w:color w:val="auto"/>
        </w:rPr>
        <w:t>. Our revenues increased $56.6 million, or 4.5%, primarily due to revenues associated with our</w:t>
      </w:r>
      <w:r>
        <w:rPr>
          <w:rFonts w:ascii="Arial" w:cs="Arial" w:eastAsia="Arial" w:hAnsi="Arial"/>
          <w:sz w:val="16"/>
          <w:szCs w:val="16"/>
          <w:i w:val="1"/>
          <w:iCs w:val="1"/>
          <w:color w:val="auto"/>
        </w:rPr>
        <w:t xml:space="preserve"> </w:t>
      </w:r>
      <w:r>
        <w:rPr>
          <w:rFonts w:ascii="Arial" w:cs="Arial" w:eastAsia="Arial" w:hAnsi="Arial"/>
          <w:sz w:val="16"/>
          <w:szCs w:val="16"/>
          <w:color w:val="auto"/>
        </w:rPr>
        <w:t>acquisitions of Blue Prism and Hubwise in March 2022, MineralWare in May 2022, O’Shares in June 2022 and Tier1 in August 2022, which contributed $68.2 million in revenues and an increase in organic revenues of $20.9 million driven by strength in the SS&amp;C GlobeOp fund administration and virtual data room services businesses. These increases were partially offset by the unfavorable impact from foreign currency translation of $32.5 million. Software-enabled services revenues decreased $20.1 million, or 1.9%, primarily due to the unfavorable impact from foreign currency translation of $25.2 million and a decrease in organic revenues of $5.4 million, partially offset by revenues of $10.5 million from our acquisitions. License, maintenance and related revenues increased $76.7 million, or 39.4%, primarily due to acquisitions, which added $57.7 million in revenues and an increase in organic revenues of $26.3 million, partially offset by the unfavorable impact from foreign currency translation of $7.3 million.</w:t>
      </w:r>
    </w:p>
    <w:p>
      <w:pPr>
        <w:spacing w:after="0" w:line="70" w:lineRule="exact"/>
        <w:rPr>
          <w:sz w:val="20"/>
          <w:szCs w:val="20"/>
          <w:color w:val="auto"/>
        </w:rPr>
      </w:pPr>
    </w:p>
    <w:p>
      <w:pPr>
        <w:ind w:right="60" w:firstLine="509"/>
        <w:spacing w:after="0" w:line="280" w:lineRule="auto"/>
        <w:rPr>
          <w:sz w:val="20"/>
          <w:szCs w:val="20"/>
          <w:color w:val="auto"/>
        </w:rPr>
      </w:pPr>
      <w:r>
        <w:rPr>
          <w:rFonts w:ascii="Arial" w:cs="Arial" w:eastAsia="Arial" w:hAnsi="Arial"/>
          <w:sz w:val="16"/>
          <w:szCs w:val="16"/>
          <w:i w:val="1"/>
          <w:iCs w:val="1"/>
          <w:color w:val="auto"/>
        </w:rPr>
        <w:t xml:space="preserve">Nine Months Ended September 30, 2022 and 2021. </w:t>
      </w:r>
      <w:r>
        <w:rPr>
          <w:rFonts w:ascii="Arial" w:cs="Arial" w:eastAsia="Arial" w:hAnsi="Arial"/>
          <w:sz w:val="16"/>
          <w:szCs w:val="16"/>
          <w:color w:val="auto"/>
        </w:rPr>
        <w:t>Our revenues increased $187.9 million, or 5.0%, due to revenues associated with our</w:t>
      </w:r>
      <w:r>
        <w:rPr>
          <w:rFonts w:ascii="Arial" w:cs="Arial" w:eastAsia="Arial" w:hAnsi="Arial"/>
          <w:sz w:val="16"/>
          <w:szCs w:val="16"/>
          <w:i w:val="1"/>
          <w:iCs w:val="1"/>
          <w:color w:val="auto"/>
        </w:rPr>
        <w:t xml:space="preserve"> </w:t>
      </w:r>
      <w:r>
        <w:rPr>
          <w:rFonts w:ascii="Arial" w:cs="Arial" w:eastAsia="Arial" w:hAnsi="Arial"/>
          <w:sz w:val="16"/>
          <w:szCs w:val="16"/>
          <w:color w:val="auto"/>
        </w:rPr>
        <w:t>acquisitions of Blue Prism and Hubwise in March 2022, MineralWare in May 2022, O’Shares in June 2022, Tier1 in August 2022 and Capita in March 2021, which contributed $151.2 million in revenues, and an increase in organic revenues of $101.7 million driven by strength in the SS&amp;C GlobeOp fund administration, Eze, Black Diamond, Geneva and virtual data room services businesses. Those increases were partially offset by the unfavorable impact from foreign currency translation of $65.0 million. Software-enabled services revenues increased $35.3 million, or 1.1%, primarily due to an increase in organic revenues of $60.9 million, and acquisitions, which added $25.0 million in revenues, partially offset by the unfavorable impact from foreign currency translation of $50.6 million. License, maintenance and related revenues increased $152.6 million, or 26.0%, primarily due to acquisitions, which</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32" w:right="379" w:bottom="1440" w:gutter="0" w:footer="0" w:header="0"/>
          <w:type w:val="continuous"/>
        </w:sectPr>
      </w:pPr>
    </w:p>
    <w:bookmarkStart w:id="21" w:name="page22"/>
    <w:bookmarkEnd w:id="21"/>
    <w:p>
      <w:pPr>
        <w:ind w:right="180"/>
        <w:spacing w:after="0" w:line="277" w:lineRule="auto"/>
        <w:rPr>
          <w:sz w:val="20"/>
          <w:szCs w:val="20"/>
          <w:color w:val="auto"/>
        </w:rPr>
      </w:pPr>
      <w:r>
        <w:rPr>
          <w:rFonts w:ascii="Arial" w:cs="Arial" w:eastAsia="Arial" w:hAnsi="Arial"/>
          <w:sz w:val="18"/>
          <w:szCs w:val="18"/>
          <w:color w:val="auto"/>
        </w:rPr>
        <w:t>added $126.2 million in revenues, and an increase in organic revenues of $40.8 million, partially offset by the unfavorable impact from foreign currency translation of $14.4 million.</w:t>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Revenues</w:t>
      </w:r>
    </w:p>
    <w:p>
      <w:pPr>
        <w:spacing w:after="0" w:line="117" w:lineRule="exact"/>
        <w:rPr>
          <w:sz w:val="20"/>
          <w:szCs w:val="20"/>
          <w:color w:val="auto"/>
        </w:rPr>
      </w:pPr>
    </w:p>
    <w:p>
      <w:pPr>
        <w:ind w:right="120" w:firstLine="509"/>
        <w:spacing w:after="0" w:line="262" w:lineRule="auto"/>
        <w:rPr>
          <w:sz w:val="20"/>
          <w:szCs w:val="20"/>
          <w:color w:val="auto"/>
        </w:rPr>
      </w:pPr>
      <w:r>
        <w:rPr>
          <w:rFonts w:ascii="Arial" w:cs="Arial" w:eastAsia="Arial" w:hAnsi="Arial"/>
          <w:sz w:val="17"/>
          <w:szCs w:val="17"/>
          <w:color w:val="auto"/>
        </w:rPr>
        <w:t>Cost of software-enabled services revenues consists primarily of costs related to personnel utilized in providing our software-enabled services and amortization of intangible assets. Cost of license, maintenance and other related revenues consists primarily of the costs related to personnel utilized in servicing our maintenance contracts and to provide implementation, conversion and training services to our software licensees, as well as system integration and custom programming consulting services and amortization of intangible assets.</w:t>
      </w:r>
    </w:p>
    <w:p>
      <w:pPr>
        <w:spacing w:after="0" w:line="145"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tables set forth each of the following cost of revenues as a percentage of their respective revenue source for the periods indicated:</w:t>
      </w:r>
    </w:p>
    <w:p>
      <w:pPr>
        <w:spacing w:after="0" w:line="132" w:lineRule="exact"/>
        <w:rPr>
          <w:sz w:val="20"/>
          <w:szCs w:val="20"/>
          <w:color w:val="auto"/>
        </w:rPr>
      </w:pPr>
    </w:p>
    <w:tbl>
      <w:tblPr>
        <w:tblLayout w:type="fixed"/>
        <w:tblInd w:w="1700" w:type="dxa"/>
        <w:tblCellMar>
          <w:top w:w="0" w:type="dxa"/>
          <w:left w:w="0" w:type="dxa"/>
          <w:bottom w:w="0" w:type="dxa"/>
          <w:right w:w="0" w:type="dxa"/>
        </w:tblCellMar>
      </w:tblPr>
      <w:tr>
        <w:trPr>
          <w:trHeight w:val="162"/>
        </w:trPr>
        <w:tc>
          <w:tcPr>
            <w:tcW w:w="3740" w:type="dxa"/>
            <w:vAlign w:val="bottom"/>
          </w:tcPr>
          <w:p>
            <w:pPr>
              <w:spacing w:after="0"/>
              <w:rPr>
                <w:sz w:val="14"/>
                <w:szCs w:val="14"/>
                <w:color w:val="auto"/>
              </w:rPr>
            </w:pPr>
          </w:p>
        </w:tc>
        <w:tc>
          <w:tcPr>
            <w:tcW w:w="1680" w:type="dxa"/>
            <w:vAlign w:val="bottom"/>
            <w:gridSpan w:val="4"/>
          </w:tcPr>
          <w:p>
            <w:pPr>
              <w:jc w:val="center"/>
              <w:ind w:left="218"/>
              <w:spacing w:after="0"/>
              <w:rPr>
                <w:sz w:val="20"/>
                <w:szCs w:val="20"/>
                <w:color w:val="auto"/>
              </w:rPr>
            </w:pPr>
            <w:r>
              <w:rPr>
                <w:rFonts w:ascii="Arial" w:cs="Arial" w:eastAsia="Arial" w:hAnsi="Arial"/>
                <w:sz w:val="14"/>
                <w:szCs w:val="14"/>
                <w:b w:val="1"/>
                <w:bCs w:val="1"/>
                <w:color w:val="auto"/>
                <w:w w:val="93"/>
              </w:rPr>
              <w:t>Three Months Ended</w:t>
            </w: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00" w:type="dxa"/>
            <w:vAlign w:val="bottom"/>
            <w:gridSpan w:val="5"/>
          </w:tcPr>
          <w:p>
            <w:pPr>
              <w:jc w:val="center"/>
              <w:ind w:right="230"/>
              <w:spacing w:after="0"/>
              <w:rPr>
                <w:sz w:val="20"/>
                <w:szCs w:val="20"/>
                <w:color w:val="auto"/>
              </w:rPr>
            </w:pPr>
            <w:r>
              <w:rPr>
                <w:rFonts w:ascii="Arial" w:cs="Arial" w:eastAsia="Arial" w:hAnsi="Arial"/>
                <w:sz w:val="14"/>
                <w:szCs w:val="14"/>
                <w:b w:val="1"/>
                <w:bCs w:val="1"/>
                <w:color w:val="auto"/>
                <w:w w:val="93"/>
              </w:rPr>
              <w:t>Nine Months Ended</w:t>
            </w:r>
          </w:p>
        </w:tc>
        <w:tc>
          <w:tcPr>
            <w:tcW w:w="0" w:type="dxa"/>
            <w:vAlign w:val="bottom"/>
          </w:tcPr>
          <w:p>
            <w:pPr>
              <w:spacing w:after="0"/>
              <w:rPr>
                <w:sz w:val="1"/>
                <w:szCs w:val="1"/>
                <w:color w:val="auto"/>
              </w:rPr>
            </w:pPr>
          </w:p>
        </w:tc>
      </w:tr>
      <w:tr>
        <w:trPr>
          <w:trHeight w:val="171"/>
        </w:trPr>
        <w:tc>
          <w:tcPr>
            <w:tcW w:w="3740" w:type="dxa"/>
            <w:vAlign w:val="bottom"/>
          </w:tcPr>
          <w:p>
            <w:pPr>
              <w:spacing w:after="0"/>
              <w:rPr>
                <w:sz w:val="14"/>
                <w:szCs w:val="14"/>
                <w:color w:val="auto"/>
              </w:rPr>
            </w:pPr>
          </w:p>
        </w:tc>
        <w:tc>
          <w:tcPr>
            <w:tcW w:w="1680" w:type="dxa"/>
            <w:vAlign w:val="bottom"/>
            <w:gridSpan w:val="4"/>
          </w:tcPr>
          <w:p>
            <w:pPr>
              <w:jc w:val="center"/>
              <w:ind w:left="238"/>
              <w:spacing w:after="0"/>
              <w:rPr>
                <w:sz w:val="20"/>
                <w:szCs w:val="20"/>
                <w:color w:val="auto"/>
              </w:rPr>
            </w:pPr>
            <w:r>
              <w:rPr>
                <w:rFonts w:ascii="Arial" w:cs="Arial" w:eastAsia="Arial" w:hAnsi="Arial"/>
                <w:sz w:val="14"/>
                <w:szCs w:val="14"/>
                <w:b w:val="1"/>
                <w:bCs w:val="1"/>
                <w:color w:val="auto"/>
                <w:w w:val="91"/>
              </w:rPr>
              <w:t>September 30,</w:t>
            </w: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00" w:type="dxa"/>
            <w:vAlign w:val="bottom"/>
            <w:gridSpan w:val="5"/>
          </w:tcPr>
          <w:p>
            <w:pPr>
              <w:jc w:val="center"/>
              <w:ind w:right="210"/>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96"/>
        </w:trPr>
        <w:tc>
          <w:tcPr>
            <w:tcW w:w="3740" w:type="dxa"/>
            <w:vAlign w:val="bottom"/>
            <w:vMerge w:val="restart"/>
          </w:tcPr>
          <w:p>
            <w:pPr>
              <w:spacing w:after="0"/>
              <w:rPr>
                <w:sz w:val="20"/>
                <w:szCs w:val="20"/>
                <w:color w:val="auto"/>
              </w:rPr>
            </w:pPr>
            <w:r>
              <w:rPr>
                <w:rFonts w:ascii="Arial" w:cs="Arial" w:eastAsia="Arial" w:hAnsi="Arial"/>
                <w:sz w:val="18"/>
                <w:szCs w:val="18"/>
                <w:color w:val="auto"/>
              </w:rPr>
              <w:t>Cost of software-enabled services</w:t>
            </w:r>
          </w:p>
        </w:tc>
        <w:tc>
          <w:tcPr>
            <w:tcW w:w="900" w:type="dxa"/>
            <w:vAlign w:val="bottom"/>
            <w:tcBorders>
              <w:top w:val="single" w:sz="8" w:color="auto"/>
              <w:bottom w:val="single" w:sz="8" w:color="auto"/>
            </w:tcBorders>
          </w:tcPr>
          <w:p>
            <w:pPr>
              <w:jc w:val="right"/>
              <w:ind w:right="218"/>
              <w:spacing w:after="0"/>
              <w:rPr>
                <w:sz w:val="20"/>
                <w:szCs w:val="20"/>
                <w:color w:val="auto"/>
              </w:rPr>
            </w:pPr>
            <w:r>
              <w:rPr>
                <w:rFonts w:ascii="Arial" w:cs="Arial" w:eastAsia="Arial" w:hAnsi="Arial"/>
                <w:sz w:val="14"/>
                <w:szCs w:val="14"/>
                <w:b w:val="1"/>
                <w:bCs w:val="1"/>
                <w:color w:val="auto"/>
              </w:rPr>
              <w:t>2022</w:t>
            </w:r>
          </w:p>
        </w:tc>
        <w:tc>
          <w:tcPr>
            <w:tcW w:w="160" w:type="dxa"/>
            <w:vAlign w:val="bottom"/>
            <w:tcBorders>
              <w:top w:val="single" w:sz="8" w:color="auto"/>
              <w:bottom w:val="single" w:sz="8" w:color="auto"/>
            </w:tcBorders>
            <w:vMerge w:val="restart"/>
          </w:tcPr>
          <w:p>
            <w:pPr>
              <w:jc w:val="right"/>
              <w:spacing w:after="0"/>
              <w:rPr>
                <w:sz w:val="20"/>
                <w:szCs w:val="20"/>
                <w:color w:val="auto"/>
              </w:rPr>
            </w:pPr>
            <w:r>
              <w:rPr>
                <w:rFonts w:ascii="Arial" w:cs="Arial" w:eastAsia="Arial" w:hAnsi="Arial"/>
                <w:sz w:val="18"/>
                <w:szCs w:val="18"/>
                <w:color w:val="auto"/>
                <w:w w:val="87"/>
              </w:rPr>
              <w:t>%</w:t>
            </w:r>
          </w:p>
        </w:tc>
        <w:tc>
          <w:tcPr>
            <w:tcW w:w="160" w:type="dxa"/>
            <w:vAlign w:val="bottom"/>
            <w:tcBorders>
              <w:top w:val="single" w:sz="8" w:color="auto"/>
              <w:bottom w:val="single" w:sz="8" w:color="auto"/>
            </w:tcBorders>
          </w:tcPr>
          <w:p>
            <w:pPr>
              <w:spacing w:after="0"/>
              <w:rPr>
                <w:sz w:val="17"/>
                <w:szCs w:val="17"/>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320" w:type="dxa"/>
            <w:vAlign w:val="bottom"/>
            <w:tcBorders>
              <w:top w:val="single" w:sz="8" w:color="auto"/>
              <w:bottom w:val="single" w:sz="8" w:color="auto"/>
            </w:tcBorders>
          </w:tcPr>
          <w:p>
            <w:pPr>
              <w:spacing w:after="0"/>
              <w:rPr>
                <w:sz w:val="17"/>
                <w:szCs w:val="17"/>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87"/>
              </w:rPr>
              <w:t>%</w:t>
            </w:r>
          </w:p>
        </w:tc>
        <w:tc>
          <w:tcPr>
            <w:tcW w:w="14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top w:val="single" w:sz="8" w:color="auto"/>
              <w:bottom w:val="single" w:sz="8" w:color="auto"/>
            </w:tcBorders>
            <w:vMerge w:val="restart"/>
          </w:tcPr>
          <w:p>
            <w:pPr>
              <w:jc w:val="right"/>
              <w:spacing w:after="0"/>
              <w:rPr>
                <w:sz w:val="20"/>
                <w:szCs w:val="20"/>
                <w:color w:val="auto"/>
              </w:rPr>
            </w:pPr>
            <w:r>
              <w:rPr>
                <w:rFonts w:ascii="Arial" w:cs="Arial" w:eastAsia="Arial" w:hAnsi="Arial"/>
                <w:sz w:val="15"/>
                <w:szCs w:val="15"/>
                <w:color w:val="auto"/>
                <w:w w:val="74"/>
              </w:rPr>
              <w:t>%</w:t>
            </w:r>
          </w:p>
        </w:tc>
        <w:tc>
          <w:tcPr>
            <w:tcW w:w="18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2021</w:t>
            </w: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9"/>
        </w:trPr>
        <w:tc>
          <w:tcPr>
            <w:tcW w:w="3740" w:type="dxa"/>
            <w:vAlign w:val="bottom"/>
            <w:vMerge w:val="continue"/>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57.7</w:t>
            </w:r>
          </w:p>
        </w:tc>
        <w:tc>
          <w:tcPr>
            <w:tcW w:w="16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20"/>
                <w:szCs w:val="20"/>
                <w:color w:val="auto"/>
              </w:rPr>
            </w:pPr>
            <w:r>
              <w:rPr>
                <w:rFonts w:ascii="Arial" w:cs="Arial" w:eastAsia="Arial" w:hAnsi="Arial"/>
                <w:sz w:val="18"/>
                <w:szCs w:val="18"/>
                <w:color w:val="auto"/>
                <w:w w:val="85"/>
              </w:rPr>
              <w:t>52.7</w:t>
            </w:r>
          </w:p>
        </w:tc>
        <w:tc>
          <w:tcPr>
            <w:tcW w:w="16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ind w:left="360"/>
              <w:spacing w:after="0"/>
              <w:rPr>
                <w:sz w:val="20"/>
                <w:szCs w:val="20"/>
                <w:color w:val="auto"/>
              </w:rPr>
            </w:pPr>
            <w:r>
              <w:rPr>
                <w:rFonts w:ascii="Arial" w:cs="Arial" w:eastAsia="Arial" w:hAnsi="Arial"/>
                <w:sz w:val="18"/>
                <w:szCs w:val="18"/>
                <w:color w:val="auto"/>
                <w:w w:val="91"/>
              </w:rPr>
              <w:t>56.5</w:t>
            </w:r>
          </w:p>
        </w:tc>
        <w:tc>
          <w:tcPr>
            <w:tcW w:w="12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54.9</w:t>
            </w:r>
          </w:p>
        </w:tc>
        <w:tc>
          <w:tcPr>
            <w:tcW w:w="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Cost of license, maintenance and related</w:t>
            </w:r>
          </w:p>
        </w:tc>
        <w:tc>
          <w:tcPr>
            <w:tcW w:w="1220" w:type="dxa"/>
            <w:vAlign w:val="bottom"/>
            <w:gridSpan w:val="3"/>
          </w:tcPr>
          <w:p>
            <w:pPr>
              <w:jc w:val="right"/>
              <w:ind w:right="160"/>
              <w:spacing w:after="0"/>
              <w:rPr>
                <w:sz w:val="20"/>
                <w:szCs w:val="20"/>
                <w:color w:val="auto"/>
              </w:rPr>
            </w:pPr>
            <w:r>
              <w:rPr>
                <w:rFonts w:ascii="Arial" w:cs="Arial" w:eastAsia="Arial" w:hAnsi="Arial"/>
                <w:sz w:val="18"/>
                <w:szCs w:val="18"/>
                <w:color w:val="auto"/>
              </w:rPr>
              <w:t>33.7 %</w:t>
            </w:r>
          </w:p>
        </w:tc>
        <w:tc>
          <w:tcPr>
            <w:tcW w:w="460" w:type="dxa"/>
            <w:vAlign w:val="bottom"/>
          </w:tcPr>
          <w:p>
            <w:pPr>
              <w:spacing w:after="0"/>
              <w:rPr>
                <w:sz w:val="18"/>
                <w:szCs w:val="18"/>
                <w:color w:val="auto"/>
              </w:rPr>
            </w:pPr>
          </w:p>
        </w:tc>
        <w:tc>
          <w:tcPr>
            <w:tcW w:w="620" w:type="dxa"/>
            <w:vAlign w:val="bottom"/>
            <w:gridSpan w:val="3"/>
          </w:tcPr>
          <w:p>
            <w:pPr>
              <w:spacing w:after="0"/>
              <w:rPr>
                <w:sz w:val="20"/>
                <w:szCs w:val="20"/>
                <w:color w:val="auto"/>
              </w:rPr>
            </w:pPr>
            <w:r>
              <w:rPr>
                <w:rFonts w:ascii="Arial" w:cs="Arial" w:eastAsia="Arial" w:hAnsi="Arial"/>
                <w:sz w:val="18"/>
                <w:szCs w:val="18"/>
                <w:color w:val="auto"/>
              </w:rPr>
              <w:t>39.4 %</w:t>
            </w:r>
          </w:p>
        </w:tc>
        <w:tc>
          <w:tcPr>
            <w:tcW w:w="1000" w:type="dxa"/>
            <w:vAlign w:val="bottom"/>
            <w:gridSpan w:val="3"/>
          </w:tcPr>
          <w:p>
            <w:pPr>
              <w:ind w:left="360"/>
              <w:spacing w:after="0"/>
              <w:rPr>
                <w:sz w:val="20"/>
                <w:szCs w:val="20"/>
                <w:color w:val="auto"/>
              </w:rPr>
            </w:pPr>
            <w:r>
              <w:rPr>
                <w:rFonts w:ascii="Arial" w:cs="Arial" w:eastAsia="Arial" w:hAnsi="Arial"/>
                <w:sz w:val="18"/>
                <w:szCs w:val="18"/>
                <w:color w:val="auto"/>
              </w:rPr>
              <w:t>35.9 %</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40.4 %</w:t>
            </w:r>
          </w:p>
        </w:tc>
        <w:tc>
          <w:tcPr>
            <w:tcW w:w="0" w:type="dxa"/>
            <w:vAlign w:val="bottom"/>
          </w:tcPr>
          <w:p>
            <w:pPr>
              <w:spacing w:after="0"/>
              <w:rPr>
                <w:sz w:val="1"/>
                <w:szCs w:val="1"/>
                <w:color w:val="auto"/>
              </w:rPr>
            </w:pPr>
          </w:p>
        </w:tc>
      </w:tr>
      <w:tr>
        <w:trPr>
          <w:trHeight w:val="216"/>
        </w:trPr>
        <w:tc>
          <w:tcPr>
            <w:tcW w:w="3740" w:type="dxa"/>
            <w:vAlign w:val="bottom"/>
          </w:tcPr>
          <w:p>
            <w:pPr>
              <w:ind w:left="180"/>
              <w:spacing w:after="0"/>
              <w:rPr>
                <w:sz w:val="20"/>
                <w:szCs w:val="20"/>
                <w:color w:val="auto"/>
              </w:rPr>
            </w:pPr>
            <w:r>
              <w:rPr>
                <w:rFonts w:ascii="Arial" w:cs="Arial" w:eastAsia="Arial" w:hAnsi="Arial"/>
                <w:sz w:val="18"/>
                <w:szCs w:val="18"/>
                <w:color w:val="auto"/>
              </w:rPr>
              <w:t>Total cost of revenues</w:t>
            </w:r>
          </w:p>
        </w:tc>
        <w:tc>
          <w:tcPr>
            <w:tcW w:w="1220" w:type="dxa"/>
            <w:vAlign w:val="bottom"/>
            <w:gridSpan w:val="3"/>
          </w:tcPr>
          <w:p>
            <w:pPr>
              <w:jc w:val="right"/>
              <w:ind w:right="160"/>
              <w:spacing w:after="0"/>
              <w:rPr>
                <w:sz w:val="20"/>
                <w:szCs w:val="20"/>
                <w:color w:val="auto"/>
              </w:rPr>
            </w:pPr>
            <w:r>
              <w:rPr>
                <w:rFonts w:ascii="Arial" w:cs="Arial" w:eastAsia="Arial" w:hAnsi="Arial"/>
                <w:sz w:val="18"/>
                <w:szCs w:val="18"/>
                <w:color w:val="auto"/>
              </w:rPr>
              <w:t>52.8 %</w:t>
            </w:r>
          </w:p>
        </w:tc>
        <w:tc>
          <w:tcPr>
            <w:tcW w:w="460" w:type="dxa"/>
            <w:vAlign w:val="bottom"/>
          </w:tcPr>
          <w:p>
            <w:pPr>
              <w:spacing w:after="0"/>
              <w:rPr>
                <w:sz w:val="18"/>
                <w:szCs w:val="18"/>
                <w:color w:val="auto"/>
              </w:rPr>
            </w:pPr>
          </w:p>
        </w:tc>
        <w:tc>
          <w:tcPr>
            <w:tcW w:w="620" w:type="dxa"/>
            <w:vAlign w:val="bottom"/>
            <w:gridSpan w:val="3"/>
          </w:tcPr>
          <w:p>
            <w:pPr>
              <w:spacing w:after="0"/>
              <w:rPr>
                <w:sz w:val="20"/>
                <w:szCs w:val="20"/>
                <w:color w:val="auto"/>
              </w:rPr>
            </w:pPr>
            <w:r>
              <w:rPr>
                <w:rFonts w:ascii="Arial" w:cs="Arial" w:eastAsia="Arial" w:hAnsi="Arial"/>
                <w:sz w:val="18"/>
                <w:szCs w:val="18"/>
                <w:color w:val="auto"/>
              </w:rPr>
              <w:t>50.6 %</w:t>
            </w:r>
          </w:p>
        </w:tc>
        <w:tc>
          <w:tcPr>
            <w:tcW w:w="1000" w:type="dxa"/>
            <w:vAlign w:val="bottom"/>
            <w:gridSpan w:val="3"/>
          </w:tcPr>
          <w:p>
            <w:pPr>
              <w:ind w:left="360"/>
              <w:spacing w:after="0"/>
              <w:rPr>
                <w:sz w:val="20"/>
                <w:szCs w:val="20"/>
                <w:color w:val="auto"/>
              </w:rPr>
            </w:pPr>
            <w:r>
              <w:rPr>
                <w:rFonts w:ascii="Arial" w:cs="Arial" w:eastAsia="Arial" w:hAnsi="Arial"/>
                <w:sz w:val="18"/>
                <w:szCs w:val="18"/>
                <w:color w:val="auto"/>
              </w:rPr>
              <w:t>52.6 %</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52.7 %</w:t>
            </w:r>
          </w:p>
        </w:tc>
        <w:tc>
          <w:tcPr>
            <w:tcW w:w="0" w:type="dxa"/>
            <w:vAlign w:val="bottom"/>
          </w:tcPr>
          <w:p>
            <w:pPr>
              <w:spacing w:after="0"/>
              <w:rPr>
                <w:sz w:val="1"/>
                <w:szCs w:val="1"/>
                <w:color w:val="auto"/>
              </w:rPr>
            </w:pPr>
          </w:p>
        </w:tc>
      </w:tr>
      <w:tr>
        <w:trPr>
          <w:trHeight w:val="230"/>
        </w:trPr>
        <w:tc>
          <w:tcPr>
            <w:tcW w:w="3740" w:type="dxa"/>
            <w:vAlign w:val="bottom"/>
          </w:tcPr>
          <w:p>
            <w:pPr>
              <w:spacing w:after="0"/>
              <w:rPr>
                <w:sz w:val="20"/>
                <w:szCs w:val="20"/>
                <w:color w:val="auto"/>
              </w:rPr>
            </w:pPr>
            <w:r>
              <w:rPr>
                <w:rFonts w:ascii="Arial" w:cs="Arial" w:eastAsia="Arial" w:hAnsi="Arial"/>
                <w:sz w:val="18"/>
                <w:szCs w:val="18"/>
                <w:color w:val="auto"/>
              </w:rPr>
              <w:t>Gross margin percentage</w:t>
            </w:r>
          </w:p>
        </w:tc>
        <w:tc>
          <w:tcPr>
            <w:tcW w:w="1220" w:type="dxa"/>
            <w:vAlign w:val="bottom"/>
            <w:gridSpan w:val="3"/>
          </w:tcPr>
          <w:p>
            <w:pPr>
              <w:jc w:val="right"/>
              <w:ind w:right="160"/>
              <w:spacing w:after="0"/>
              <w:rPr>
                <w:sz w:val="20"/>
                <w:szCs w:val="20"/>
                <w:color w:val="auto"/>
              </w:rPr>
            </w:pPr>
            <w:r>
              <w:rPr>
                <w:rFonts w:ascii="Arial" w:cs="Arial" w:eastAsia="Arial" w:hAnsi="Arial"/>
                <w:sz w:val="18"/>
                <w:szCs w:val="18"/>
                <w:color w:val="auto"/>
              </w:rPr>
              <w:t>47.2 %</w:t>
            </w:r>
          </w:p>
        </w:tc>
        <w:tc>
          <w:tcPr>
            <w:tcW w:w="460" w:type="dxa"/>
            <w:vAlign w:val="bottom"/>
          </w:tcPr>
          <w:p>
            <w:pPr>
              <w:spacing w:after="0"/>
              <w:rPr>
                <w:sz w:val="20"/>
                <w:szCs w:val="20"/>
                <w:color w:val="auto"/>
              </w:rPr>
            </w:pPr>
          </w:p>
        </w:tc>
        <w:tc>
          <w:tcPr>
            <w:tcW w:w="620" w:type="dxa"/>
            <w:vAlign w:val="bottom"/>
            <w:gridSpan w:val="3"/>
          </w:tcPr>
          <w:p>
            <w:pPr>
              <w:spacing w:after="0"/>
              <w:rPr>
                <w:sz w:val="20"/>
                <w:szCs w:val="20"/>
                <w:color w:val="auto"/>
              </w:rPr>
            </w:pPr>
            <w:r>
              <w:rPr>
                <w:rFonts w:ascii="Arial" w:cs="Arial" w:eastAsia="Arial" w:hAnsi="Arial"/>
                <w:sz w:val="18"/>
                <w:szCs w:val="18"/>
                <w:color w:val="auto"/>
              </w:rPr>
              <w:t>49.4 %</w:t>
            </w:r>
          </w:p>
        </w:tc>
        <w:tc>
          <w:tcPr>
            <w:tcW w:w="1000" w:type="dxa"/>
            <w:vAlign w:val="bottom"/>
            <w:gridSpan w:val="3"/>
          </w:tcPr>
          <w:p>
            <w:pPr>
              <w:ind w:left="360"/>
              <w:spacing w:after="0"/>
              <w:rPr>
                <w:sz w:val="20"/>
                <w:szCs w:val="20"/>
                <w:color w:val="auto"/>
              </w:rPr>
            </w:pPr>
            <w:r>
              <w:rPr>
                <w:rFonts w:ascii="Arial" w:cs="Arial" w:eastAsia="Arial" w:hAnsi="Arial"/>
                <w:sz w:val="18"/>
                <w:szCs w:val="18"/>
                <w:color w:val="auto"/>
              </w:rPr>
              <w:t>47.4 %</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47.3 %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-556895</wp:posOffset>
            </wp:positionV>
            <wp:extent cx="4989195" cy="13716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4989195" cy="137160"/>
                    </a:xfrm>
                    <a:prstGeom prst="rect">
                      <a:avLst/>
                    </a:prstGeom>
                    <a:noFill/>
                  </pic:spPr>
                </pic:pic>
              </a:graphicData>
            </a:graphic>
          </wp:anchor>
        </w:drawing>
        <w:drawing>
          <wp:anchor simplePos="0" relativeHeight="251657728" behindDoc="1" locked="0" layoutInCell="0" allowOverlap="1">
            <wp:simplePos x="0" y="0"/>
            <wp:positionH relativeFrom="column">
              <wp:posOffset>1076325</wp:posOffset>
            </wp:positionH>
            <wp:positionV relativeFrom="paragraph">
              <wp:posOffset>-282575</wp:posOffset>
            </wp:positionV>
            <wp:extent cx="4989195" cy="13716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4989195" cy="137160"/>
                    </a:xfrm>
                    <a:prstGeom prst="rect">
                      <a:avLst/>
                    </a:prstGeom>
                    <a:noFill/>
                  </pic:spPr>
                </pic:pic>
              </a:graphicData>
            </a:graphic>
          </wp:anchor>
        </w:drawing>
      </w:r>
    </w:p>
    <w:p>
      <w:pPr>
        <w:spacing w:after="0" w:line="19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sets forth cost of revenues (dollars in millions) and percent change in cost of revenues for the periods indicated:</w:t>
      </w:r>
    </w:p>
    <w:p>
      <w:pPr>
        <w:spacing w:after="0" w:line="110"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gridSpan w:val="3"/>
          </w:tcPr>
          <w:p>
            <w:pPr>
              <w:jc w:val="center"/>
              <w:ind w:right="310"/>
              <w:spacing w:after="0"/>
              <w:rPr>
                <w:sz w:val="20"/>
                <w:szCs w:val="20"/>
                <w:color w:val="auto"/>
              </w:rPr>
            </w:pPr>
            <w:r>
              <w:rPr>
                <w:rFonts w:ascii="Arial" w:cs="Arial" w:eastAsia="Arial" w:hAnsi="Arial"/>
                <w:sz w:val="14"/>
                <w:szCs w:val="14"/>
                <w:b w:val="1"/>
                <w:bCs w:val="1"/>
                <w:color w:val="auto"/>
                <w:w w:val="89"/>
              </w:rPr>
              <w:t>Percent</w:t>
            </w: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Percent</w:t>
            </w:r>
          </w:p>
        </w:tc>
        <w:tc>
          <w:tcPr>
            <w:tcW w:w="0" w:type="dxa"/>
            <w:vAlign w:val="bottom"/>
          </w:tcPr>
          <w:p>
            <w:pPr>
              <w:spacing w:after="0"/>
              <w:rPr>
                <w:sz w:val="1"/>
                <w:szCs w:val="1"/>
                <w:color w:val="auto"/>
              </w:rPr>
            </w:pPr>
          </w:p>
        </w:tc>
      </w:tr>
      <w:tr>
        <w:trPr>
          <w:trHeight w:val="148"/>
        </w:trPr>
        <w:tc>
          <w:tcPr>
            <w:tcW w:w="3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gridSpan w:val="3"/>
          </w:tcPr>
          <w:p>
            <w:pPr>
              <w:jc w:val="center"/>
              <w:ind w:right="290"/>
              <w:spacing w:after="0" w:line="149" w:lineRule="exact"/>
              <w:rPr>
                <w:sz w:val="20"/>
                <w:szCs w:val="20"/>
                <w:color w:val="auto"/>
              </w:rPr>
            </w:pPr>
            <w:r>
              <w:rPr>
                <w:rFonts w:ascii="Arial" w:cs="Arial" w:eastAsia="Arial" w:hAnsi="Arial"/>
                <w:sz w:val="14"/>
                <w:szCs w:val="14"/>
                <w:b w:val="1"/>
                <w:bCs w:val="1"/>
                <w:color w:val="auto"/>
                <w:w w:val="92"/>
              </w:rPr>
              <w:t>Change from</w:t>
            </w: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Change from</w:t>
            </w:r>
          </w:p>
        </w:tc>
        <w:tc>
          <w:tcPr>
            <w:tcW w:w="0" w:type="dxa"/>
            <w:vAlign w:val="bottom"/>
          </w:tcPr>
          <w:p>
            <w:pPr>
              <w:spacing w:after="0"/>
              <w:rPr>
                <w:sz w:val="1"/>
                <w:szCs w:val="1"/>
                <w:color w:val="auto"/>
              </w:rPr>
            </w:pPr>
          </w:p>
        </w:tc>
      </w:tr>
      <w:tr>
        <w:trPr>
          <w:trHeight w:val="158"/>
        </w:trPr>
        <w:tc>
          <w:tcPr>
            <w:tcW w:w="3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740" w:type="dxa"/>
            <w:vAlign w:val="bottom"/>
            <w:gridSpan w:val="4"/>
          </w:tcPr>
          <w:p>
            <w:pPr>
              <w:ind w:left="100"/>
              <w:spacing w:after="0" w:line="158" w:lineRule="exact"/>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3"/>
                <w:szCs w:val="13"/>
                <w:color w:val="auto"/>
              </w:rPr>
            </w:pPr>
          </w:p>
        </w:tc>
        <w:tc>
          <w:tcPr>
            <w:tcW w:w="1260" w:type="dxa"/>
            <w:vAlign w:val="bottom"/>
            <w:gridSpan w:val="3"/>
          </w:tcPr>
          <w:p>
            <w:pPr>
              <w:jc w:val="center"/>
              <w:ind w:right="290"/>
              <w:spacing w:after="0" w:line="158" w:lineRule="exact"/>
              <w:rPr>
                <w:sz w:val="20"/>
                <w:szCs w:val="20"/>
                <w:color w:val="auto"/>
              </w:rPr>
            </w:pPr>
            <w:r>
              <w:rPr>
                <w:rFonts w:ascii="Arial" w:cs="Arial" w:eastAsia="Arial" w:hAnsi="Arial"/>
                <w:sz w:val="14"/>
                <w:szCs w:val="14"/>
                <w:b w:val="1"/>
                <w:bCs w:val="1"/>
                <w:color w:val="auto"/>
                <w:w w:val="97"/>
              </w:rPr>
              <w:t>Prior</w:t>
            </w:r>
          </w:p>
        </w:tc>
        <w:tc>
          <w:tcPr>
            <w:tcW w:w="1660" w:type="dxa"/>
            <w:vAlign w:val="bottom"/>
            <w:gridSpan w:val="4"/>
          </w:tcPr>
          <w:p>
            <w:pPr>
              <w:jc w:val="right"/>
              <w:ind w:right="255"/>
              <w:spacing w:after="0" w:line="158" w:lineRule="exact"/>
              <w:rPr>
                <w:sz w:val="20"/>
                <w:szCs w:val="20"/>
                <w:color w:val="auto"/>
              </w:rPr>
            </w:pPr>
            <w:r>
              <w:rPr>
                <w:rFonts w:ascii="Arial" w:cs="Arial" w:eastAsia="Arial" w:hAnsi="Arial"/>
                <w:sz w:val="14"/>
                <w:szCs w:val="14"/>
                <w:b w:val="1"/>
                <w:bCs w:val="1"/>
                <w:color w:val="auto"/>
                <w:w w:val="99"/>
              </w:rPr>
              <w:t>Nine Months Ended</w:t>
            </w:r>
          </w:p>
        </w:tc>
        <w:tc>
          <w:tcPr>
            <w:tcW w:w="180" w:type="dxa"/>
            <w:vAlign w:val="bottom"/>
          </w:tcPr>
          <w:p>
            <w:pPr>
              <w:spacing w:after="0"/>
              <w:rPr>
                <w:sz w:val="13"/>
                <w:szCs w:val="13"/>
                <w:color w:val="auto"/>
              </w:rPr>
            </w:pPr>
          </w:p>
        </w:tc>
        <w:tc>
          <w:tcPr>
            <w:tcW w:w="1040" w:type="dxa"/>
            <w:vAlign w:val="bottom"/>
            <w:gridSpan w:val="2"/>
          </w:tcPr>
          <w:p>
            <w:pPr>
              <w:jc w:val="center"/>
              <w:ind w:right="160"/>
              <w:spacing w:after="0" w:line="158" w:lineRule="exact"/>
              <w:rPr>
                <w:sz w:val="20"/>
                <w:szCs w:val="20"/>
                <w:color w:val="auto"/>
              </w:rPr>
            </w:pPr>
            <w:r>
              <w:rPr>
                <w:rFonts w:ascii="Arial" w:cs="Arial" w:eastAsia="Arial" w:hAnsi="Arial"/>
                <w:sz w:val="14"/>
                <w:szCs w:val="14"/>
                <w:b w:val="1"/>
                <w:bCs w:val="1"/>
                <w:color w:val="auto"/>
                <w:w w:val="97"/>
              </w:rPr>
              <w:t>Prior</w:t>
            </w:r>
          </w:p>
        </w:tc>
        <w:tc>
          <w:tcPr>
            <w:tcW w:w="0" w:type="dxa"/>
            <w:vAlign w:val="bottom"/>
          </w:tcPr>
          <w:p>
            <w:pPr>
              <w:spacing w:after="0"/>
              <w:rPr>
                <w:sz w:val="1"/>
                <w:szCs w:val="1"/>
                <w:color w:val="auto"/>
              </w:rPr>
            </w:pPr>
          </w:p>
        </w:tc>
      </w:tr>
      <w:tr>
        <w:trPr>
          <w:trHeight w:val="189"/>
        </w:trPr>
        <w:tc>
          <w:tcPr>
            <w:tcW w:w="38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4"/>
          </w:tcPr>
          <w:p>
            <w:pPr>
              <w:jc w:val="right"/>
              <w:ind w:right="435"/>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6"/>
                <w:szCs w:val="16"/>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Period</w:t>
            </w:r>
          </w:p>
        </w:tc>
        <w:tc>
          <w:tcPr>
            <w:tcW w:w="1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4"/>
          </w:tcPr>
          <w:p>
            <w:pPr>
              <w:jc w:val="right"/>
              <w:ind w:right="415"/>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6"/>
                <w:szCs w:val="16"/>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Period</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860" w:type="dxa"/>
            <w:vAlign w:val="bottom"/>
            <w:vMerge w:val="restart"/>
          </w:tcPr>
          <w:p>
            <w:pPr>
              <w:spacing w:after="0"/>
              <w:rPr>
                <w:sz w:val="20"/>
                <w:szCs w:val="20"/>
                <w:color w:val="auto"/>
              </w:rPr>
            </w:pPr>
            <w:r>
              <w:rPr>
                <w:rFonts w:ascii="Arial" w:cs="Arial" w:eastAsia="Arial" w:hAnsi="Arial"/>
                <w:sz w:val="18"/>
                <w:szCs w:val="18"/>
                <w:color w:val="auto"/>
              </w:rPr>
              <w:t>Cost of software-enabled services</w:t>
            </w:r>
          </w:p>
        </w:tc>
        <w:tc>
          <w:tcPr>
            <w:tcW w:w="2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2021</w:t>
            </w:r>
          </w:p>
        </w:tc>
        <w:tc>
          <w:tcPr>
            <w:tcW w:w="1280" w:type="dxa"/>
            <w:vAlign w:val="bottom"/>
            <w:gridSpan w:val="3"/>
            <w:vMerge w:val="restart"/>
          </w:tcPr>
          <w:p>
            <w:pPr>
              <w:jc w:val="right"/>
              <w:ind w:right="20"/>
              <w:spacing w:after="0"/>
              <w:rPr>
                <w:sz w:val="20"/>
                <w:szCs w:val="20"/>
                <w:color w:val="auto"/>
              </w:rPr>
            </w:pPr>
            <w:r>
              <w:rPr>
                <w:rFonts w:ascii="Arial" w:cs="Arial" w:eastAsia="Arial" w:hAnsi="Arial"/>
                <w:sz w:val="18"/>
                <w:szCs w:val="18"/>
                <w:color w:val="auto"/>
              </w:rPr>
              <w:t>7.5 %</w:t>
            </w:r>
          </w:p>
        </w:tc>
        <w:tc>
          <w:tcPr>
            <w:tcW w:w="2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2022</w:t>
            </w:r>
          </w:p>
        </w:tc>
        <w:tc>
          <w:tcPr>
            <w:tcW w:w="1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2021</w:t>
            </w:r>
          </w:p>
        </w:tc>
        <w:tc>
          <w:tcPr>
            <w:tcW w:w="1220" w:type="dxa"/>
            <w:vAlign w:val="bottom"/>
            <w:gridSpan w:val="3"/>
            <w:vMerge w:val="restart"/>
          </w:tcPr>
          <w:p>
            <w:pPr>
              <w:jc w:val="right"/>
              <w:spacing w:after="0"/>
              <w:rPr>
                <w:sz w:val="20"/>
                <w:szCs w:val="20"/>
                <w:color w:val="auto"/>
              </w:rPr>
            </w:pPr>
            <w:r>
              <w:rPr>
                <w:rFonts w:ascii="Arial" w:cs="Arial" w:eastAsia="Arial" w:hAnsi="Arial"/>
                <w:sz w:val="18"/>
                <w:szCs w:val="18"/>
                <w:color w:val="auto"/>
              </w:rPr>
              <w:t>4.0 %</w:t>
            </w:r>
          </w:p>
        </w:tc>
        <w:tc>
          <w:tcPr>
            <w:tcW w:w="0" w:type="dxa"/>
            <w:vAlign w:val="bottom"/>
          </w:tcPr>
          <w:p>
            <w:pPr>
              <w:spacing w:after="0"/>
              <w:rPr>
                <w:sz w:val="1"/>
                <w:szCs w:val="1"/>
                <w:color w:val="auto"/>
              </w:rPr>
            </w:pPr>
          </w:p>
        </w:tc>
      </w:tr>
      <w:tr>
        <w:trPr>
          <w:trHeight w:val="210"/>
        </w:trPr>
        <w:tc>
          <w:tcPr>
            <w:tcW w:w="3860" w:type="dxa"/>
            <w:vAlign w:val="bottom"/>
            <w:vMerge w:val="continue"/>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605.8</w:t>
            </w:r>
          </w:p>
        </w:tc>
        <w:tc>
          <w:tcPr>
            <w:tcW w:w="2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563.7</w:t>
            </w:r>
          </w:p>
        </w:tc>
        <w:tc>
          <w:tcPr>
            <w:tcW w:w="1280" w:type="dxa"/>
            <w:vAlign w:val="bottom"/>
            <w:gridSpan w:val="3"/>
            <w:vMerge w:val="continue"/>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9"/>
              </w:rPr>
              <w:t>1,811.6</w:t>
            </w:r>
          </w:p>
        </w:tc>
        <w:tc>
          <w:tcPr>
            <w:tcW w:w="18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9"/>
              </w:rPr>
              <w:t>1,742.0</w:t>
            </w:r>
          </w:p>
        </w:tc>
        <w:tc>
          <w:tcPr>
            <w:tcW w:w="122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Cost of license, maintenance and related</w:t>
            </w: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91.4</w:t>
            </w:r>
          </w:p>
        </w:tc>
        <w:tc>
          <w:tcPr>
            <w:tcW w:w="2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76.7</w:t>
            </w:r>
          </w:p>
        </w:tc>
        <w:tc>
          <w:tcPr>
            <w:tcW w:w="1280" w:type="dxa"/>
            <w:vAlign w:val="bottom"/>
            <w:gridSpan w:val="3"/>
          </w:tcPr>
          <w:p>
            <w:pPr>
              <w:jc w:val="right"/>
              <w:ind w:right="20"/>
              <w:spacing w:after="0"/>
              <w:rPr>
                <w:sz w:val="20"/>
                <w:szCs w:val="20"/>
                <w:color w:val="auto"/>
              </w:rPr>
            </w:pPr>
            <w:r>
              <w:rPr>
                <w:rFonts w:ascii="Arial" w:cs="Arial" w:eastAsia="Arial" w:hAnsi="Arial"/>
                <w:sz w:val="18"/>
                <w:szCs w:val="18"/>
                <w:color w:val="auto"/>
              </w:rPr>
              <w:t>19.2 %</w:t>
            </w:r>
          </w:p>
        </w:tc>
        <w:tc>
          <w:tcPr>
            <w:tcW w:w="2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265.2</w:t>
            </w:r>
          </w:p>
        </w:tc>
        <w:tc>
          <w:tcPr>
            <w:tcW w:w="1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236.7</w:t>
            </w: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12.0 %</w:t>
            </w:r>
          </w:p>
        </w:tc>
        <w:tc>
          <w:tcPr>
            <w:tcW w:w="0" w:type="dxa"/>
            <w:vAlign w:val="bottom"/>
          </w:tcPr>
          <w:p>
            <w:pPr>
              <w:spacing w:after="0"/>
              <w:rPr>
                <w:sz w:val="1"/>
                <w:szCs w:val="1"/>
                <w:color w:val="auto"/>
              </w:rPr>
            </w:pPr>
          </w:p>
        </w:tc>
      </w:tr>
      <w:tr>
        <w:trPr>
          <w:trHeight w:val="209"/>
        </w:trPr>
        <w:tc>
          <w:tcPr>
            <w:tcW w:w="3860" w:type="dxa"/>
            <w:vAlign w:val="bottom"/>
          </w:tcPr>
          <w:p>
            <w:pPr>
              <w:ind w:left="180"/>
              <w:spacing w:after="0"/>
              <w:rPr>
                <w:sz w:val="20"/>
                <w:szCs w:val="20"/>
                <w:color w:val="auto"/>
              </w:rPr>
            </w:pPr>
            <w:r>
              <w:rPr>
                <w:rFonts w:ascii="Arial" w:cs="Arial" w:eastAsia="Arial" w:hAnsi="Arial"/>
                <w:sz w:val="18"/>
                <w:szCs w:val="18"/>
                <w:color w:val="auto"/>
              </w:rPr>
              <w:t>Total cost of revenues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697.2</w:t>
            </w:r>
          </w:p>
        </w:tc>
        <w:tc>
          <w:tcPr>
            <w:tcW w:w="20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640.4</w:t>
            </w:r>
          </w:p>
        </w:tc>
        <w:tc>
          <w:tcPr>
            <w:tcW w:w="1280" w:type="dxa"/>
            <w:vAlign w:val="bottom"/>
            <w:gridSpan w:val="3"/>
          </w:tcPr>
          <w:p>
            <w:pPr>
              <w:jc w:val="right"/>
              <w:ind w:right="20"/>
              <w:spacing w:after="0"/>
              <w:rPr>
                <w:sz w:val="20"/>
                <w:szCs w:val="20"/>
                <w:color w:val="auto"/>
              </w:rPr>
            </w:pPr>
            <w:r>
              <w:rPr>
                <w:rFonts w:ascii="Arial" w:cs="Arial" w:eastAsia="Arial" w:hAnsi="Arial"/>
                <w:sz w:val="18"/>
                <w:szCs w:val="18"/>
                <w:color w:val="auto"/>
              </w:rPr>
              <w:t>8.9 %</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2,076.8</w:t>
            </w:r>
          </w:p>
        </w:tc>
        <w:tc>
          <w:tcPr>
            <w:tcW w:w="18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1,978.7</w:t>
            </w: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5.0 %</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-445135</wp:posOffset>
            </wp:positionV>
            <wp:extent cx="6412230" cy="13716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412230" cy="137160"/>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-162560</wp:posOffset>
            </wp:positionV>
            <wp:extent cx="6412230" cy="16319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412230" cy="163195"/>
                    </a:xfrm>
                    <a:prstGeom prst="rect">
                      <a:avLst/>
                    </a:prstGeom>
                    <a:noFill/>
                  </pic:spPr>
                </pic:pic>
              </a:graphicData>
            </a:graphic>
          </wp:anchor>
        </w:drawing>
      </w:r>
    </w:p>
    <w:p>
      <w:pPr>
        <w:spacing w:after="0" w:line="168" w:lineRule="exact"/>
        <w:rPr>
          <w:sz w:val="20"/>
          <w:szCs w:val="20"/>
          <w:color w:val="auto"/>
        </w:rPr>
      </w:pPr>
    </w:p>
    <w:p>
      <w:pPr>
        <w:ind w:right="20" w:firstLine="509"/>
        <w:spacing w:after="0" w:line="260" w:lineRule="auto"/>
        <w:rPr>
          <w:sz w:val="20"/>
          <w:szCs w:val="20"/>
          <w:color w:val="auto"/>
        </w:rPr>
      </w:pPr>
      <w:r>
        <w:rPr>
          <w:rFonts w:ascii="Arial" w:cs="Arial" w:eastAsia="Arial" w:hAnsi="Arial"/>
          <w:sz w:val="17"/>
          <w:szCs w:val="17"/>
          <w:i w:val="1"/>
          <w:iCs w:val="1"/>
          <w:color w:val="auto"/>
        </w:rPr>
        <w:t>Three Months Ended September 30, 2022 and 2021</w:t>
      </w:r>
      <w:r>
        <w:rPr>
          <w:rFonts w:ascii="Arial" w:cs="Arial" w:eastAsia="Arial" w:hAnsi="Arial"/>
          <w:sz w:val="17"/>
          <w:szCs w:val="17"/>
          <w:color w:val="auto"/>
        </w:rPr>
        <w:t>. Our total cost of revenues increased by $56.8 million, or 8.9%, primarily due to an increase of</w:t>
      </w:r>
      <w:r>
        <w:rPr>
          <w:rFonts w:ascii="Arial" w:cs="Arial" w:eastAsia="Arial" w:hAnsi="Arial"/>
          <w:sz w:val="17"/>
          <w:szCs w:val="17"/>
          <w:i w:val="1"/>
          <w:iCs w:val="1"/>
          <w:color w:val="auto"/>
        </w:rPr>
        <w:t xml:space="preserve"> </w:t>
      </w:r>
      <w:r>
        <w:rPr>
          <w:rFonts w:ascii="Arial" w:cs="Arial" w:eastAsia="Arial" w:hAnsi="Arial"/>
          <w:sz w:val="17"/>
          <w:szCs w:val="17"/>
          <w:color w:val="auto"/>
        </w:rPr>
        <w:t>$57.7 million in organic costs and acquisitions, which added $19.6 million in costs. These increases were partially offset by the favorable impact from foreign currency translation, which decreased costs by $20.5 million. Organic cost increases are primarily due to personnel costs, including the impact of wage inflation and costs to support organic growth. These increases were partially offset by decreases in stock-based compensation expense, depreciation, amortization and rent expense. Cost of software-enabled services revenues increased $42.1 million, or 7.5%, primarily due to an increase of $54.1 million in organic costs and acquisitions, which added $6.0 million in costs. These costs were partially offset by the favorable impact from foreign currency translation which decreased costs by $18.0 million. Cost of license, maintenance and related revenues increased $14.7 million, or 19.2%, primarily due to acquisitions, which added $13.6 million in costs, as well as an increase in organic costs of $3.6 million, partially offset by the favorable impact from foreign currency translation of $2.5 million.</w:t>
      </w:r>
    </w:p>
    <w:p>
      <w:pPr>
        <w:spacing w:after="0" w:line="65" w:lineRule="exact"/>
        <w:rPr>
          <w:sz w:val="20"/>
          <w:szCs w:val="20"/>
          <w:color w:val="auto"/>
        </w:rPr>
      </w:pPr>
    </w:p>
    <w:p>
      <w:pPr>
        <w:ind w:firstLine="509"/>
        <w:spacing w:after="0" w:line="258" w:lineRule="auto"/>
        <w:rPr>
          <w:sz w:val="20"/>
          <w:szCs w:val="20"/>
          <w:color w:val="auto"/>
        </w:rPr>
      </w:pPr>
      <w:r>
        <w:rPr>
          <w:rFonts w:ascii="Arial" w:cs="Arial" w:eastAsia="Arial" w:hAnsi="Arial"/>
          <w:sz w:val="17"/>
          <w:szCs w:val="17"/>
          <w:i w:val="1"/>
          <w:iCs w:val="1"/>
          <w:color w:val="auto"/>
        </w:rPr>
        <w:t>Nine Months Ended September 30, 2022 and 2021</w:t>
      </w:r>
      <w:r>
        <w:rPr>
          <w:rFonts w:ascii="Arial" w:cs="Arial" w:eastAsia="Arial" w:hAnsi="Arial"/>
          <w:sz w:val="17"/>
          <w:szCs w:val="17"/>
          <w:color w:val="auto"/>
        </w:rPr>
        <w:t>. Our total cost of revenues increased by $98.1 million, or 5.0%, primarily due to an increase of</w:t>
      </w:r>
      <w:r>
        <w:rPr>
          <w:rFonts w:ascii="Arial" w:cs="Arial" w:eastAsia="Arial" w:hAnsi="Arial"/>
          <w:sz w:val="17"/>
          <w:szCs w:val="17"/>
          <w:i w:val="1"/>
          <w:iCs w:val="1"/>
          <w:color w:val="auto"/>
        </w:rPr>
        <w:t xml:space="preserve"> </w:t>
      </w:r>
      <w:r>
        <w:rPr>
          <w:rFonts w:ascii="Arial" w:cs="Arial" w:eastAsia="Arial" w:hAnsi="Arial"/>
          <w:sz w:val="17"/>
          <w:szCs w:val="17"/>
          <w:color w:val="auto"/>
        </w:rPr>
        <w:t>$92.6 million in organic costs and acquisitions, which added $46.7 million in costs. These costs were partially offset by the favorable impact from foreign currency translation, which decreased costs by $41.2 million. Organic cost increases are primarily due to personnel costs, including the impact of wage inflation, costs to support organic growth and travel and entertainment expenses. These increases were partially offset by decreases in depreciation, amortization and rent expense. Cost of software-enabled services revenues increased $69.6 million, or 4.0%, primarily due to an increase of $89.5 million in organic costs, and acquisitions, which added $15.7 million in costs. These increases were partially offset by the favorable impact from foreign currency translation, which decreased costs by $35.6 million. Cost of license, maintenance and related revenues increased $28.5 million, or 12.0%, primarily due to acquisitions, which added $31.0 million in costs, and an increase of $3.1 million in organic costs, partially offset by the favorable impact from foreign currency translation of $5.6 million.</w:t>
      </w:r>
    </w:p>
    <w:p>
      <w:pPr>
        <w:spacing w:after="0" w:line="200" w:lineRule="exact"/>
        <w:rPr>
          <w:sz w:val="20"/>
          <w:szCs w:val="20"/>
          <w:color w:val="auto"/>
        </w:rPr>
      </w:pPr>
    </w:p>
    <w:p>
      <w:pPr>
        <w:spacing w:after="0" w:line="36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436" w:right="419" w:bottom="1440" w:gutter="0" w:footer="0" w:header="0"/>
        </w:sectPr>
      </w:pPr>
    </w:p>
    <w:bookmarkStart w:id="22" w:name="page23"/>
    <w:bookmarkEnd w:id="22"/>
    <w:p>
      <w:pPr>
        <w:spacing w:after="0"/>
        <w:rPr>
          <w:sz w:val="20"/>
          <w:szCs w:val="20"/>
          <w:color w:val="auto"/>
        </w:rPr>
      </w:pPr>
      <w:r>
        <w:rPr>
          <w:rFonts w:ascii="Arial" w:cs="Arial" w:eastAsia="Arial" w:hAnsi="Arial"/>
          <w:sz w:val="18"/>
          <w:szCs w:val="18"/>
          <w:i w:val="1"/>
          <w:iCs w:val="1"/>
          <w:color w:val="auto"/>
        </w:rPr>
        <w:t>Operating Expenses</w:t>
      </w:r>
    </w:p>
    <w:p>
      <w:pPr>
        <w:spacing w:after="0" w:line="117" w:lineRule="exact"/>
        <w:rPr>
          <w:sz w:val="20"/>
          <w:szCs w:val="20"/>
          <w:color w:val="auto"/>
        </w:rPr>
      </w:pPr>
    </w:p>
    <w:p>
      <w:pPr>
        <w:ind w:firstLine="509"/>
        <w:spacing w:after="0" w:line="243" w:lineRule="auto"/>
        <w:rPr>
          <w:sz w:val="20"/>
          <w:szCs w:val="20"/>
          <w:color w:val="auto"/>
        </w:rPr>
      </w:pPr>
      <w:r>
        <w:rPr>
          <w:rFonts w:ascii="Arial" w:cs="Arial" w:eastAsia="Arial" w:hAnsi="Arial"/>
          <w:sz w:val="18"/>
          <w:szCs w:val="18"/>
          <w:color w:val="auto"/>
        </w:rPr>
        <w:t>Selling and marketing expenses consist primarily of the personnel costs associated with the selling and marketing of our products, including salaries, commissions and travel and entertainment. Such expenses also include amortization of intangible assets, the cost of branch sales offices, trade shows and marketing and promotional materials. Research and development expenses consist primarily of personnel costs attributable to the enhancement of existing products and the development of new software products. General and administrative expenses consist primarily of personnel costs related to management, accounting and finance, information management, human resources and administration and associated overhead costs, as well as fees for professional services.</w:t>
      </w:r>
    </w:p>
    <w:p>
      <w:pPr>
        <w:spacing w:after="0" w:line="160"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table sets forth the percentage of our total revenues represented by each of the following operating expenses for the periods indicated:</w:t>
      </w:r>
    </w:p>
    <w:p>
      <w:pPr>
        <w:spacing w:after="0" w:line="119"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3720" w:type="dxa"/>
            <w:vAlign w:val="bottom"/>
          </w:tcPr>
          <w:p>
            <w:pPr>
              <w:spacing w:after="0"/>
              <w:rPr>
                <w:sz w:val="14"/>
                <w:szCs w:val="14"/>
                <w:color w:val="auto"/>
              </w:rPr>
            </w:pPr>
          </w:p>
        </w:tc>
        <w:tc>
          <w:tcPr>
            <w:tcW w:w="2280" w:type="dxa"/>
            <w:vAlign w:val="bottom"/>
            <w:gridSpan w:val="7"/>
          </w:tcPr>
          <w:p>
            <w:pPr>
              <w:ind w:left="320"/>
              <w:spacing w:after="0"/>
              <w:rPr>
                <w:sz w:val="20"/>
                <w:szCs w:val="20"/>
                <w:color w:val="auto"/>
              </w:rPr>
            </w:pPr>
            <w:r>
              <w:rPr>
                <w:rFonts w:ascii="Arial" w:cs="Arial" w:eastAsia="Arial" w:hAnsi="Arial"/>
                <w:sz w:val="14"/>
                <w:szCs w:val="14"/>
                <w:b w:val="1"/>
                <w:bCs w:val="1"/>
                <w:color w:val="auto"/>
              </w:rPr>
              <w:t>Three Months Ended</w:t>
            </w:r>
          </w:p>
        </w:tc>
        <w:tc>
          <w:tcPr>
            <w:tcW w:w="1940" w:type="dxa"/>
            <w:vAlign w:val="bottom"/>
            <w:gridSpan w:val="5"/>
          </w:tcPr>
          <w:p>
            <w:pPr>
              <w:jc w:val="center"/>
              <w:ind w:right="250"/>
              <w:spacing w:after="0"/>
              <w:rPr>
                <w:sz w:val="20"/>
                <w:szCs w:val="20"/>
                <w:color w:val="auto"/>
              </w:rPr>
            </w:pPr>
            <w:r>
              <w:rPr>
                <w:rFonts w:ascii="Arial" w:cs="Arial" w:eastAsia="Arial" w:hAnsi="Arial"/>
                <w:sz w:val="14"/>
                <w:szCs w:val="14"/>
                <w:b w:val="1"/>
                <w:bCs w:val="1"/>
                <w:color w:val="auto"/>
                <w:w w:val="94"/>
              </w:rPr>
              <w:t>Nine Months Ended</w:t>
            </w:r>
          </w:p>
        </w:tc>
        <w:tc>
          <w:tcPr>
            <w:tcW w:w="0" w:type="dxa"/>
            <w:vAlign w:val="bottom"/>
          </w:tcPr>
          <w:p>
            <w:pPr>
              <w:spacing w:after="0"/>
              <w:rPr>
                <w:sz w:val="1"/>
                <w:szCs w:val="1"/>
                <w:color w:val="auto"/>
              </w:rPr>
            </w:pPr>
          </w:p>
        </w:tc>
      </w:tr>
      <w:tr>
        <w:trPr>
          <w:trHeight w:val="185"/>
        </w:trPr>
        <w:tc>
          <w:tcPr>
            <w:tcW w:w="3720" w:type="dxa"/>
            <w:vAlign w:val="bottom"/>
          </w:tcPr>
          <w:p>
            <w:pPr>
              <w:spacing w:after="0"/>
              <w:rPr>
                <w:sz w:val="16"/>
                <w:szCs w:val="16"/>
                <w:color w:val="auto"/>
              </w:rPr>
            </w:pPr>
          </w:p>
        </w:tc>
        <w:tc>
          <w:tcPr>
            <w:tcW w:w="1980" w:type="dxa"/>
            <w:vAlign w:val="bottom"/>
            <w:tcBorders>
              <w:bottom w:val="single" w:sz="8" w:color="auto"/>
            </w:tcBorders>
            <w:gridSpan w:val="4"/>
          </w:tcPr>
          <w:p>
            <w:pPr>
              <w:jc w:val="right"/>
              <w:ind w:right="474"/>
              <w:spacing w:after="0"/>
              <w:rPr>
                <w:sz w:val="20"/>
                <w:szCs w:val="20"/>
                <w:color w:val="auto"/>
              </w:rPr>
            </w:pPr>
            <w:r>
              <w:rPr>
                <w:rFonts w:ascii="Arial" w:cs="Arial" w:eastAsia="Arial" w:hAnsi="Arial"/>
                <w:sz w:val="14"/>
                <w:szCs w:val="14"/>
                <w:b w:val="1"/>
                <w:bCs w:val="1"/>
                <w:color w:val="auto"/>
              </w:rPr>
              <w:t>September 30,</w:t>
            </w:r>
          </w:p>
        </w:tc>
        <w:tc>
          <w:tcPr>
            <w:tcW w:w="80" w:type="dxa"/>
            <w:vAlign w:val="bottom"/>
          </w:tcPr>
          <w:p>
            <w:pPr>
              <w:spacing w:after="0"/>
              <w:rPr>
                <w:sz w:val="16"/>
                <w:szCs w:val="16"/>
                <w:color w:val="auto"/>
              </w:rPr>
            </w:pPr>
          </w:p>
        </w:tc>
        <w:tc>
          <w:tcPr>
            <w:tcW w:w="220" w:type="dxa"/>
            <w:vAlign w:val="bottom"/>
            <w:tcBorders>
              <w:bottom w:val="single" w:sz="8" w:color="auto"/>
            </w:tcBorders>
            <w:gridSpan w:val="2"/>
          </w:tcPr>
          <w:p>
            <w:pPr>
              <w:spacing w:after="0"/>
              <w:rPr>
                <w:sz w:val="16"/>
                <w:szCs w:val="16"/>
                <w:color w:val="auto"/>
              </w:rPr>
            </w:pPr>
          </w:p>
        </w:tc>
        <w:tc>
          <w:tcPr>
            <w:tcW w:w="1780" w:type="dxa"/>
            <w:vAlign w:val="bottom"/>
            <w:tcBorders>
              <w:bottom w:val="single" w:sz="8" w:color="auto"/>
            </w:tcBorders>
            <w:gridSpan w:val="4"/>
          </w:tcPr>
          <w:p>
            <w:pPr>
              <w:jc w:val="center"/>
              <w:ind w:right="54"/>
              <w:spacing w:after="0"/>
              <w:rPr>
                <w:sz w:val="20"/>
                <w:szCs w:val="20"/>
                <w:color w:val="auto"/>
              </w:rPr>
            </w:pPr>
            <w:r>
              <w:rPr>
                <w:rFonts w:ascii="Arial" w:cs="Arial" w:eastAsia="Arial" w:hAnsi="Arial"/>
                <w:sz w:val="14"/>
                <w:szCs w:val="14"/>
                <w:b w:val="1"/>
                <w:bCs w:val="1"/>
                <w:color w:val="auto"/>
                <w:w w:val="91"/>
              </w:rPr>
              <w:t>September 30,</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720" w:type="dxa"/>
            <w:vAlign w:val="bottom"/>
            <w:vMerge w:val="restart"/>
          </w:tcPr>
          <w:p>
            <w:pPr>
              <w:spacing w:after="0"/>
              <w:rPr>
                <w:sz w:val="20"/>
                <w:szCs w:val="20"/>
                <w:color w:val="auto"/>
              </w:rPr>
            </w:pPr>
            <w:r>
              <w:rPr>
                <w:rFonts w:ascii="Arial" w:cs="Arial" w:eastAsia="Arial" w:hAnsi="Arial"/>
                <w:sz w:val="18"/>
                <w:szCs w:val="18"/>
                <w:color w:val="auto"/>
              </w:rPr>
              <w:t>Selling and marketing</w:t>
            </w:r>
          </w:p>
        </w:tc>
        <w:tc>
          <w:tcPr>
            <w:tcW w:w="880" w:type="dxa"/>
            <w:vAlign w:val="bottom"/>
            <w:tcBorders>
              <w:bottom w:val="single" w:sz="8" w:color="auto"/>
            </w:tcBorders>
          </w:tcPr>
          <w:p>
            <w:pPr>
              <w:jc w:val="right"/>
              <w:ind w:right="218"/>
              <w:spacing w:after="0"/>
              <w:rPr>
                <w:sz w:val="20"/>
                <w:szCs w:val="20"/>
                <w:color w:val="auto"/>
              </w:rPr>
            </w:pPr>
            <w:r>
              <w:rPr>
                <w:rFonts w:ascii="Arial" w:cs="Arial" w:eastAsia="Arial" w:hAnsi="Arial"/>
                <w:sz w:val="14"/>
                <w:szCs w:val="14"/>
                <w:b w:val="1"/>
                <w:bCs w:val="1"/>
                <w:color w:val="auto"/>
              </w:rPr>
              <w:t>2022</w:t>
            </w: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87"/>
              </w:rPr>
              <w:t>%</w:t>
            </w: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2021</w:t>
            </w:r>
          </w:p>
        </w:tc>
        <w:tc>
          <w:tcPr>
            <w:tcW w:w="160" w:type="dxa"/>
            <w:vAlign w:val="bottom"/>
            <w:gridSpan w:val="2"/>
            <w:vMerge w:val="restart"/>
          </w:tcPr>
          <w:p>
            <w:pPr>
              <w:jc w:val="right"/>
              <w:spacing w:after="0"/>
              <w:rPr>
                <w:sz w:val="20"/>
                <w:szCs w:val="20"/>
                <w:color w:val="auto"/>
              </w:rPr>
            </w:pPr>
            <w:r>
              <w:rPr>
                <w:rFonts w:ascii="Arial" w:cs="Arial" w:eastAsia="Arial" w:hAnsi="Arial"/>
                <w:sz w:val="18"/>
                <w:szCs w:val="18"/>
                <w:color w:val="auto"/>
                <w:w w:val="87"/>
              </w:rPr>
              <w:t>%</w:t>
            </w: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18"/>
              <w:spacing w:after="0"/>
              <w:rPr>
                <w:sz w:val="20"/>
                <w:szCs w:val="20"/>
                <w:color w:val="auto"/>
              </w:rPr>
            </w:pPr>
            <w:r>
              <w:rPr>
                <w:rFonts w:ascii="Arial" w:cs="Arial" w:eastAsia="Arial" w:hAnsi="Arial"/>
                <w:sz w:val="14"/>
                <w:szCs w:val="14"/>
                <w:b w:val="1"/>
                <w:bCs w:val="1"/>
                <w:color w:val="auto"/>
              </w:rPr>
              <w:t>2022</w:t>
            </w:r>
          </w:p>
        </w:tc>
        <w:tc>
          <w:tcPr>
            <w:tcW w:w="140" w:type="dxa"/>
            <w:vAlign w:val="bottom"/>
            <w:vMerge w:val="restart"/>
          </w:tcPr>
          <w:p>
            <w:pPr>
              <w:jc w:val="center"/>
              <w:spacing w:after="0"/>
              <w:rPr>
                <w:sz w:val="20"/>
                <w:szCs w:val="20"/>
                <w:color w:val="auto"/>
              </w:rPr>
            </w:pPr>
            <w:r>
              <w:rPr>
                <w:rFonts w:ascii="Arial" w:cs="Arial" w:eastAsia="Arial" w:hAnsi="Arial"/>
                <w:sz w:val="18"/>
                <w:szCs w:val="18"/>
                <w:color w:val="auto"/>
                <w:w w:val="87"/>
              </w:rPr>
              <w:t>%</w:t>
            </w: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2021</w:t>
            </w: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9"/>
        </w:trPr>
        <w:tc>
          <w:tcPr>
            <w:tcW w:w="3720" w:type="dxa"/>
            <w:vAlign w:val="bottom"/>
            <w:vMerge w:val="continue"/>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9.2</w:t>
            </w:r>
          </w:p>
        </w:tc>
        <w:tc>
          <w:tcPr>
            <w:tcW w:w="16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7.6</w:t>
            </w:r>
          </w:p>
        </w:tc>
        <w:tc>
          <w:tcPr>
            <w:tcW w:w="1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9.4</w:t>
            </w:r>
          </w:p>
        </w:tc>
        <w:tc>
          <w:tcPr>
            <w:tcW w:w="14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7.6</w:t>
            </w:r>
          </w:p>
        </w:tc>
        <w:tc>
          <w:tcPr>
            <w:tcW w:w="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200" w:type="dxa"/>
            <w:vAlign w:val="bottom"/>
            <w:gridSpan w:val="3"/>
          </w:tcPr>
          <w:p>
            <w:pPr>
              <w:jc w:val="right"/>
              <w:ind w:right="160"/>
              <w:spacing w:after="0"/>
              <w:rPr>
                <w:sz w:val="20"/>
                <w:szCs w:val="20"/>
                <w:color w:val="auto"/>
              </w:rPr>
            </w:pPr>
            <w:r>
              <w:rPr>
                <w:rFonts w:ascii="Arial" w:cs="Arial" w:eastAsia="Arial" w:hAnsi="Arial"/>
                <w:sz w:val="18"/>
                <w:szCs w:val="18"/>
                <w:color w:val="auto"/>
              </w:rPr>
              <w:t>8.1 %</w:t>
            </w:r>
          </w:p>
        </w:tc>
        <w:tc>
          <w:tcPr>
            <w:tcW w:w="1080" w:type="dxa"/>
            <w:vAlign w:val="bottom"/>
            <w:gridSpan w:val="4"/>
          </w:tcPr>
          <w:p>
            <w:pPr>
              <w:jc w:val="right"/>
              <w:ind w:right="140"/>
              <w:spacing w:after="0"/>
              <w:rPr>
                <w:sz w:val="20"/>
                <w:szCs w:val="20"/>
                <w:color w:val="auto"/>
              </w:rPr>
            </w:pPr>
            <w:r>
              <w:rPr>
                <w:rFonts w:ascii="Arial" w:cs="Arial" w:eastAsia="Arial" w:hAnsi="Arial"/>
                <w:sz w:val="18"/>
                <w:szCs w:val="18"/>
                <w:color w:val="auto"/>
              </w:rPr>
              <w:t>7.7 %</w:t>
            </w:r>
          </w:p>
        </w:tc>
        <w:tc>
          <w:tcPr>
            <w:tcW w:w="1040" w:type="dxa"/>
            <w:vAlign w:val="bottom"/>
            <w:gridSpan w:val="3"/>
          </w:tcPr>
          <w:p>
            <w:pPr>
              <w:jc w:val="right"/>
              <w:ind w:right="140"/>
              <w:spacing w:after="0"/>
              <w:rPr>
                <w:sz w:val="20"/>
                <w:szCs w:val="20"/>
                <w:color w:val="auto"/>
              </w:rPr>
            </w:pPr>
            <w:r>
              <w:rPr>
                <w:rFonts w:ascii="Arial" w:cs="Arial" w:eastAsia="Arial" w:hAnsi="Arial"/>
                <w:sz w:val="18"/>
                <w:szCs w:val="18"/>
                <w:color w:val="auto"/>
              </w:rPr>
              <w:t>8.4 %</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8.2 %</w:t>
            </w: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200" w:type="dxa"/>
            <w:vAlign w:val="bottom"/>
            <w:gridSpan w:val="3"/>
          </w:tcPr>
          <w:p>
            <w:pPr>
              <w:jc w:val="right"/>
              <w:ind w:right="160"/>
              <w:spacing w:after="0"/>
              <w:rPr>
                <w:sz w:val="20"/>
                <w:szCs w:val="20"/>
                <w:color w:val="auto"/>
              </w:rPr>
            </w:pPr>
            <w:r>
              <w:rPr>
                <w:rFonts w:ascii="Arial" w:cs="Arial" w:eastAsia="Arial" w:hAnsi="Arial"/>
                <w:sz w:val="18"/>
                <w:szCs w:val="18"/>
                <w:color w:val="auto"/>
              </w:rPr>
              <w:t>6.9 %</w:t>
            </w:r>
          </w:p>
        </w:tc>
        <w:tc>
          <w:tcPr>
            <w:tcW w:w="1080" w:type="dxa"/>
            <w:vAlign w:val="bottom"/>
            <w:gridSpan w:val="4"/>
          </w:tcPr>
          <w:p>
            <w:pPr>
              <w:jc w:val="right"/>
              <w:ind w:right="140"/>
              <w:spacing w:after="0"/>
              <w:rPr>
                <w:sz w:val="20"/>
                <w:szCs w:val="20"/>
                <w:color w:val="auto"/>
              </w:rPr>
            </w:pPr>
            <w:r>
              <w:rPr>
                <w:rFonts w:ascii="Arial" w:cs="Arial" w:eastAsia="Arial" w:hAnsi="Arial"/>
                <w:sz w:val="18"/>
                <w:szCs w:val="18"/>
                <w:color w:val="auto"/>
              </w:rPr>
              <w:t>7.1 %</w:t>
            </w:r>
          </w:p>
        </w:tc>
        <w:tc>
          <w:tcPr>
            <w:tcW w:w="1040" w:type="dxa"/>
            <w:vAlign w:val="bottom"/>
            <w:gridSpan w:val="3"/>
          </w:tcPr>
          <w:p>
            <w:pPr>
              <w:jc w:val="right"/>
              <w:ind w:right="140"/>
              <w:spacing w:after="0"/>
              <w:rPr>
                <w:sz w:val="20"/>
                <w:szCs w:val="20"/>
                <w:color w:val="auto"/>
              </w:rPr>
            </w:pPr>
            <w:r>
              <w:rPr>
                <w:rFonts w:ascii="Arial" w:cs="Arial" w:eastAsia="Arial" w:hAnsi="Arial"/>
                <w:sz w:val="18"/>
                <w:szCs w:val="18"/>
                <w:color w:val="auto"/>
              </w:rPr>
              <w:t>8.2 %</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7.0 %</w:t>
            </w: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20" w:type="dxa"/>
            <w:vAlign w:val="bottom"/>
          </w:tcPr>
          <w:p>
            <w:pPr>
              <w:ind w:left="180"/>
              <w:spacing w:after="0"/>
              <w:rPr>
                <w:sz w:val="20"/>
                <w:szCs w:val="20"/>
                <w:color w:val="auto"/>
              </w:rPr>
            </w:pPr>
            <w:r>
              <w:rPr>
                <w:rFonts w:ascii="Arial" w:cs="Arial" w:eastAsia="Arial" w:hAnsi="Arial"/>
                <w:sz w:val="18"/>
                <w:szCs w:val="18"/>
                <w:color w:val="auto"/>
              </w:rPr>
              <w:t>Total operating expenses</w:t>
            </w:r>
          </w:p>
        </w:tc>
        <w:tc>
          <w:tcPr>
            <w:tcW w:w="1200" w:type="dxa"/>
            <w:vAlign w:val="bottom"/>
            <w:gridSpan w:val="3"/>
          </w:tcPr>
          <w:p>
            <w:pPr>
              <w:jc w:val="right"/>
              <w:ind w:right="160"/>
              <w:spacing w:after="0"/>
              <w:rPr>
                <w:sz w:val="20"/>
                <w:szCs w:val="20"/>
                <w:color w:val="auto"/>
              </w:rPr>
            </w:pPr>
            <w:r>
              <w:rPr>
                <w:rFonts w:ascii="Arial" w:cs="Arial" w:eastAsia="Arial" w:hAnsi="Arial"/>
                <w:sz w:val="18"/>
                <w:szCs w:val="18"/>
                <w:color w:val="auto"/>
              </w:rPr>
              <w:t>24.2 %</w:t>
            </w:r>
          </w:p>
        </w:tc>
        <w:tc>
          <w:tcPr>
            <w:tcW w:w="1080" w:type="dxa"/>
            <w:vAlign w:val="bottom"/>
            <w:gridSpan w:val="4"/>
          </w:tcPr>
          <w:p>
            <w:pPr>
              <w:jc w:val="right"/>
              <w:ind w:right="140"/>
              <w:spacing w:after="0"/>
              <w:rPr>
                <w:sz w:val="20"/>
                <w:szCs w:val="20"/>
                <w:color w:val="auto"/>
              </w:rPr>
            </w:pPr>
            <w:r>
              <w:rPr>
                <w:rFonts w:ascii="Arial" w:cs="Arial" w:eastAsia="Arial" w:hAnsi="Arial"/>
                <w:sz w:val="18"/>
                <w:szCs w:val="18"/>
                <w:color w:val="auto"/>
              </w:rPr>
              <w:t>22.4 %</w:t>
            </w:r>
          </w:p>
        </w:tc>
        <w:tc>
          <w:tcPr>
            <w:tcW w:w="1040" w:type="dxa"/>
            <w:vAlign w:val="bottom"/>
            <w:gridSpan w:val="3"/>
          </w:tcPr>
          <w:p>
            <w:pPr>
              <w:jc w:val="right"/>
              <w:ind w:right="140"/>
              <w:spacing w:after="0"/>
              <w:rPr>
                <w:sz w:val="20"/>
                <w:szCs w:val="20"/>
                <w:color w:val="auto"/>
              </w:rPr>
            </w:pPr>
            <w:r>
              <w:rPr>
                <w:rFonts w:ascii="Arial" w:cs="Arial" w:eastAsia="Arial" w:hAnsi="Arial"/>
                <w:sz w:val="18"/>
                <w:szCs w:val="18"/>
                <w:color w:val="auto"/>
              </w:rPr>
              <w:t>26.0 %</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22.8 %</w:t>
            </w: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-582295</wp:posOffset>
            </wp:positionV>
            <wp:extent cx="4989195" cy="13716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4989195" cy="137160"/>
                    </a:xfrm>
                    <a:prstGeom prst="rect">
                      <a:avLst/>
                    </a:prstGeom>
                    <a:noFill/>
                  </pic:spPr>
                </pic:pic>
              </a:graphicData>
            </a:graphic>
          </wp:anchor>
        </w:drawing>
        <w:drawing>
          <wp:anchor simplePos="0" relativeHeight="251657728" behindDoc="1" locked="0" layoutInCell="0" allowOverlap="1">
            <wp:simplePos x="0" y="0"/>
            <wp:positionH relativeFrom="column">
              <wp:posOffset>1076325</wp:posOffset>
            </wp:positionH>
            <wp:positionV relativeFrom="paragraph">
              <wp:posOffset>-307975</wp:posOffset>
            </wp:positionV>
            <wp:extent cx="4989195" cy="30861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4989195" cy="308610"/>
                    </a:xfrm>
                    <a:prstGeom prst="rect">
                      <a:avLst/>
                    </a:prstGeom>
                    <a:noFill/>
                  </pic:spPr>
                </pic:pic>
              </a:graphicData>
            </a:graphic>
          </wp:anchor>
        </w:drawing>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7"/>
          <w:szCs w:val="17"/>
          <w:color w:val="222222"/>
        </w:rPr>
        <w:t>The following table sets forth operating expenses (dollars in millions) and percent change in operating expenses for the periods indicated:</w:t>
      </w:r>
    </w:p>
    <w:p>
      <w:pPr>
        <w:spacing w:after="0" w:line="120"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3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gridSpan w:val="3"/>
          </w:tcPr>
          <w:p>
            <w:pPr>
              <w:jc w:val="center"/>
              <w:ind w:right="310"/>
              <w:spacing w:after="0"/>
              <w:rPr>
                <w:sz w:val="20"/>
                <w:szCs w:val="20"/>
                <w:color w:val="auto"/>
              </w:rPr>
            </w:pPr>
            <w:r>
              <w:rPr>
                <w:rFonts w:ascii="Arial" w:cs="Arial" w:eastAsia="Arial" w:hAnsi="Arial"/>
                <w:sz w:val="14"/>
                <w:szCs w:val="14"/>
                <w:b w:val="1"/>
                <w:bCs w:val="1"/>
                <w:color w:val="auto"/>
                <w:w w:val="89"/>
              </w:rPr>
              <w:t>Percent</w:t>
            </w: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Percent</w:t>
            </w:r>
          </w:p>
        </w:tc>
        <w:tc>
          <w:tcPr>
            <w:tcW w:w="0" w:type="dxa"/>
            <w:vAlign w:val="bottom"/>
          </w:tcPr>
          <w:p>
            <w:pPr>
              <w:spacing w:after="0"/>
              <w:rPr>
                <w:sz w:val="1"/>
                <w:szCs w:val="1"/>
                <w:color w:val="auto"/>
              </w:rPr>
            </w:pPr>
          </w:p>
        </w:tc>
      </w:tr>
      <w:tr>
        <w:trPr>
          <w:trHeight w:val="149"/>
        </w:trPr>
        <w:tc>
          <w:tcPr>
            <w:tcW w:w="3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40" w:type="dxa"/>
            <w:vAlign w:val="bottom"/>
            <w:gridSpan w:val="4"/>
            <w:vMerge w:val="restart"/>
          </w:tcPr>
          <w:p>
            <w:pPr>
              <w:ind w:left="10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2"/>
                <w:szCs w:val="12"/>
                <w:color w:val="auto"/>
              </w:rPr>
            </w:pPr>
          </w:p>
        </w:tc>
        <w:tc>
          <w:tcPr>
            <w:tcW w:w="1260" w:type="dxa"/>
            <w:vAlign w:val="bottom"/>
            <w:gridSpan w:val="3"/>
          </w:tcPr>
          <w:p>
            <w:pPr>
              <w:jc w:val="center"/>
              <w:ind w:right="290"/>
              <w:spacing w:after="0" w:line="149" w:lineRule="exact"/>
              <w:rPr>
                <w:sz w:val="20"/>
                <w:szCs w:val="20"/>
                <w:color w:val="auto"/>
              </w:rPr>
            </w:pPr>
            <w:r>
              <w:rPr>
                <w:rFonts w:ascii="Arial" w:cs="Arial" w:eastAsia="Arial" w:hAnsi="Arial"/>
                <w:sz w:val="14"/>
                <w:szCs w:val="14"/>
                <w:b w:val="1"/>
                <w:bCs w:val="1"/>
                <w:color w:val="auto"/>
                <w:w w:val="92"/>
              </w:rPr>
              <w:t>Change from</w:t>
            </w:r>
          </w:p>
        </w:tc>
        <w:tc>
          <w:tcPr>
            <w:tcW w:w="1660" w:type="dxa"/>
            <w:vAlign w:val="bottom"/>
            <w:gridSpan w:val="4"/>
            <w:vMerge w:val="restart"/>
          </w:tcPr>
          <w:p>
            <w:pPr>
              <w:jc w:val="right"/>
              <w:ind w:right="254"/>
              <w:spacing w:after="0"/>
              <w:rPr>
                <w:sz w:val="20"/>
                <w:szCs w:val="20"/>
                <w:color w:val="auto"/>
              </w:rPr>
            </w:pPr>
            <w:r>
              <w:rPr>
                <w:rFonts w:ascii="Arial" w:cs="Arial" w:eastAsia="Arial" w:hAnsi="Arial"/>
                <w:sz w:val="14"/>
                <w:szCs w:val="14"/>
                <w:b w:val="1"/>
                <w:bCs w:val="1"/>
                <w:color w:val="auto"/>
                <w:w w:val="99"/>
              </w:rPr>
              <w:t>Nine Months Ended</w:t>
            </w:r>
          </w:p>
        </w:tc>
        <w:tc>
          <w:tcPr>
            <w:tcW w:w="180" w:type="dxa"/>
            <w:vAlign w:val="bottom"/>
          </w:tcPr>
          <w:p>
            <w:pPr>
              <w:spacing w:after="0"/>
              <w:rPr>
                <w:sz w:val="12"/>
                <w:szCs w:val="12"/>
                <w:color w:val="auto"/>
              </w:rPr>
            </w:pPr>
          </w:p>
        </w:tc>
        <w:tc>
          <w:tcPr>
            <w:tcW w:w="10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Change from</w:t>
            </w:r>
          </w:p>
        </w:tc>
        <w:tc>
          <w:tcPr>
            <w:tcW w:w="0" w:type="dxa"/>
            <w:vAlign w:val="bottom"/>
          </w:tcPr>
          <w:p>
            <w:pPr>
              <w:spacing w:after="0"/>
              <w:rPr>
                <w:sz w:val="1"/>
                <w:szCs w:val="1"/>
                <w:color w:val="auto"/>
              </w:rPr>
            </w:pPr>
          </w:p>
        </w:tc>
      </w:tr>
      <w:tr>
        <w:trPr>
          <w:trHeight w:val="148"/>
        </w:trPr>
        <w:tc>
          <w:tcPr>
            <w:tcW w:w="3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40" w:type="dxa"/>
            <w:vAlign w:val="bottom"/>
            <w:gridSpan w:val="4"/>
            <w:vMerge w:val="continue"/>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gridSpan w:val="3"/>
          </w:tcPr>
          <w:p>
            <w:pPr>
              <w:jc w:val="center"/>
              <w:ind w:right="290"/>
              <w:spacing w:after="0" w:line="149" w:lineRule="exact"/>
              <w:rPr>
                <w:sz w:val="20"/>
                <w:szCs w:val="20"/>
                <w:color w:val="auto"/>
              </w:rPr>
            </w:pPr>
            <w:r>
              <w:rPr>
                <w:rFonts w:ascii="Arial" w:cs="Arial" w:eastAsia="Arial" w:hAnsi="Arial"/>
                <w:sz w:val="14"/>
                <w:szCs w:val="14"/>
                <w:b w:val="1"/>
                <w:bCs w:val="1"/>
                <w:color w:val="auto"/>
                <w:w w:val="97"/>
              </w:rPr>
              <w:t>Prior</w:t>
            </w:r>
          </w:p>
        </w:tc>
        <w:tc>
          <w:tcPr>
            <w:tcW w:w="1660" w:type="dxa"/>
            <w:vAlign w:val="bottom"/>
            <w:gridSpan w:val="4"/>
            <w:vMerge w:val="continue"/>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7"/>
              </w:rPr>
              <w:t>Prior</w:t>
            </w:r>
          </w:p>
        </w:tc>
        <w:tc>
          <w:tcPr>
            <w:tcW w:w="0" w:type="dxa"/>
            <w:vAlign w:val="bottom"/>
          </w:tcPr>
          <w:p>
            <w:pPr>
              <w:spacing w:after="0"/>
              <w:rPr>
                <w:sz w:val="1"/>
                <w:szCs w:val="1"/>
                <w:color w:val="auto"/>
              </w:rPr>
            </w:pPr>
          </w:p>
        </w:tc>
      </w:tr>
      <w:tr>
        <w:trPr>
          <w:trHeight w:val="185"/>
        </w:trPr>
        <w:tc>
          <w:tcPr>
            <w:tcW w:w="38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4"/>
          </w:tcPr>
          <w:p>
            <w:pPr>
              <w:jc w:val="right"/>
              <w:ind w:right="434"/>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6"/>
                <w:szCs w:val="16"/>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Period</w:t>
            </w:r>
          </w:p>
        </w:tc>
        <w:tc>
          <w:tcPr>
            <w:tcW w:w="1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4"/>
          </w:tcPr>
          <w:p>
            <w:pPr>
              <w:jc w:val="right"/>
              <w:ind w:right="414"/>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6"/>
                <w:szCs w:val="16"/>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Period</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860" w:type="dxa"/>
            <w:vAlign w:val="bottom"/>
            <w:vMerge w:val="restart"/>
          </w:tcPr>
          <w:p>
            <w:pPr>
              <w:spacing w:after="0"/>
              <w:rPr>
                <w:sz w:val="20"/>
                <w:szCs w:val="20"/>
                <w:color w:val="auto"/>
              </w:rPr>
            </w:pPr>
            <w:r>
              <w:rPr>
                <w:rFonts w:ascii="Arial" w:cs="Arial" w:eastAsia="Arial" w:hAnsi="Arial"/>
                <w:sz w:val="18"/>
                <w:szCs w:val="18"/>
                <w:color w:val="auto"/>
              </w:rPr>
              <w:t>Selling and marketing</w:t>
            </w:r>
          </w:p>
        </w:tc>
        <w:tc>
          <w:tcPr>
            <w:tcW w:w="2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2021</w:t>
            </w:r>
          </w:p>
        </w:tc>
        <w:tc>
          <w:tcPr>
            <w:tcW w:w="1280" w:type="dxa"/>
            <w:vAlign w:val="bottom"/>
            <w:gridSpan w:val="3"/>
            <w:vMerge w:val="restart"/>
          </w:tcPr>
          <w:p>
            <w:pPr>
              <w:jc w:val="right"/>
              <w:ind w:right="20"/>
              <w:spacing w:after="0"/>
              <w:rPr>
                <w:sz w:val="20"/>
                <w:szCs w:val="20"/>
                <w:color w:val="auto"/>
              </w:rPr>
            </w:pPr>
            <w:r>
              <w:rPr>
                <w:rFonts w:ascii="Arial" w:cs="Arial" w:eastAsia="Arial" w:hAnsi="Arial"/>
                <w:sz w:val="18"/>
                <w:szCs w:val="18"/>
                <w:color w:val="auto"/>
              </w:rPr>
              <w:t>25.4 %</w:t>
            </w:r>
          </w:p>
        </w:tc>
        <w:tc>
          <w:tcPr>
            <w:tcW w:w="2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198"/>
              <w:spacing w:after="0"/>
              <w:rPr>
                <w:sz w:val="20"/>
                <w:szCs w:val="20"/>
                <w:color w:val="auto"/>
              </w:rPr>
            </w:pPr>
            <w:r>
              <w:rPr>
                <w:rFonts w:ascii="Arial" w:cs="Arial" w:eastAsia="Arial" w:hAnsi="Arial"/>
                <w:sz w:val="14"/>
                <w:szCs w:val="14"/>
                <w:b w:val="1"/>
                <w:bCs w:val="1"/>
                <w:color w:val="auto"/>
              </w:rPr>
              <w:t>2022</w:t>
            </w:r>
          </w:p>
        </w:tc>
        <w:tc>
          <w:tcPr>
            <w:tcW w:w="1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2021</w:t>
            </w:r>
          </w:p>
        </w:tc>
        <w:tc>
          <w:tcPr>
            <w:tcW w:w="1220" w:type="dxa"/>
            <w:vAlign w:val="bottom"/>
            <w:gridSpan w:val="3"/>
            <w:vMerge w:val="restart"/>
          </w:tcPr>
          <w:p>
            <w:pPr>
              <w:jc w:val="right"/>
              <w:spacing w:after="0"/>
              <w:rPr>
                <w:sz w:val="20"/>
                <w:szCs w:val="20"/>
                <w:color w:val="auto"/>
              </w:rPr>
            </w:pPr>
            <w:r>
              <w:rPr>
                <w:rFonts w:ascii="Arial" w:cs="Arial" w:eastAsia="Arial" w:hAnsi="Arial"/>
                <w:sz w:val="18"/>
                <w:szCs w:val="18"/>
                <w:color w:val="auto"/>
              </w:rPr>
              <w:t>29.7 %</w:t>
            </w:r>
          </w:p>
        </w:tc>
        <w:tc>
          <w:tcPr>
            <w:tcW w:w="0" w:type="dxa"/>
            <w:vAlign w:val="bottom"/>
          </w:tcPr>
          <w:p>
            <w:pPr>
              <w:spacing w:after="0"/>
              <w:rPr>
                <w:sz w:val="1"/>
                <w:szCs w:val="1"/>
                <w:color w:val="auto"/>
              </w:rPr>
            </w:pPr>
          </w:p>
        </w:tc>
      </w:tr>
      <w:tr>
        <w:trPr>
          <w:trHeight w:val="210"/>
        </w:trPr>
        <w:tc>
          <w:tcPr>
            <w:tcW w:w="3860" w:type="dxa"/>
            <w:vAlign w:val="bottom"/>
            <w:vMerge w:val="continue"/>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120.9</w:t>
            </w:r>
          </w:p>
        </w:tc>
        <w:tc>
          <w:tcPr>
            <w:tcW w:w="2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96.4</w:t>
            </w:r>
          </w:p>
        </w:tc>
        <w:tc>
          <w:tcPr>
            <w:tcW w:w="1280" w:type="dxa"/>
            <w:vAlign w:val="bottom"/>
            <w:gridSpan w:val="3"/>
            <w:vMerge w:val="continue"/>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371.1</w:t>
            </w:r>
          </w:p>
        </w:tc>
        <w:tc>
          <w:tcPr>
            <w:tcW w:w="18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286.1</w:t>
            </w:r>
          </w:p>
        </w:tc>
        <w:tc>
          <w:tcPr>
            <w:tcW w:w="122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86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107.6</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97.7</w:t>
            </w:r>
          </w:p>
        </w:tc>
        <w:tc>
          <w:tcPr>
            <w:tcW w:w="1280" w:type="dxa"/>
            <w:vAlign w:val="bottom"/>
            <w:gridSpan w:val="3"/>
          </w:tcPr>
          <w:p>
            <w:pPr>
              <w:jc w:val="right"/>
              <w:ind w:right="20"/>
              <w:spacing w:after="0"/>
              <w:rPr>
                <w:sz w:val="20"/>
                <w:szCs w:val="20"/>
                <w:color w:val="auto"/>
              </w:rPr>
            </w:pPr>
            <w:r>
              <w:rPr>
                <w:rFonts w:ascii="Arial" w:cs="Arial" w:eastAsia="Arial" w:hAnsi="Arial"/>
                <w:sz w:val="18"/>
                <w:szCs w:val="18"/>
                <w:color w:val="auto"/>
              </w:rPr>
              <w:t>10.1 %</w:t>
            </w: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331.8</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306.4</w:t>
            </w: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8.3 %</w:t>
            </w:r>
          </w:p>
        </w:tc>
        <w:tc>
          <w:tcPr>
            <w:tcW w:w="0" w:type="dxa"/>
            <w:vAlign w:val="bottom"/>
          </w:tcPr>
          <w:p>
            <w:pPr>
              <w:spacing w:after="0"/>
              <w:rPr>
                <w:sz w:val="1"/>
                <w:szCs w:val="1"/>
                <w:color w:val="auto"/>
              </w:rPr>
            </w:pP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91.1</w:t>
            </w:r>
          </w:p>
        </w:tc>
        <w:tc>
          <w:tcPr>
            <w:tcW w:w="2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89.8</w:t>
            </w:r>
          </w:p>
        </w:tc>
        <w:tc>
          <w:tcPr>
            <w:tcW w:w="1280" w:type="dxa"/>
            <w:vAlign w:val="bottom"/>
            <w:gridSpan w:val="3"/>
          </w:tcPr>
          <w:p>
            <w:pPr>
              <w:jc w:val="right"/>
              <w:ind w:right="20"/>
              <w:spacing w:after="0"/>
              <w:rPr>
                <w:sz w:val="20"/>
                <w:szCs w:val="20"/>
                <w:color w:val="auto"/>
              </w:rPr>
            </w:pPr>
            <w:r>
              <w:rPr>
                <w:rFonts w:ascii="Arial" w:cs="Arial" w:eastAsia="Arial" w:hAnsi="Arial"/>
                <w:sz w:val="18"/>
                <w:szCs w:val="18"/>
                <w:color w:val="auto"/>
              </w:rPr>
              <w:t>1.4 %</w:t>
            </w:r>
          </w:p>
        </w:tc>
        <w:tc>
          <w:tcPr>
            <w:tcW w:w="2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323.4</w:t>
            </w:r>
          </w:p>
        </w:tc>
        <w:tc>
          <w:tcPr>
            <w:tcW w:w="1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263.5</w:t>
            </w: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22.7 %</w:t>
            </w:r>
          </w:p>
        </w:tc>
        <w:tc>
          <w:tcPr>
            <w:tcW w:w="0" w:type="dxa"/>
            <w:vAlign w:val="bottom"/>
          </w:tcPr>
          <w:p>
            <w:pPr>
              <w:spacing w:after="0"/>
              <w:rPr>
                <w:sz w:val="1"/>
                <w:szCs w:val="1"/>
                <w:color w:val="auto"/>
              </w:rPr>
            </w:pPr>
          </w:p>
        </w:tc>
      </w:tr>
      <w:tr>
        <w:trPr>
          <w:trHeight w:val="210"/>
        </w:trPr>
        <w:tc>
          <w:tcPr>
            <w:tcW w:w="3860" w:type="dxa"/>
            <w:vAlign w:val="bottom"/>
          </w:tcPr>
          <w:p>
            <w:pPr>
              <w:ind w:left="180"/>
              <w:spacing w:after="0"/>
              <w:rPr>
                <w:sz w:val="20"/>
                <w:szCs w:val="20"/>
                <w:color w:val="auto"/>
              </w:rPr>
            </w:pPr>
            <w:r>
              <w:rPr>
                <w:rFonts w:ascii="Arial" w:cs="Arial" w:eastAsia="Arial" w:hAnsi="Arial"/>
                <w:sz w:val="18"/>
                <w:szCs w:val="18"/>
                <w:color w:val="auto"/>
              </w:rPr>
              <w:t>Total operating expenses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319.6</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283.9</w:t>
            </w:r>
          </w:p>
        </w:tc>
        <w:tc>
          <w:tcPr>
            <w:tcW w:w="1480" w:type="dxa"/>
            <w:vAlign w:val="bottom"/>
            <w:gridSpan w:val="4"/>
          </w:tcPr>
          <w:p>
            <w:pPr>
              <w:jc w:val="right"/>
              <w:ind w:right="10"/>
              <w:spacing w:after="0" w:line="210" w:lineRule="exact"/>
              <w:rPr>
                <w:sz w:val="20"/>
                <w:szCs w:val="20"/>
                <w:color w:val="auto"/>
              </w:rPr>
            </w:pPr>
            <w:r>
              <w:rPr>
                <w:rFonts w:ascii="Arial" w:cs="Arial" w:eastAsia="Arial" w:hAnsi="Arial"/>
                <w:sz w:val="14"/>
                <w:szCs w:val="14"/>
                <w:color w:val="auto"/>
              </w:rPr>
              <w:t xml:space="preserve">12.6 % </w:t>
            </w:r>
            <w:r>
              <w:rPr>
                <w:rFonts w:ascii="Arial" w:cs="Arial" w:eastAsia="Arial" w:hAnsi="Arial"/>
                <w:sz w:val="24"/>
                <w:szCs w:val="24"/>
                <w:color w:val="auto"/>
                <w:vertAlign w:val="superscript"/>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9"/>
              </w:rPr>
              <w:t>1,026.3</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856.0</w:t>
            </w: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19.9 %</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-590550</wp:posOffset>
            </wp:positionV>
            <wp:extent cx="6412230" cy="13716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412230" cy="137160"/>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-307975</wp:posOffset>
            </wp:positionV>
            <wp:extent cx="6412230" cy="30861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412230" cy="308610"/>
                    </a:xfrm>
                    <a:prstGeom prst="rect">
                      <a:avLst/>
                    </a:prstGeom>
                    <a:noFill/>
                  </pic:spPr>
                </pic:pic>
              </a:graphicData>
            </a:graphic>
          </wp:anchor>
        </w:drawing>
      </w:r>
    </w:p>
    <w:p>
      <w:pPr>
        <w:spacing w:after="0" w:line="209" w:lineRule="exact"/>
        <w:rPr>
          <w:sz w:val="20"/>
          <w:szCs w:val="20"/>
          <w:color w:val="auto"/>
        </w:rPr>
      </w:pPr>
    </w:p>
    <w:p>
      <w:pPr>
        <w:ind w:right="20" w:firstLine="509"/>
        <w:spacing w:after="0" w:line="267" w:lineRule="auto"/>
        <w:rPr>
          <w:sz w:val="20"/>
          <w:szCs w:val="20"/>
          <w:color w:val="auto"/>
        </w:rPr>
      </w:pPr>
      <w:r>
        <w:rPr>
          <w:rFonts w:ascii="Arial" w:cs="Arial" w:eastAsia="Arial" w:hAnsi="Arial"/>
          <w:sz w:val="17"/>
          <w:szCs w:val="17"/>
          <w:i w:val="1"/>
          <w:iCs w:val="1"/>
          <w:color w:val="auto"/>
        </w:rPr>
        <w:t>Three Months Ended September 30, 2022 and 2021</w:t>
      </w:r>
      <w:r>
        <w:rPr>
          <w:rFonts w:ascii="Arial" w:cs="Arial" w:eastAsia="Arial" w:hAnsi="Arial"/>
          <w:sz w:val="17"/>
          <w:szCs w:val="17"/>
          <w:color w:val="auto"/>
        </w:rPr>
        <w:t>. Operating expenses increased $35.7 million, or 12.6%, primarily due to our acquisitions, which</w:t>
      </w:r>
      <w:r>
        <w:rPr>
          <w:rFonts w:ascii="Arial" w:cs="Arial" w:eastAsia="Arial" w:hAnsi="Arial"/>
          <w:sz w:val="17"/>
          <w:szCs w:val="17"/>
          <w:i w:val="1"/>
          <w:iCs w:val="1"/>
          <w:color w:val="auto"/>
        </w:rPr>
        <w:t xml:space="preserve"> </w:t>
      </w:r>
      <w:r>
        <w:rPr>
          <w:rFonts w:ascii="Arial" w:cs="Arial" w:eastAsia="Arial" w:hAnsi="Arial"/>
          <w:sz w:val="17"/>
          <w:szCs w:val="17"/>
          <w:color w:val="auto"/>
        </w:rPr>
        <w:t>added expenses of $48.7 million. This increase was partially offset by the favorable impact from foreign currency translation which decreased expenses by $11.6 million and a decrease of $1.4 million in organic operating expenses. Total operating expenses, excluding the impact of acquisitions and foreign currency translation, primarily decreased due to a decrease in personnel-related costs due in part to a non-recurring stock-based compensation expense true-up. These decreases were partially offset by increased legal fees.</w:t>
      </w:r>
    </w:p>
    <w:p>
      <w:pPr>
        <w:spacing w:after="0" w:line="60" w:lineRule="exact"/>
        <w:rPr>
          <w:sz w:val="20"/>
          <w:szCs w:val="20"/>
          <w:color w:val="auto"/>
        </w:rPr>
      </w:pPr>
    </w:p>
    <w:p>
      <w:pPr>
        <w:ind w:right="80" w:firstLine="509"/>
        <w:spacing w:after="0" w:line="263" w:lineRule="auto"/>
        <w:rPr>
          <w:sz w:val="20"/>
          <w:szCs w:val="20"/>
          <w:color w:val="auto"/>
        </w:rPr>
      </w:pPr>
      <w:r>
        <w:rPr>
          <w:rFonts w:ascii="Arial" w:cs="Arial" w:eastAsia="Arial" w:hAnsi="Arial"/>
          <w:sz w:val="17"/>
          <w:szCs w:val="17"/>
          <w:i w:val="1"/>
          <w:iCs w:val="1"/>
          <w:color w:val="auto"/>
        </w:rPr>
        <w:t>Nine Months Ended September 30, 2022 and 2021</w:t>
      </w:r>
      <w:r>
        <w:rPr>
          <w:rFonts w:ascii="Arial" w:cs="Arial" w:eastAsia="Arial" w:hAnsi="Arial"/>
          <w:sz w:val="17"/>
          <w:szCs w:val="17"/>
          <w:color w:val="auto"/>
        </w:rPr>
        <w:t>. Operating expenses increased $170.3 million, or 19.9%, primarily due our acquisitions, which</w:t>
      </w:r>
      <w:r>
        <w:rPr>
          <w:rFonts w:ascii="Arial" w:cs="Arial" w:eastAsia="Arial" w:hAnsi="Arial"/>
          <w:sz w:val="17"/>
          <w:szCs w:val="17"/>
          <w:i w:val="1"/>
          <w:iCs w:val="1"/>
          <w:color w:val="auto"/>
        </w:rPr>
        <w:t xml:space="preserve"> </w:t>
      </w:r>
      <w:r>
        <w:rPr>
          <w:rFonts w:ascii="Arial" w:cs="Arial" w:eastAsia="Arial" w:hAnsi="Arial"/>
          <w:sz w:val="17"/>
          <w:szCs w:val="17"/>
          <w:color w:val="auto"/>
        </w:rPr>
        <w:t>added expenses of $127.7 million and an increase of $66.0 million in organic operating expenses. These increases were partially offset by the favorable impact from foreign currency translation which decreased expenses by $23.4 million. Total operating expenses, excluding the impact of acquisitions and foreign currency translation, primarily increased due to an increase in personnel-related costs, including the impact of increased headcount, wage inflation, stock-based compensation and travel-related expenses and information technology related expenses.</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Comparison of the Three and Nine Months Ended September 30, 2022 and 2021 for Interest, Taxes and Other</w:t>
      </w:r>
    </w:p>
    <w:p>
      <w:pPr>
        <w:spacing w:after="0" w:line="185" w:lineRule="exact"/>
        <w:rPr>
          <w:sz w:val="20"/>
          <w:szCs w:val="20"/>
          <w:color w:val="auto"/>
        </w:rPr>
      </w:pPr>
    </w:p>
    <w:p>
      <w:pPr>
        <w:ind w:right="60" w:firstLine="509"/>
        <w:spacing w:after="0" w:line="260" w:lineRule="auto"/>
        <w:rPr>
          <w:sz w:val="20"/>
          <w:szCs w:val="20"/>
          <w:color w:val="auto"/>
        </w:rPr>
      </w:pPr>
      <w:r>
        <w:rPr>
          <w:rFonts w:ascii="Arial" w:cs="Arial" w:eastAsia="Arial" w:hAnsi="Arial"/>
          <w:sz w:val="17"/>
          <w:szCs w:val="17"/>
          <w:i w:val="1"/>
          <w:iCs w:val="1"/>
          <w:color w:val="auto"/>
        </w:rPr>
        <w:t>Interest expense, net</w:t>
      </w:r>
      <w:r>
        <w:rPr>
          <w:rFonts w:ascii="Arial" w:cs="Arial" w:eastAsia="Arial" w:hAnsi="Arial"/>
          <w:sz w:val="17"/>
          <w:szCs w:val="17"/>
          <w:color w:val="auto"/>
        </w:rPr>
        <w:t>. We had net interest expense of $86.0 million and $203.0 million for the three and nine months ended September 30, 2022,</w:t>
      </w:r>
      <w:r>
        <w:rPr>
          <w:rFonts w:ascii="Arial" w:cs="Arial" w:eastAsia="Arial" w:hAnsi="Arial"/>
          <w:sz w:val="17"/>
          <w:szCs w:val="17"/>
          <w:i w:val="1"/>
          <w:iCs w:val="1"/>
          <w:color w:val="auto"/>
        </w:rPr>
        <w:t xml:space="preserve"> </w:t>
      </w:r>
      <w:r>
        <w:rPr>
          <w:rFonts w:ascii="Arial" w:cs="Arial" w:eastAsia="Arial" w:hAnsi="Arial"/>
          <w:sz w:val="17"/>
          <w:szCs w:val="17"/>
          <w:color w:val="auto"/>
        </w:rPr>
        <w:t>respectively, compared to $50.2 million and $152.6 million for the three and nine months ended September 30, 2021, respectively. The increase in interest expense, net for 2022 as compared to 2021, is due to higher average interest rate on debt and higher average debt balances. We had an average interest rate of 4.55% and 3.12%, respectively, for the three months ended September 30, 2022 and 2021. Our total debt balance as of September 30, 2022 was higher compared to the prior year due to the Incremental Joinder we entered into in connection with our acquisition of Blue Prism on March 22, 2022. These facilities are discussed further in “Liquidity and Capital Resources”.</w:t>
      </w:r>
    </w:p>
    <w:p>
      <w:pPr>
        <w:spacing w:after="0" w:line="147" w:lineRule="exact"/>
        <w:rPr>
          <w:sz w:val="20"/>
          <w:szCs w:val="20"/>
          <w:color w:val="auto"/>
        </w:rPr>
      </w:pPr>
    </w:p>
    <w:p>
      <w:pPr>
        <w:jc w:val="center"/>
        <w:ind w:right="280"/>
        <w:spacing w:after="0"/>
        <w:rPr>
          <w:sz w:val="20"/>
          <w:szCs w:val="20"/>
          <w:color w:val="auto"/>
        </w:rPr>
      </w:pPr>
      <w:r>
        <w:rPr>
          <w:rFonts w:ascii="Arial" w:cs="Arial" w:eastAsia="Arial" w:hAnsi="Arial"/>
          <w:sz w:val="18"/>
          <w:szCs w:val="18"/>
          <w:i w:val="1"/>
          <w:iCs w:val="1"/>
          <w:color w:val="auto"/>
        </w:rPr>
        <w:t>Other income (expense), net</w:t>
      </w:r>
      <w:r>
        <w:rPr>
          <w:rFonts w:ascii="Arial" w:cs="Arial" w:eastAsia="Arial" w:hAnsi="Arial"/>
          <w:sz w:val="18"/>
          <w:szCs w:val="18"/>
          <w:color w:val="auto"/>
        </w:rPr>
        <w:t>. We had other income (expense), net of $1.1 million and $(28.3) million for the three and nine months ended</w:t>
      </w:r>
    </w:p>
    <w:p>
      <w:pPr>
        <w:spacing w:after="0" w:line="12" w:lineRule="exact"/>
        <w:rPr>
          <w:sz w:val="20"/>
          <w:szCs w:val="20"/>
          <w:color w:val="auto"/>
        </w:rPr>
      </w:pPr>
    </w:p>
    <w:p>
      <w:pPr>
        <w:ind w:right="260"/>
        <w:spacing w:after="0" w:line="258" w:lineRule="auto"/>
        <w:rPr>
          <w:sz w:val="20"/>
          <w:szCs w:val="20"/>
          <w:color w:val="auto"/>
        </w:rPr>
      </w:pPr>
      <w:r>
        <w:rPr>
          <w:rFonts w:ascii="Arial" w:cs="Arial" w:eastAsia="Arial" w:hAnsi="Arial"/>
          <w:sz w:val="18"/>
          <w:szCs w:val="18"/>
          <w:color w:val="auto"/>
        </w:rPr>
        <w:t>September 30, 2022, respectively, compared to other expense, net of $44.9 million and $20.4 million for the three and nine months ended September 30, 2021, respectively. For the three and nine months ended September 30, 2022, other expense, net</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23" w:name="page24"/>
    <w:bookmarkEnd w:id="23"/>
    <w:p>
      <w:pPr>
        <w:ind w:right="20"/>
        <w:spacing w:after="0" w:line="280" w:lineRule="auto"/>
        <w:rPr>
          <w:sz w:val="20"/>
          <w:szCs w:val="20"/>
          <w:color w:val="auto"/>
        </w:rPr>
      </w:pPr>
      <w:r>
        <w:rPr>
          <w:rFonts w:ascii="Arial" w:cs="Arial" w:eastAsia="Arial" w:hAnsi="Arial"/>
          <w:sz w:val="16"/>
          <w:szCs w:val="16"/>
          <w:color w:val="auto"/>
        </w:rPr>
        <w:t>consisted primarily of foreign currency translation losses of $0.1 million and $22.0 million, respectively, and investment losses due to mark-to-market adjustments of $2.5 million and $14.7 million, respectively, partially offset by dividend income of $1.2 million and $10.3 million, respectively. For the three and nine months ended September 30, 2021, other expense, net included an expense of $43.4 million relating to a legal accrual recorded in connection with the DST ERISA litigation discussed in Note 14 - Commitments and Contingencies of the Notes to the Condensed Consolidated Financial Statements. During the three and nine months ended September 30, 2021, other expense, net also included investment gains of $0.1 million and $17.3 million, respectively, and dividend income of $0.5 million and $9.4 million, respectively. The remaining portion of other income, net consisted primarily of foreign currency transaction gains and losses of $3.9 million and $9.1 million for the three and nine months ended September 30, 2021, respectively.</w:t>
      </w:r>
    </w:p>
    <w:p>
      <w:pPr>
        <w:spacing w:after="0" w:line="117" w:lineRule="exact"/>
        <w:rPr>
          <w:sz w:val="20"/>
          <w:szCs w:val="20"/>
          <w:color w:val="auto"/>
        </w:rPr>
      </w:pPr>
    </w:p>
    <w:p>
      <w:pPr>
        <w:ind w:right="120" w:firstLine="509"/>
        <w:spacing w:after="0" w:line="290" w:lineRule="auto"/>
        <w:rPr>
          <w:sz w:val="20"/>
          <w:szCs w:val="20"/>
          <w:color w:val="auto"/>
        </w:rPr>
      </w:pPr>
      <w:r>
        <w:rPr>
          <w:rFonts w:ascii="Arial" w:cs="Arial" w:eastAsia="Arial" w:hAnsi="Arial"/>
          <w:sz w:val="16"/>
          <w:szCs w:val="16"/>
          <w:i w:val="1"/>
          <w:iCs w:val="1"/>
          <w:color w:val="auto"/>
        </w:rPr>
        <w:t xml:space="preserve">Equity in earnings of unconsolidated affiliates, net. </w:t>
      </w:r>
      <w:r>
        <w:rPr>
          <w:rFonts w:ascii="Arial" w:cs="Arial" w:eastAsia="Arial" w:hAnsi="Arial"/>
          <w:sz w:val="16"/>
          <w:szCs w:val="16"/>
          <w:color w:val="auto"/>
        </w:rPr>
        <w:t>We had equity in earnings of unconsolidated affiliates, net of $(5.1) million and $(2.7) million</w:t>
      </w:r>
      <w:r>
        <w:rPr>
          <w:rFonts w:ascii="Arial" w:cs="Arial" w:eastAsia="Arial" w:hAnsi="Arial"/>
          <w:sz w:val="16"/>
          <w:szCs w:val="16"/>
          <w:i w:val="1"/>
          <w:iCs w:val="1"/>
          <w:color w:val="auto"/>
        </w:rPr>
        <w:t xml:space="preserve"> </w:t>
      </w:r>
      <w:r>
        <w:rPr>
          <w:rFonts w:ascii="Arial" w:cs="Arial" w:eastAsia="Arial" w:hAnsi="Arial"/>
          <w:sz w:val="16"/>
          <w:szCs w:val="16"/>
          <w:color w:val="auto"/>
        </w:rPr>
        <w:t>for the three and nine months ended September 30, 2022, respectively, compared to $2.0 million and $1.9 million in the three and nine months ended September 30, 2021, respectively. Our equity in earnings of unconsolidated affiliates, net is a loss in the three and nine months ended September 30, 2022 primarily as a result of debt refinancing at one of our affiliates, which resulted in a loss of $5.2 million and $5.1 million, respectively.</w:t>
      </w:r>
    </w:p>
    <w:p>
      <w:pPr>
        <w:spacing w:after="0" w:line="123" w:lineRule="exact"/>
        <w:rPr>
          <w:sz w:val="20"/>
          <w:szCs w:val="20"/>
          <w:color w:val="auto"/>
        </w:rPr>
      </w:pPr>
    </w:p>
    <w:p>
      <w:pPr>
        <w:ind w:right="140" w:firstLine="509"/>
        <w:spacing w:after="0" w:line="247" w:lineRule="auto"/>
        <w:rPr>
          <w:sz w:val="20"/>
          <w:szCs w:val="20"/>
          <w:color w:val="auto"/>
        </w:rPr>
      </w:pPr>
      <w:r>
        <w:rPr>
          <w:rFonts w:ascii="Arial" w:cs="Arial" w:eastAsia="Arial" w:hAnsi="Arial"/>
          <w:sz w:val="18"/>
          <w:szCs w:val="18"/>
          <w:i w:val="1"/>
          <w:iCs w:val="1"/>
          <w:color w:val="auto"/>
        </w:rPr>
        <w:t>Provision for income taxes</w:t>
      </w:r>
      <w:r>
        <w:rPr>
          <w:rFonts w:ascii="Arial" w:cs="Arial" w:eastAsia="Arial" w:hAnsi="Arial"/>
          <w:sz w:val="18"/>
          <w:szCs w:val="18"/>
          <w:color w:val="auto"/>
        </w:rPr>
        <w:t>. The following table sets forth the provision for income taxes (dollars in millions) and effective tax rates for the periods</w:t>
      </w:r>
      <w:r>
        <w:rPr>
          <w:rFonts w:ascii="Arial" w:cs="Arial" w:eastAsia="Arial" w:hAnsi="Arial"/>
          <w:sz w:val="18"/>
          <w:szCs w:val="18"/>
          <w:i w:val="1"/>
          <w:iCs w:val="1"/>
          <w:color w:val="auto"/>
        </w:rPr>
        <w:t xml:space="preserve"> </w:t>
      </w:r>
      <w:r>
        <w:rPr>
          <w:rFonts w:ascii="Arial" w:cs="Arial" w:eastAsia="Arial" w:hAnsi="Arial"/>
          <w:sz w:val="18"/>
          <w:szCs w:val="18"/>
          <w:color w:val="auto"/>
        </w:rPr>
        <w:t>indicated:</w:t>
      </w:r>
    </w:p>
    <w:tbl>
      <w:tblPr>
        <w:tblLayout w:type="fixed"/>
        <w:tblInd w:w="580" w:type="dxa"/>
        <w:tblCellMar>
          <w:top w:w="0" w:type="dxa"/>
          <w:left w:w="0" w:type="dxa"/>
          <w:bottom w:w="0" w:type="dxa"/>
          <w:right w:w="0" w:type="dxa"/>
        </w:tblCellMar>
      </w:tblPr>
      <w:tr>
        <w:trPr>
          <w:trHeight w:val="169"/>
        </w:trPr>
        <w:tc>
          <w:tcPr>
            <w:tcW w:w="4840" w:type="dxa"/>
            <w:vAlign w:val="bottom"/>
          </w:tcPr>
          <w:p>
            <w:pPr>
              <w:spacing w:after="0"/>
              <w:rPr>
                <w:sz w:val="14"/>
                <w:szCs w:val="14"/>
                <w:color w:val="auto"/>
              </w:rPr>
            </w:pPr>
          </w:p>
        </w:tc>
        <w:tc>
          <w:tcPr>
            <w:tcW w:w="2720" w:type="dxa"/>
            <w:vAlign w:val="bottom"/>
            <w:gridSpan w:val="6"/>
          </w:tcPr>
          <w:p>
            <w:pPr>
              <w:ind w:left="140"/>
              <w:spacing w:after="0"/>
              <w:rPr>
                <w:sz w:val="20"/>
                <w:szCs w:val="20"/>
                <w:color w:val="auto"/>
              </w:rPr>
            </w:pPr>
            <w:r>
              <w:rPr>
                <w:rFonts w:ascii="Arial" w:cs="Arial" w:eastAsia="Arial" w:hAnsi="Arial"/>
                <w:sz w:val="14"/>
                <w:szCs w:val="14"/>
                <w:b w:val="1"/>
                <w:bCs w:val="1"/>
                <w:color w:val="auto"/>
              </w:rPr>
              <w:t>Three Months Ended September 30,</w:t>
            </w:r>
          </w:p>
        </w:tc>
        <w:tc>
          <w:tcPr>
            <w:tcW w:w="120" w:type="dxa"/>
            <w:vAlign w:val="bottom"/>
          </w:tcPr>
          <w:p>
            <w:pPr>
              <w:spacing w:after="0"/>
              <w:rPr>
                <w:sz w:val="14"/>
                <w:szCs w:val="14"/>
                <w:color w:val="auto"/>
              </w:rPr>
            </w:pPr>
          </w:p>
        </w:tc>
        <w:tc>
          <w:tcPr>
            <w:tcW w:w="2480" w:type="dxa"/>
            <w:vAlign w:val="bottom"/>
            <w:gridSpan w:val="6"/>
          </w:tcPr>
          <w:p>
            <w:pPr>
              <w:jc w:val="right"/>
              <w:ind w:right="320"/>
              <w:spacing w:after="0"/>
              <w:rPr>
                <w:sz w:val="20"/>
                <w:szCs w:val="20"/>
                <w:color w:val="auto"/>
              </w:rPr>
            </w:pPr>
            <w:r>
              <w:rPr>
                <w:rFonts w:ascii="Arial" w:cs="Arial" w:eastAsia="Arial" w:hAnsi="Arial"/>
                <w:sz w:val="14"/>
                <w:szCs w:val="14"/>
                <w:b w:val="1"/>
                <w:bCs w:val="1"/>
                <w:color w:val="auto"/>
                <w:w w:val="92"/>
              </w:rPr>
              <w:t>Nine Months Ended September 30,</w:t>
            </w:r>
          </w:p>
        </w:tc>
      </w:tr>
      <w:tr>
        <w:trPr>
          <w:trHeight w:val="209"/>
        </w:trPr>
        <w:tc>
          <w:tcPr>
            <w:tcW w:w="4840" w:type="dxa"/>
            <w:vAlign w:val="bottom"/>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38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2022</w:t>
            </w:r>
          </w:p>
        </w:tc>
        <w:tc>
          <w:tcPr>
            <w:tcW w:w="22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23"/>
        </w:trPr>
        <w:tc>
          <w:tcPr>
            <w:tcW w:w="4840" w:type="dxa"/>
            <w:vAlign w:val="bottom"/>
            <w:shd w:val="clear" w:color="auto" w:fill="CFF0FC"/>
          </w:tcPr>
          <w:p>
            <w:pPr>
              <w:spacing w:after="0"/>
              <w:rPr>
                <w:sz w:val="20"/>
                <w:szCs w:val="20"/>
                <w:color w:val="auto"/>
              </w:rPr>
            </w:pPr>
            <w:r>
              <w:rPr>
                <w:rFonts w:ascii="Arial" w:cs="Arial" w:eastAsia="Arial" w:hAnsi="Arial"/>
                <w:sz w:val="18"/>
                <w:szCs w:val="18"/>
                <w:color w:val="auto"/>
              </w:rPr>
              <w:t>Provision for income taxes</w:t>
            </w:r>
          </w:p>
        </w:tc>
        <w:tc>
          <w:tcPr>
            <w:tcW w:w="740" w:type="dxa"/>
            <w:vAlign w:val="bottom"/>
            <w:shd w:val="clear" w:color="auto" w:fill="CFF0FC"/>
          </w:tcPr>
          <w:p>
            <w:pPr>
              <w:jc w:val="right"/>
              <w:ind w:right="562"/>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FF0FC"/>
          </w:tcPr>
          <w:p>
            <w:pPr>
              <w:ind w:left="60"/>
              <w:spacing w:after="0"/>
              <w:rPr>
                <w:sz w:val="20"/>
                <w:szCs w:val="20"/>
                <w:color w:val="auto"/>
              </w:rPr>
            </w:pPr>
            <w:r>
              <w:rPr>
                <w:rFonts w:ascii="Arial" w:cs="Arial" w:eastAsia="Arial" w:hAnsi="Arial"/>
                <w:sz w:val="18"/>
                <w:szCs w:val="18"/>
                <w:color w:val="auto"/>
                <w:w w:val="85"/>
              </w:rPr>
              <w:t>53.4</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ind w:left="560"/>
              <w:spacing w:after="0"/>
              <w:rPr>
                <w:sz w:val="20"/>
                <w:szCs w:val="20"/>
                <w:color w:val="auto"/>
              </w:rPr>
            </w:pPr>
            <w:r>
              <w:rPr>
                <w:rFonts w:ascii="Arial" w:cs="Arial" w:eastAsia="Arial" w:hAnsi="Arial"/>
                <w:sz w:val="18"/>
                <w:szCs w:val="18"/>
                <w:color w:val="auto"/>
                <w:w w:val="91"/>
              </w:rPr>
              <w:t>60.6</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162.1</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198.1</w:t>
            </w:r>
          </w:p>
        </w:tc>
        <w:tc>
          <w:tcPr>
            <w:tcW w:w="100" w:type="dxa"/>
            <w:vAlign w:val="bottom"/>
            <w:shd w:val="clear" w:color="auto" w:fill="CFF0FC"/>
          </w:tcPr>
          <w:p>
            <w:pPr>
              <w:spacing w:after="0"/>
              <w:rPr>
                <w:sz w:val="19"/>
                <w:szCs w:val="19"/>
                <w:color w:val="auto"/>
              </w:rPr>
            </w:pPr>
          </w:p>
        </w:tc>
        <w:tc>
          <w:tcPr>
            <w:tcW w:w="60" w:type="dxa"/>
            <w:vAlign w:val="bottom"/>
          </w:tcPr>
          <w:p>
            <w:pPr>
              <w:spacing w:after="0"/>
              <w:rPr>
                <w:sz w:val="19"/>
                <w:szCs w:val="19"/>
                <w:color w:val="auto"/>
              </w:rPr>
            </w:pPr>
          </w:p>
        </w:tc>
      </w:tr>
      <w:tr>
        <w:trPr>
          <w:trHeight w:val="230"/>
        </w:trPr>
        <w:tc>
          <w:tcPr>
            <w:tcW w:w="4840" w:type="dxa"/>
            <w:vAlign w:val="bottom"/>
          </w:tcPr>
          <w:p>
            <w:pPr>
              <w:spacing w:after="0"/>
              <w:rPr>
                <w:sz w:val="20"/>
                <w:szCs w:val="20"/>
                <w:color w:val="auto"/>
              </w:rPr>
            </w:pPr>
            <w:r>
              <w:rPr>
                <w:rFonts w:ascii="Arial" w:cs="Arial" w:eastAsia="Arial" w:hAnsi="Arial"/>
                <w:sz w:val="18"/>
                <w:szCs w:val="18"/>
                <w:color w:val="auto"/>
              </w:rPr>
              <w:t>Effective tax rate</w:t>
            </w:r>
          </w:p>
        </w:tc>
        <w:tc>
          <w:tcPr>
            <w:tcW w:w="740" w:type="dxa"/>
            <w:vAlign w:val="bottom"/>
          </w:tcPr>
          <w:p>
            <w:pPr>
              <w:spacing w:after="0"/>
              <w:rPr>
                <w:sz w:val="20"/>
                <w:szCs w:val="20"/>
                <w:color w:val="auto"/>
              </w:rPr>
            </w:pPr>
          </w:p>
        </w:tc>
        <w:tc>
          <w:tcPr>
            <w:tcW w:w="620" w:type="dxa"/>
            <w:vAlign w:val="bottom"/>
            <w:gridSpan w:val="2"/>
          </w:tcPr>
          <w:p>
            <w:pPr>
              <w:ind w:left="60"/>
              <w:spacing w:after="0"/>
              <w:rPr>
                <w:sz w:val="20"/>
                <w:szCs w:val="20"/>
                <w:color w:val="auto"/>
              </w:rPr>
            </w:pPr>
            <w:r>
              <w:rPr>
                <w:rFonts w:ascii="Arial" w:cs="Arial" w:eastAsia="Arial" w:hAnsi="Arial"/>
                <w:sz w:val="18"/>
                <w:szCs w:val="18"/>
                <w:color w:val="auto"/>
                <w:w w:val="96"/>
              </w:rPr>
              <w:t>25.0 %</w:t>
            </w:r>
          </w:p>
        </w:tc>
        <w:tc>
          <w:tcPr>
            <w:tcW w:w="260" w:type="dxa"/>
            <w:vAlign w:val="bottom"/>
          </w:tcPr>
          <w:p>
            <w:pPr>
              <w:spacing w:after="0"/>
              <w:rPr>
                <w:sz w:val="20"/>
                <w:szCs w:val="20"/>
                <w:color w:val="auto"/>
              </w:rPr>
            </w:pPr>
          </w:p>
        </w:tc>
        <w:tc>
          <w:tcPr>
            <w:tcW w:w="1100" w:type="dxa"/>
            <w:vAlign w:val="bottom"/>
            <w:gridSpan w:val="2"/>
          </w:tcPr>
          <w:p>
            <w:pPr>
              <w:ind w:left="560"/>
              <w:spacing w:after="0"/>
              <w:rPr>
                <w:sz w:val="20"/>
                <w:szCs w:val="20"/>
                <w:color w:val="auto"/>
              </w:rPr>
            </w:pPr>
            <w:r>
              <w:rPr>
                <w:rFonts w:ascii="Arial" w:cs="Arial" w:eastAsia="Arial" w:hAnsi="Arial"/>
                <w:sz w:val="18"/>
                <w:szCs w:val="18"/>
                <w:color w:val="auto"/>
                <w:w w:val="92"/>
              </w:rPr>
              <w:t>24.7 %</w:t>
            </w:r>
          </w:p>
        </w:tc>
        <w:tc>
          <w:tcPr>
            <w:tcW w:w="120" w:type="dxa"/>
            <w:vAlign w:val="bottom"/>
          </w:tcPr>
          <w:p>
            <w:pPr>
              <w:spacing w:after="0"/>
              <w:rPr>
                <w:sz w:val="20"/>
                <w:szCs w:val="20"/>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26.9 %</w:t>
            </w:r>
          </w:p>
        </w:tc>
        <w:tc>
          <w:tcPr>
            <w:tcW w:w="260" w:type="dxa"/>
            <w:vAlign w:val="bottom"/>
          </w:tcPr>
          <w:p>
            <w:pPr>
              <w:spacing w:after="0"/>
              <w:rPr>
                <w:sz w:val="20"/>
                <w:szCs w:val="20"/>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26.5 %</w:t>
            </w:r>
          </w:p>
        </w:tc>
      </w:tr>
    </w:tbl>
    <w:p>
      <w:pPr>
        <w:spacing w:after="0" w:line="228" w:lineRule="exact"/>
        <w:rPr>
          <w:sz w:val="20"/>
          <w:szCs w:val="20"/>
          <w:color w:val="auto"/>
        </w:rPr>
      </w:pPr>
    </w:p>
    <w:p>
      <w:pPr>
        <w:ind w:firstLine="509"/>
        <w:spacing w:after="0" w:line="276" w:lineRule="auto"/>
        <w:rPr>
          <w:sz w:val="20"/>
          <w:szCs w:val="20"/>
          <w:color w:val="auto"/>
        </w:rPr>
      </w:pPr>
      <w:r>
        <w:rPr>
          <w:rFonts w:ascii="Arial" w:cs="Arial" w:eastAsia="Arial" w:hAnsi="Arial"/>
          <w:sz w:val="16"/>
          <w:szCs w:val="16"/>
          <w:color w:val="auto"/>
        </w:rPr>
        <w:t>Our effective tax rates for the three and nine months ended September 30, 2022 and 2021 differ from the statutory rate of 21.0% primarily due to the composition of income before income taxes from foreign and domestic tax jurisdictions, foreign income that is being taxed in the U.S. offset by foreign tax credits that are being limited and the recognition of windfall tax benefits from stock awards. The change in the effective tax rate for the three months ended September 30, 2022 compared to the prior year was primarily due to a decrease in recognition of windfall tax benefits from stock awards in the current year, an increase in valuation allowances on deferred tax assets in the current year and a proportionate change in the composition of income before income taxes from foreign and domestic tax jurisdictions. The change in the effective tax rate for the nine months ended September 30, 2022 compared to the prior year was primarily due to a decrease in recognition of windfall tax benefits from stock awards in the current year, an increase in valuation allowances on deferred tax assets in the current year and a proportionate change in the composition of income taxes from foreign and domestic tax jurisdictions. In addition, the effective tax rate for the nine months ended September 30, 2021 included tax expense related to a law change in the United Kingdom. While we have income from multiple foreign sources, the majority of our non-U.S. operations are in the United Kingdom and India, where we anticipate the statutory tax rates to be 19.0% and, on a blended basis, approximately 29.0%, respectively, in 2022. A future change in the composition of income before income taxes from foreign and domestic tax jurisdictions could impact our periodic effective tax rate.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08" w:lineRule="exact"/>
        <w:rPr>
          <w:sz w:val="20"/>
          <w:szCs w:val="20"/>
          <w:color w:val="auto"/>
        </w:rPr>
      </w:pPr>
    </w:p>
    <w:p>
      <w:pPr>
        <w:ind w:right="140" w:firstLine="509"/>
        <w:spacing w:after="0" w:line="249" w:lineRule="auto"/>
        <w:rPr>
          <w:sz w:val="20"/>
          <w:szCs w:val="20"/>
          <w:color w:val="auto"/>
        </w:rPr>
      </w:pPr>
      <w:r>
        <w:rPr>
          <w:rFonts w:ascii="Arial" w:cs="Arial" w:eastAsia="Arial" w:hAnsi="Arial"/>
          <w:sz w:val="18"/>
          <w:szCs w:val="18"/>
          <w:color w:val="auto"/>
        </w:rPr>
        <w:t>Our principal cash requirements are to finance the costs of our operations pending the billing and collection of client receivables, to fund payments with respect to our indebtedness, to invest in research and development, to acquire complementary businesses or assets, to repurchase shares of our common stock and to pay dividends on our common stock. We expect our cash on hand, cash flows from operations and cash available under our Credit Agreement to provide sufficient liquidity to fund our current obligations, projected working capital requirements and capital spending for at least the next twelve months.</w:t>
      </w:r>
    </w:p>
    <w:p>
      <w:pPr>
        <w:spacing w:after="0" w:line="141" w:lineRule="exact"/>
        <w:rPr>
          <w:sz w:val="20"/>
          <w:szCs w:val="20"/>
          <w:color w:val="auto"/>
        </w:rPr>
      </w:pPr>
    </w:p>
    <w:p>
      <w:pPr>
        <w:ind w:right="20" w:firstLine="509"/>
        <w:spacing w:after="0" w:line="256" w:lineRule="auto"/>
        <w:rPr>
          <w:sz w:val="20"/>
          <w:szCs w:val="20"/>
          <w:color w:val="auto"/>
        </w:rPr>
      </w:pPr>
      <w:r>
        <w:rPr>
          <w:rFonts w:ascii="Arial" w:cs="Arial" w:eastAsia="Arial" w:hAnsi="Arial"/>
          <w:sz w:val="18"/>
          <w:szCs w:val="18"/>
          <w:color w:val="auto"/>
        </w:rPr>
        <w:t>During the nine months ended September 30, 2022, we paid a quarterly cash dividend of $0.20 per share of common stock totaling $153.4 million in the aggregate. During the nine months ended September 30, 2021, we paid a quarterly cash dividend of $0.16 per share of common stock totaling $122.8 million.</w:t>
      </w:r>
    </w:p>
    <w:p>
      <w:pPr>
        <w:spacing w:after="0" w:line="148" w:lineRule="exact"/>
        <w:rPr>
          <w:sz w:val="20"/>
          <w:szCs w:val="20"/>
          <w:color w:val="auto"/>
        </w:rPr>
      </w:pPr>
    </w:p>
    <w:p>
      <w:pPr>
        <w:ind w:right="20" w:firstLine="509"/>
        <w:spacing w:after="0" w:line="243" w:lineRule="auto"/>
        <w:rPr>
          <w:sz w:val="20"/>
          <w:szCs w:val="20"/>
          <w:color w:val="auto"/>
        </w:rPr>
      </w:pPr>
      <w:r>
        <w:rPr>
          <w:rFonts w:ascii="Arial" w:cs="Arial" w:eastAsia="Arial" w:hAnsi="Arial"/>
          <w:sz w:val="18"/>
          <w:szCs w:val="18"/>
          <w:color w:val="auto"/>
        </w:rPr>
        <w:t>Client funds obligations include our transfer agency client balances invested overnight as well as our contractual obligations to remit funds to satisfy client pharmacy claim obligations and are recorded on the Condensed Consolidated Balance Sheet when incurred, generally after a claim has been processed by us. Our contractual obligations to remit funds to satisfy client obligations are primarily sourced by funds held on behalf of clients. We had $1,115.1 million of client funds obligations at September 30, 2022.</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24" w:name="page25"/>
    <w:bookmarkEnd w:id="24"/>
    <w:p>
      <w:pPr>
        <w:ind w:right="860" w:firstLine="509"/>
        <w:spacing w:after="0" w:line="261" w:lineRule="auto"/>
        <w:rPr>
          <w:sz w:val="20"/>
          <w:szCs w:val="20"/>
          <w:color w:val="auto"/>
        </w:rPr>
      </w:pPr>
      <w:r>
        <w:rPr>
          <w:rFonts w:ascii="Arial" w:cs="Arial" w:eastAsia="Arial" w:hAnsi="Arial"/>
          <w:sz w:val="18"/>
          <w:szCs w:val="18"/>
          <w:color w:val="auto"/>
        </w:rPr>
        <w:t>Cash flows from operating, investing and financing activities, as reflected in our Condensed Consolidated Statements of Cash Flows, are summarized in the following table (in millions):</w:t>
      </w:r>
    </w:p>
    <w:p>
      <w:pPr>
        <w:spacing w:after="0" w:line="14"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5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92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w w:val="99"/>
              </w:rPr>
              <w:t>Nine Months Ended September 30,</w:t>
            </w: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5700" w:type="dxa"/>
            <w:vAlign w:val="bottom"/>
            <w:vMerge w:val="restart"/>
          </w:tcPr>
          <w:p>
            <w:pPr>
              <w:spacing w:after="0"/>
              <w:rPr>
                <w:sz w:val="20"/>
                <w:szCs w:val="20"/>
                <w:color w:val="auto"/>
              </w:rPr>
            </w:pPr>
            <w:r>
              <w:rPr>
                <w:rFonts w:ascii="Arial" w:cs="Arial" w:eastAsia="Arial" w:hAnsi="Arial"/>
                <w:sz w:val="16"/>
                <w:szCs w:val="16"/>
                <w:b w:val="1"/>
                <w:bCs w:val="1"/>
                <w:color w:val="auto"/>
              </w:rPr>
              <w:t>Net cash, cash equivalents and restricted cash (used in) provided by:</w:t>
            </w:r>
          </w:p>
        </w:tc>
        <w:tc>
          <w:tcPr>
            <w:tcW w:w="24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vMerge w:val="restart"/>
          </w:tcPr>
          <w:p>
            <w:pPr>
              <w:jc w:val="right"/>
              <w:ind w:right="462"/>
              <w:spacing w:after="0"/>
              <w:rPr>
                <w:sz w:val="20"/>
                <w:szCs w:val="20"/>
                <w:color w:val="auto"/>
              </w:rPr>
            </w:pPr>
            <w:r>
              <w:rPr>
                <w:rFonts w:ascii="Arial" w:cs="Arial" w:eastAsia="Arial" w:hAnsi="Arial"/>
                <w:sz w:val="14"/>
                <w:szCs w:val="14"/>
                <w:b w:val="1"/>
                <w:bCs w:val="1"/>
                <w:color w:val="auto"/>
              </w:rPr>
              <w:t>2022</w:t>
            </w:r>
          </w:p>
        </w:tc>
        <w:tc>
          <w:tcPr>
            <w:tcW w:w="22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vMerge w:val="restart"/>
          </w:tcPr>
          <w:p>
            <w:pPr>
              <w:jc w:val="right"/>
              <w:ind w:right="461"/>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jc w:val="right"/>
              <w:ind w:right="82"/>
              <w:spacing w:after="0" w:line="133" w:lineRule="exact"/>
              <w:rPr>
                <w:sz w:val="20"/>
                <w:szCs w:val="20"/>
                <w:color w:val="auto"/>
              </w:rPr>
            </w:pPr>
            <w:r>
              <w:rPr>
                <w:rFonts w:ascii="Arial" w:cs="Arial" w:eastAsia="Arial" w:hAnsi="Arial"/>
                <w:sz w:val="14"/>
                <w:szCs w:val="14"/>
                <w:b w:val="1"/>
                <w:bCs w:val="1"/>
                <w:color w:val="auto"/>
                <w:w w:val="93"/>
              </w:rPr>
              <w:t>Change From</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5700" w:type="dxa"/>
            <w:vAlign w:val="bottom"/>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162"/>
              <w:spacing w:after="0"/>
              <w:rPr>
                <w:sz w:val="20"/>
                <w:szCs w:val="20"/>
                <w:color w:val="auto"/>
              </w:rPr>
            </w:pPr>
            <w:r>
              <w:rPr>
                <w:rFonts w:ascii="Arial" w:cs="Arial" w:eastAsia="Arial" w:hAnsi="Arial"/>
                <w:sz w:val="14"/>
                <w:szCs w:val="14"/>
                <w:b w:val="1"/>
                <w:bCs w:val="1"/>
                <w:color w:val="auto"/>
              </w:rPr>
              <w:t>Prior Year</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5700" w:type="dxa"/>
            <w:vAlign w:val="bottom"/>
            <w:shd w:val="clear" w:color="auto" w:fill="CFF0FC"/>
          </w:tcPr>
          <w:p>
            <w:pPr>
              <w:ind w:left="360"/>
              <w:spacing w:after="0"/>
              <w:rPr>
                <w:sz w:val="20"/>
                <w:szCs w:val="20"/>
                <w:color w:val="auto"/>
              </w:rPr>
            </w:pPr>
            <w:r>
              <w:rPr>
                <w:rFonts w:ascii="Arial" w:cs="Arial" w:eastAsia="Arial" w:hAnsi="Arial"/>
                <w:sz w:val="16"/>
                <w:szCs w:val="16"/>
                <w:color w:val="auto"/>
              </w:rPr>
              <w:t>Operating activities</w:t>
            </w:r>
          </w:p>
        </w:tc>
        <w:tc>
          <w:tcPr>
            <w:tcW w:w="240" w:type="dxa"/>
            <w:vAlign w:val="bottom"/>
            <w:shd w:val="clear" w:color="auto" w:fill="CFF0FC"/>
          </w:tcPr>
          <w:p>
            <w:pPr>
              <w:jc w:val="right"/>
              <w:ind w:right="84"/>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764.6</w:t>
            </w:r>
          </w:p>
        </w:tc>
        <w:tc>
          <w:tcPr>
            <w:tcW w:w="22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944.9</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(180.3 )</w:t>
            </w:r>
          </w:p>
        </w:tc>
        <w:tc>
          <w:tcPr>
            <w:tcW w:w="0" w:type="dxa"/>
            <w:vAlign w:val="bottom"/>
          </w:tcPr>
          <w:p>
            <w:pPr>
              <w:spacing w:after="0"/>
              <w:rPr>
                <w:sz w:val="1"/>
                <w:szCs w:val="1"/>
                <w:color w:val="auto"/>
              </w:rPr>
            </w:pPr>
          </w:p>
        </w:tc>
      </w:tr>
      <w:tr>
        <w:trPr>
          <w:trHeight w:val="227"/>
        </w:trPr>
        <w:tc>
          <w:tcPr>
            <w:tcW w:w="5700" w:type="dxa"/>
            <w:vAlign w:val="bottom"/>
          </w:tcPr>
          <w:p>
            <w:pPr>
              <w:ind w:left="360"/>
              <w:spacing w:after="0"/>
              <w:rPr>
                <w:sz w:val="20"/>
                <w:szCs w:val="20"/>
                <w:color w:val="auto"/>
              </w:rPr>
            </w:pPr>
            <w:r>
              <w:rPr>
                <w:rFonts w:ascii="Arial" w:cs="Arial" w:eastAsia="Arial" w:hAnsi="Arial"/>
                <w:sz w:val="16"/>
                <w:szCs w:val="16"/>
                <w:color w:val="auto"/>
              </w:rPr>
              <w:t>Investing activities</w:t>
            </w:r>
          </w:p>
        </w:tc>
        <w:tc>
          <w:tcPr>
            <w:tcW w:w="240" w:type="dxa"/>
            <w:vAlign w:val="bottom"/>
          </w:tcPr>
          <w:p>
            <w:pPr>
              <w:spacing w:after="0"/>
              <w:rPr>
                <w:sz w:val="19"/>
                <w:szCs w:val="19"/>
                <w:color w:val="auto"/>
              </w:rPr>
            </w:pPr>
          </w:p>
        </w:tc>
        <w:tc>
          <w:tcPr>
            <w:tcW w:w="1340" w:type="dxa"/>
            <w:vAlign w:val="bottom"/>
            <w:gridSpan w:val="2"/>
          </w:tcPr>
          <w:p>
            <w:pPr>
              <w:jc w:val="right"/>
              <w:ind w:right="79"/>
              <w:spacing w:after="0"/>
              <w:rPr>
                <w:sz w:val="20"/>
                <w:szCs w:val="20"/>
                <w:color w:val="auto"/>
              </w:rPr>
            </w:pPr>
            <w:r>
              <w:rPr>
                <w:rFonts w:ascii="Arial" w:cs="Arial" w:eastAsia="Arial" w:hAnsi="Arial"/>
                <w:sz w:val="16"/>
                <w:szCs w:val="16"/>
                <w:color w:val="auto"/>
              </w:rPr>
              <w:t>(1,707.8 )</w:t>
            </w:r>
          </w:p>
        </w:tc>
        <w:tc>
          <w:tcPr>
            <w:tcW w:w="320" w:type="dxa"/>
            <w:vAlign w:val="bottom"/>
          </w:tcPr>
          <w:p>
            <w:pPr>
              <w:spacing w:after="0"/>
              <w:rPr>
                <w:sz w:val="19"/>
                <w:szCs w:val="19"/>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6"/>
                <w:szCs w:val="16"/>
                <w:color w:val="auto"/>
              </w:rPr>
              <w:t>(58.2 )</w:t>
            </w:r>
          </w:p>
        </w:tc>
        <w:tc>
          <w:tcPr>
            <w:tcW w:w="12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(1,649.6 )</w:t>
            </w:r>
          </w:p>
        </w:tc>
        <w:tc>
          <w:tcPr>
            <w:tcW w:w="0" w:type="dxa"/>
            <w:vAlign w:val="bottom"/>
          </w:tcPr>
          <w:p>
            <w:pPr>
              <w:spacing w:after="0"/>
              <w:rPr>
                <w:sz w:val="1"/>
                <w:szCs w:val="1"/>
                <w:color w:val="auto"/>
              </w:rPr>
            </w:pPr>
          </w:p>
        </w:tc>
      </w:tr>
      <w:tr>
        <w:trPr>
          <w:trHeight w:val="233"/>
        </w:trPr>
        <w:tc>
          <w:tcPr>
            <w:tcW w:w="5700" w:type="dxa"/>
            <w:vAlign w:val="bottom"/>
            <w:shd w:val="clear" w:color="auto" w:fill="CFF0FC"/>
          </w:tcPr>
          <w:p>
            <w:pPr>
              <w:ind w:left="360"/>
              <w:spacing w:after="0"/>
              <w:rPr>
                <w:sz w:val="20"/>
                <w:szCs w:val="20"/>
                <w:color w:val="auto"/>
              </w:rPr>
            </w:pPr>
            <w:r>
              <w:rPr>
                <w:rFonts w:ascii="Arial" w:cs="Arial" w:eastAsia="Arial" w:hAnsi="Arial"/>
                <w:sz w:val="16"/>
                <w:szCs w:val="16"/>
                <w:color w:val="auto"/>
              </w:rPr>
              <w:t>Financing activities</w:t>
            </w:r>
          </w:p>
        </w:tc>
        <w:tc>
          <w:tcPr>
            <w:tcW w:w="240" w:type="dxa"/>
            <w:vAlign w:val="bottom"/>
            <w:shd w:val="clear" w:color="auto" w:fill="CFF0FC"/>
          </w:tcPr>
          <w:p>
            <w:pPr>
              <w:spacing w:after="0"/>
              <w:rPr>
                <w:sz w:val="20"/>
                <w:szCs w:val="20"/>
                <w:color w:val="auto"/>
              </w:rPr>
            </w:pPr>
          </w:p>
        </w:tc>
        <w:tc>
          <w:tcPr>
            <w:tcW w:w="1340" w:type="dxa"/>
            <w:vAlign w:val="bottom"/>
            <w:gridSpan w:val="2"/>
            <w:shd w:val="clear" w:color="auto" w:fill="CFF0FC"/>
          </w:tcPr>
          <w:p>
            <w:pPr>
              <w:jc w:val="right"/>
              <w:ind w:right="79"/>
              <w:spacing w:after="0"/>
              <w:rPr>
                <w:sz w:val="20"/>
                <w:szCs w:val="20"/>
                <w:color w:val="auto"/>
              </w:rPr>
            </w:pPr>
            <w:r>
              <w:rPr>
                <w:rFonts w:ascii="Arial" w:cs="Arial" w:eastAsia="Arial" w:hAnsi="Arial"/>
                <w:sz w:val="16"/>
                <w:szCs w:val="16"/>
                <w:color w:val="auto"/>
              </w:rPr>
              <w:t>(751.7 )</w:t>
            </w:r>
          </w:p>
        </w:tc>
        <w:tc>
          <w:tcPr>
            <w:tcW w:w="32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483.5</w:t>
            </w: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(1,235.2 )</w:t>
            </w:r>
          </w:p>
        </w:tc>
        <w:tc>
          <w:tcPr>
            <w:tcW w:w="0" w:type="dxa"/>
            <w:vAlign w:val="bottom"/>
          </w:tcPr>
          <w:p>
            <w:pPr>
              <w:spacing w:after="0"/>
              <w:rPr>
                <w:sz w:val="1"/>
                <w:szCs w:val="1"/>
                <w:color w:val="auto"/>
              </w:rPr>
            </w:pPr>
          </w:p>
        </w:tc>
      </w:tr>
      <w:tr>
        <w:trPr>
          <w:trHeight w:val="216"/>
        </w:trPr>
        <w:tc>
          <w:tcPr>
            <w:tcW w:w="5700" w:type="dxa"/>
            <w:vAlign w:val="bottom"/>
          </w:tcPr>
          <w:p>
            <w:pPr>
              <w:ind w:left="180"/>
              <w:spacing w:after="0"/>
              <w:rPr>
                <w:sz w:val="20"/>
                <w:szCs w:val="20"/>
                <w:color w:val="auto"/>
              </w:rPr>
            </w:pPr>
            <w:r>
              <w:rPr>
                <w:rFonts w:ascii="Arial" w:cs="Arial" w:eastAsia="Arial" w:hAnsi="Arial"/>
                <w:sz w:val="16"/>
                <w:szCs w:val="16"/>
                <w:color w:val="auto"/>
                <w:w w:val="98"/>
              </w:rPr>
              <w:t>Effect of exchange rate changes on cash, cash equivalents and restricted cash</w:t>
            </w:r>
          </w:p>
        </w:tc>
        <w:tc>
          <w:tcPr>
            <w:tcW w:w="240" w:type="dxa"/>
            <w:vAlign w:val="bottom"/>
          </w:tcPr>
          <w:p>
            <w:pPr>
              <w:spacing w:after="0"/>
              <w:rPr>
                <w:sz w:val="18"/>
                <w:szCs w:val="18"/>
                <w:color w:val="auto"/>
              </w:rPr>
            </w:pPr>
          </w:p>
        </w:tc>
        <w:tc>
          <w:tcPr>
            <w:tcW w:w="1340" w:type="dxa"/>
            <w:vAlign w:val="bottom"/>
            <w:gridSpan w:val="2"/>
          </w:tcPr>
          <w:p>
            <w:pPr>
              <w:jc w:val="right"/>
              <w:ind w:right="79"/>
              <w:spacing w:after="0"/>
              <w:rPr>
                <w:sz w:val="20"/>
                <w:szCs w:val="20"/>
                <w:color w:val="auto"/>
              </w:rPr>
            </w:pPr>
            <w:r>
              <w:rPr>
                <w:rFonts w:ascii="Arial" w:cs="Arial" w:eastAsia="Arial" w:hAnsi="Arial"/>
                <w:sz w:val="16"/>
                <w:szCs w:val="16"/>
                <w:color w:val="auto"/>
              </w:rPr>
              <w:t>(32.9 )</w:t>
            </w:r>
          </w:p>
        </w:tc>
        <w:tc>
          <w:tcPr>
            <w:tcW w:w="32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6"/>
                <w:szCs w:val="16"/>
                <w:color w:val="auto"/>
              </w:rPr>
              <w:t>(4.2 )</w:t>
            </w:r>
          </w:p>
        </w:tc>
        <w:tc>
          <w:tcPr>
            <w:tcW w:w="12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(28.7 )</w:t>
            </w:r>
          </w:p>
        </w:tc>
        <w:tc>
          <w:tcPr>
            <w:tcW w:w="0" w:type="dxa"/>
            <w:vAlign w:val="bottom"/>
          </w:tcPr>
          <w:p>
            <w:pPr>
              <w:spacing w:after="0"/>
              <w:rPr>
                <w:sz w:val="1"/>
                <w:szCs w:val="1"/>
                <w:color w:val="auto"/>
              </w:rPr>
            </w:pPr>
          </w:p>
        </w:tc>
      </w:tr>
      <w:tr>
        <w:trPr>
          <w:trHeight w:val="236"/>
        </w:trPr>
        <w:tc>
          <w:tcPr>
            <w:tcW w:w="57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Net (decrease) increase in cash, cash equivalents and restricted cash</w:t>
            </w:r>
          </w:p>
        </w:tc>
        <w:tc>
          <w:tcPr>
            <w:tcW w:w="240" w:type="dxa"/>
            <w:vAlign w:val="bottom"/>
            <w:tcBorders>
              <w:top w:val="single" w:sz="8" w:color="auto"/>
              <w:bottom w:val="single" w:sz="8" w:color="auto"/>
            </w:tcBorders>
            <w:shd w:val="clear" w:color="auto" w:fill="CFF0FC"/>
          </w:tcPr>
          <w:p>
            <w:pPr>
              <w:jc w:val="right"/>
              <w:ind w:right="84"/>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(1,727.8</w:t>
            </w:r>
          </w:p>
        </w:tc>
        <w:tc>
          <w:tcPr>
            <w:tcW w:w="220" w:type="dxa"/>
            <w:vAlign w:val="bottom"/>
            <w:tcBorders>
              <w:bottom w:val="single" w:sz="8" w:color="CFF0FC"/>
            </w:tcBorders>
            <w:shd w:val="clear" w:color="auto" w:fill="CFF0FC"/>
          </w:tcPr>
          <w:p>
            <w:pPr>
              <w:jc w:val="right"/>
              <w:ind w:right="79"/>
              <w:spacing w:after="0"/>
              <w:rPr>
                <w:sz w:val="20"/>
                <w:szCs w:val="20"/>
                <w:color w:val="auto"/>
              </w:rPr>
            </w:pPr>
            <w:r>
              <w:rPr>
                <w:rFonts w:ascii="Arial" w:cs="Arial" w:eastAsia="Arial" w:hAnsi="Arial"/>
                <w:sz w:val="16"/>
                <w:szCs w:val="16"/>
                <w:color w:val="auto"/>
                <w:w w:val="74"/>
              </w:rPr>
              <w:t>)</w:t>
            </w:r>
          </w:p>
        </w:tc>
        <w:tc>
          <w:tcPr>
            <w:tcW w:w="320" w:type="dxa"/>
            <w:vAlign w:val="bottom"/>
            <w:tcBorders>
              <w:top w:val="single" w:sz="8" w:color="auto"/>
              <w:bottom w:val="single" w:sz="8" w:color="auto"/>
            </w:tcBorders>
            <w:shd w:val="clear" w:color="auto" w:fill="CFF0FC"/>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1,366.0</w:t>
            </w:r>
          </w:p>
        </w:tc>
        <w:tc>
          <w:tcPr>
            <w:tcW w:w="20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(3,093.8</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4848225</wp:posOffset>
            </wp:positionH>
            <wp:positionV relativeFrom="paragraph">
              <wp:posOffset>-24765</wp:posOffset>
            </wp:positionV>
            <wp:extent cx="6858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-7620</wp:posOffset>
            </wp:positionV>
            <wp:extent cx="6858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-24765</wp:posOffset>
            </wp:positionV>
            <wp:extent cx="60325"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-7620</wp:posOffset>
            </wp:positionV>
            <wp:extent cx="60325"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2022 versus 2021</w:t>
      </w:r>
    </w:p>
    <w:p>
      <w:pPr>
        <w:spacing w:after="0" w:line="117" w:lineRule="exact"/>
        <w:rPr>
          <w:sz w:val="20"/>
          <w:szCs w:val="20"/>
          <w:color w:val="auto"/>
        </w:rPr>
      </w:pPr>
    </w:p>
    <w:p>
      <w:pPr>
        <w:ind w:right="40" w:firstLine="509"/>
        <w:spacing w:after="0" w:line="258" w:lineRule="auto"/>
        <w:rPr>
          <w:sz w:val="20"/>
          <w:szCs w:val="20"/>
          <w:color w:val="auto"/>
        </w:rPr>
      </w:pPr>
      <w:r>
        <w:rPr>
          <w:rFonts w:ascii="Arial" w:cs="Arial" w:eastAsia="Arial" w:hAnsi="Arial"/>
          <w:sz w:val="17"/>
          <w:szCs w:val="17"/>
          <w:color w:val="auto"/>
        </w:rPr>
        <w:t>Net cash provided by operating activities was $764.6 million for the nine months ended September 30, 2022. Cash provided by operating activities primarily resulted from net income of $441.4 million adjusted for non-cash items of $553.0 million, partially offset by changes in our working capital accounts (excluding the effect of acquisitions) totaling $229.8 million. The changes in our working capital accounts were driven by decreases in accrued expenses and deferred revenue and an increase in accounts receivable, partially offset by a decrease in prepaid expenses. Cash provided by operating activities was negatively affected by approximately $68.0 million of transaction costs related to the Blue Prism acquisition. The decrease in accrued expenses was primarily due to the payment of annual employee bonuses in the first quarter of 2022 and the payment of transaction costs related to the Blue Prism acquisition that were recorded as liabilities at the time of acquisition.</w:t>
      </w:r>
    </w:p>
    <w:p>
      <w:pPr>
        <w:spacing w:after="0" w:line="149" w:lineRule="exact"/>
        <w:rPr>
          <w:sz w:val="20"/>
          <w:szCs w:val="20"/>
          <w:color w:val="auto"/>
        </w:rPr>
      </w:pPr>
    </w:p>
    <w:p>
      <w:pPr>
        <w:ind w:right="20" w:firstLine="509"/>
        <w:spacing w:after="0" w:line="290" w:lineRule="auto"/>
        <w:rPr>
          <w:sz w:val="20"/>
          <w:szCs w:val="20"/>
          <w:color w:val="auto"/>
        </w:rPr>
      </w:pPr>
      <w:r>
        <w:rPr>
          <w:rFonts w:ascii="Arial" w:cs="Arial" w:eastAsia="Arial" w:hAnsi="Arial"/>
          <w:sz w:val="16"/>
          <w:szCs w:val="16"/>
          <w:color w:val="auto"/>
        </w:rPr>
        <w:t>Investing activities used net cash of $1,707.8 million for the nine months ended September 30, 2022, primarily related to $1,629.5 million paid for business acquisitions, net of cash acquired, $108.2 million in capitalized software development costs, $53.3 million in capital expenditures and seed capital investments of $10.0 million, partially offset by distributions received from unconsolidated affiliates of $66.2 million, proceeds from the sale of property of $10.9 million, proceeds from sales and maturities of investments of $8.6 million and collection of other non-current receivables of $7.5 million.</w:t>
      </w:r>
    </w:p>
    <w:p>
      <w:pPr>
        <w:spacing w:after="0" w:line="123" w:lineRule="exact"/>
        <w:rPr>
          <w:sz w:val="20"/>
          <w:szCs w:val="20"/>
          <w:color w:val="auto"/>
        </w:rPr>
      </w:pPr>
    </w:p>
    <w:p>
      <w:pPr>
        <w:ind w:right="160" w:firstLine="509"/>
        <w:spacing w:after="0" w:line="268" w:lineRule="auto"/>
        <w:rPr>
          <w:sz w:val="20"/>
          <w:szCs w:val="20"/>
          <w:color w:val="auto"/>
        </w:rPr>
      </w:pPr>
      <w:r>
        <w:rPr>
          <w:rFonts w:ascii="Arial" w:cs="Arial" w:eastAsia="Arial" w:hAnsi="Arial"/>
          <w:sz w:val="17"/>
          <w:szCs w:val="17"/>
          <w:color w:val="auto"/>
        </w:rPr>
        <w:t>Financing activities used net cash of $751.7 million for the nine months ended September 30, 2022, primarily representing a net decrease in client fund obligations of $1,564.5 million, $385.4 million of purchases of common stock for treasury, $153.4 million in quarterly dividends paid, $14.7 million of deferred financing fees payments and $0.6 million in withholding taxes paid related to equity award net share settlements. These expenditures were partially offset by net borrowings of $1,293.6 million and proceeds of $73.3 million from stock option exercises.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2021 versus 2020</w:t>
      </w:r>
    </w:p>
    <w:p>
      <w:pPr>
        <w:spacing w:after="0" w:line="104" w:lineRule="exact"/>
        <w:rPr>
          <w:sz w:val="20"/>
          <w:szCs w:val="20"/>
          <w:color w:val="auto"/>
        </w:rPr>
      </w:pPr>
    </w:p>
    <w:p>
      <w:pPr>
        <w:ind w:firstLine="509"/>
        <w:spacing w:after="0" w:line="277" w:lineRule="auto"/>
        <w:rPr>
          <w:sz w:val="20"/>
          <w:szCs w:val="20"/>
          <w:color w:val="auto"/>
        </w:rPr>
      </w:pPr>
      <w:r>
        <w:rPr>
          <w:rFonts w:ascii="Arial" w:cs="Arial" w:eastAsia="Arial" w:hAnsi="Arial"/>
          <w:sz w:val="18"/>
          <w:szCs w:val="18"/>
          <w:color w:val="auto"/>
        </w:rPr>
        <w:t>Our cash, cash equivalents and restricted cash and cash equivalents, including amounts held on behalf of clients, were $2,703.9 million at September 30, 2021, an increase of $1,366.0 million from $1,337.9 million at December 31, 2020.</w:t>
      </w:r>
    </w:p>
    <w:p>
      <w:pPr>
        <w:spacing w:after="0" w:line="116" w:lineRule="exact"/>
        <w:rPr>
          <w:sz w:val="20"/>
          <w:szCs w:val="20"/>
          <w:color w:val="auto"/>
        </w:rPr>
      </w:pPr>
    </w:p>
    <w:p>
      <w:pPr>
        <w:ind w:right="20" w:firstLine="509"/>
        <w:spacing w:after="0" w:line="278" w:lineRule="auto"/>
        <w:rPr>
          <w:sz w:val="20"/>
          <w:szCs w:val="20"/>
          <w:color w:val="auto"/>
        </w:rPr>
      </w:pPr>
      <w:r>
        <w:rPr>
          <w:rFonts w:ascii="Arial" w:cs="Arial" w:eastAsia="Arial" w:hAnsi="Arial"/>
          <w:sz w:val="16"/>
          <w:szCs w:val="16"/>
          <w:color w:val="auto"/>
        </w:rPr>
        <w:t>Net cash provided by operating activities was $944.9 million for the nine months ended September 30, 2021. Cash provided by operating activities primarily resulted from net income of $549.4 million adjusted for non-cash items of $508.6 million, partially offset by changes in our working capital accounts (excluding the effect of acquisitions) totaling $113.1 million. The changes in our working capital accounts were driven by an increase in accounts receivable, a decrease in accrued expenses and other liabilities, a decrease in deferred revenue and a decrease in accounts payable, partially offset by changes in income tax prepaid and payable and a decrease in prepaid expenses and other assets. The increase in accounts receivable was primarily due to an increase in days’ sales outstanding. The decrease in accrued expenses and other liabilities was primarily due to the payment of annual employee bonuses in the first quarter of 2021. The decrease in deferred revenue was primarily due to the recognition of revenue associated with multi-year license agreements where we received payment in 2020 as well as the revenue associated with annual maintenance fees. The change in income taxes prepaid and payable is primarily driven by the timing of tax payments. The decrease in prepaid expenses and other assets was primarily due to the timing of payments.</w:t>
      </w:r>
    </w:p>
    <w:p>
      <w:pPr>
        <w:spacing w:after="0" w:line="120" w:lineRule="exact"/>
        <w:rPr>
          <w:sz w:val="20"/>
          <w:szCs w:val="20"/>
          <w:color w:val="auto"/>
        </w:rPr>
      </w:pPr>
    </w:p>
    <w:p>
      <w:pPr>
        <w:ind w:right="20" w:firstLine="509"/>
        <w:spacing w:after="0" w:line="249" w:lineRule="auto"/>
        <w:rPr>
          <w:sz w:val="20"/>
          <w:szCs w:val="20"/>
          <w:color w:val="auto"/>
        </w:rPr>
      </w:pPr>
      <w:r>
        <w:rPr>
          <w:rFonts w:ascii="Arial" w:cs="Arial" w:eastAsia="Arial" w:hAnsi="Arial"/>
          <w:sz w:val="18"/>
          <w:szCs w:val="18"/>
          <w:color w:val="auto"/>
        </w:rPr>
        <w:t>Investing activities used net cash of $58.2 million for the nine months ended September 30, 2021, primarily related to $65.2 million in capitalized software development costs, $31.0 million in capital expenditures and $20.1 million in investments in securities, partially offset by proceeds from sales and maturities of investments of $42.3 million, collection of other non-current receivables of $8.3 million and net cash acquired for business acquisitions of $7.3 million.</w:t>
      </w:r>
    </w:p>
    <w:p>
      <w:pPr>
        <w:spacing w:after="0" w:line="154" w:lineRule="exact"/>
        <w:rPr>
          <w:sz w:val="20"/>
          <w:szCs w:val="20"/>
          <w:color w:val="auto"/>
        </w:rPr>
      </w:pPr>
    </w:p>
    <w:p>
      <w:pPr>
        <w:ind w:right="260" w:firstLine="509"/>
        <w:spacing w:after="0" w:line="256" w:lineRule="auto"/>
        <w:rPr>
          <w:sz w:val="20"/>
          <w:szCs w:val="20"/>
          <w:color w:val="auto"/>
        </w:rPr>
      </w:pPr>
      <w:r>
        <w:rPr>
          <w:rFonts w:ascii="Arial" w:cs="Arial" w:eastAsia="Arial" w:hAnsi="Arial"/>
          <w:sz w:val="18"/>
          <w:szCs w:val="18"/>
          <w:color w:val="auto"/>
        </w:rPr>
        <w:t>Financing activities provided net cash of $483.5 million for the nine months ended September 30, 2021, primarily representing a net increase in client funds obligations of $1,226.3 million, proceeds of $124.2 million from stock option exercises and proceeds from noncontrolling interests of $67.3 million. These proceeds were partially offset by $487.9 million of purchases of common stock for</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17" w:right="359" w:bottom="1440" w:gutter="0" w:footer="0" w:header="0"/>
        </w:sectPr>
      </w:pPr>
    </w:p>
    <w:bookmarkStart w:id="25" w:name="page26"/>
    <w:bookmarkEnd w:id="25"/>
    <w:p>
      <w:pPr>
        <w:ind w:right="160"/>
        <w:spacing w:after="0" w:line="261" w:lineRule="auto"/>
        <w:rPr>
          <w:sz w:val="20"/>
          <w:szCs w:val="20"/>
          <w:color w:val="auto"/>
        </w:rPr>
      </w:pPr>
      <w:r>
        <w:rPr>
          <w:rFonts w:ascii="Arial" w:cs="Arial" w:eastAsia="Arial" w:hAnsi="Arial"/>
          <w:sz w:val="18"/>
          <w:szCs w:val="18"/>
          <w:color w:val="auto"/>
        </w:rPr>
        <w:t>treasury, net repayments of debt of $317.8 million, $122.8 million in quarterly dividends paid and $5.8 million in withholding taxes paid related to equity award net share settlements.</w:t>
      </w:r>
    </w:p>
    <w:p>
      <w:pPr>
        <w:spacing w:after="0" w:line="144" w:lineRule="exact"/>
        <w:rPr>
          <w:sz w:val="20"/>
          <w:szCs w:val="20"/>
          <w:color w:val="auto"/>
        </w:rPr>
      </w:pPr>
    </w:p>
    <w:p>
      <w:pPr>
        <w:ind w:firstLine="509"/>
        <w:spacing w:after="0" w:line="245" w:lineRule="auto"/>
        <w:rPr>
          <w:sz w:val="20"/>
          <w:szCs w:val="20"/>
          <w:color w:val="auto"/>
        </w:rPr>
      </w:pPr>
      <w:r>
        <w:rPr>
          <w:rFonts w:ascii="Arial" w:cs="Arial" w:eastAsia="Arial" w:hAnsi="Arial"/>
          <w:sz w:val="18"/>
          <w:szCs w:val="18"/>
          <w:color w:val="auto"/>
        </w:rPr>
        <w:t>We have made a permanent reinvestment determination in certain non-U.S. operations that have historically generated positive operating cash flows. At September 30, 2022, we held approximately $184.2 million in cash and cash equivalents at non-U.S. subsidiaries where we had made such a determination and in turn, no provision for foreign withholding, foreign local, or U.S. state income taxes had been made. At September 30, 2022, we held approximately $102.2 million in cash that was available to our foreign borrowers under our senior secured credit facility and will be used to facilitate debt servicing of those entities.</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104" w:lineRule="exact"/>
        <w:rPr>
          <w:sz w:val="20"/>
          <w:szCs w:val="20"/>
          <w:color w:val="auto"/>
        </w:rPr>
      </w:pPr>
    </w:p>
    <w:p>
      <w:pPr>
        <w:ind w:firstLine="509"/>
        <w:spacing w:after="0" w:line="342" w:lineRule="auto"/>
        <w:rPr>
          <w:sz w:val="20"/>
          <w:szCs w:val="20"/>
          <w:color w:val="auto"/>
        </w:rPr>
      </w:pPr>
      <w:r>
        <w:rPr>
          <w:rFonts w:ascii="Arial" w:cs="Arial" w:eastAsia="Arial" w:hAnsi="Arial"/>
          <w:sz w:val="16"/>
          <w:szCs w:val="16"/>
          <w:color w:val="auto"/>
        </w:rPr>
        <w:t>We have no off-balance sheet arrangements that have or are reasonably likely to have a current or future effect on our financial condition, changes in financial condition, revenues or expenses, results of operations, liquidity, capital expenditures or capital resources that is material to investors.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Secured Credit Facilities</w:t>
      </w:r>
    </w:p>
    <w:p>
      <w:pPr>
        <w:spacing w:after="0" w:line="104" w:lineRule="exact"/>
        <w:rPr>
          <w:sz w:val="20"/>
          <w:szCs w:val="20"/>
          <w:color w:val="auto"/>
        </w:rPr>
      </w:pPr>
    </w:p>
    <w:p>
      <w:pPr>
        <w:ind w:right="60" w:firstLine="509"/>
        <w:spacing w:after="0" w:line="263" w:lineRule="auto"/>
        <w:rPr>
          <w:sz w:val="20"/>
          <w:szCs w:val="20"/>
          <w:color w:val="auto"/>
        </w:rPr>
      </w:pPr>
      <w:r>
        <w:rPr>
          <w:rFonts w:ascii="Arial" w:cs="Arial" w:eastAsia="Arial" w:hAnsi="Arial"/>
          <w:sz w:val="17"/>
          <w:szCs w:val="17"/>
          <w:color w:val="auto"/>
        </w:rPr>
        <w:t>As of September 30, 2022, there was $1,234.0 million in principal amount outstanding under the Term B-3 Loan, $1,001.8 million in principal amount outstanding under the Term B-4 Loan, $1,706.1 million in principal amount outstanding under the Term B-5 Loan, $561.0 million in principal amount outstanding under the Term B-6 Loan and $792.2 million in principal amount outstanding under the Term B-7 Loan. In addition, the amended senior secured credit facility has a revolving credit facility with a five-year term available for borrowings by SS&amp;C with $250 million in available commitments (“Revolving Credit Facility”), of which $247.5 million was available as of September 30, 2022. The Revolving Credit Facility also contains a $25 million letter of credit sub-facility, of which $2.5 million was utilized as of September 30, 2022.</w:t>
      </w:r>
    </w:p>
    <w:p>
      <w:pPr>
        <w:spacing w:after="0" w:line="146" w:lineRule="exact"/>
        <w:rPr>
          <w:sz w:val="20"/>
          <w:szCs w:val="20"/>
          <w:color w:val="auto"/>
        </w:rPr>
      </w:pPr>
    </w:p>
    <w:p>
      <w:pPr>
        <w:ind w:firstLine="509"/>
        <w:spacing w:after="0" w:line="263" w:lineRule="auto"/>
        <w:rPr>
          <w:sz w:val="20"/>
          <w:szCs w:val="20"/>
          <w:color w:val="auto"/>
        </w:rPr>
      </w:pPr>
      <w:r>
        <w:rPr>
          <w:rFonts w:ascii="Arial" w:cs="Arial" w:eastAsia="Arial" w:hAnsi="Arial"/>
          <w:sz w:val="17"/>
          <w:szCs w:val="17"/>
          <w:color w:val="auto"/>
        </w:rPr>
        <w:t>We are required to make scheduled quarterly payments of 0.25% of the original principal amount of the Term B-3 Loan, Term B-4 Loan and Term B-5 Loan, with the balance due and payable on April 16, 2025. We are required to make scheduled quarterly payments of 0.25% of the original principal amount of the Term B-6 Loan and Term B-7 Loan commencing with the fiscal quarter ending September 30, 2022, with the balance due and payable on March 22, 2029. No amortization is required under the Revolving Credit Facility. We may also, from time to time in our sole discretion, purchase, redeem, or retire our existing term loans, through tender offers, in privately negotiated or open market transactions, or otherwise.</w:t>
      </w:r>
    </w:p>
    <w:p>
      <w:pPr>
        <w:spacing w:after="0" w:line="144" w:lineRule="exact"/>
        <w:rPr>
          <w:sz w:val="20"/>
          <w:szCs w:val="20"/>
          <w:color w:val="auto"/>
        </w:rPr>
      </w:pPr>
    </w:p>
    <w:p>
      <w:pPr>
        <w:ind w:right="80" w:firstLine="509"/>
        <w:spacing w:after="0" w:line="248" w:lineRule="auto"/>
        <w:rPr>
          <w:sz w:val="20"/>
          <w:szCs w:val="20"/>
          <w:color w:val="auto"/>
        </w:rPr>
      </w:pPr>
      <w:r>
        <w:rPr>
          <w:rFonts w:ascii="Arial" w:cs="Arial" w:eastAsia="Arial" w:hAnsi="Arial"/>
          <w:sz w:val="18"/>
          <w:szCs w:val="18"/>
          <w:color w:val="auto"/>
        </w:rPr>
        <w:t>Our obligations under the Term Loans are guaranteed by (i) our existing and future U.S. wholly-owned restricted subsidiaries, in the case of the Term B-3 Loan, Term B-5 Loan, Term B-6 Loan and the Revolving Credit Facility and (ii) our existing and future wholly-owned restricted subsidiaries, in the case of the Term B-4 Loan and Term B-7 Loan.</w:t>
      </w:r>
    </w:p>
    <w:p>
      <w:pPr>
        <w:spacing w:after="0" w:line="155" w:lineRule="exact"/>
        <w:rPr>
          <w:sz w:val="20"/>
          <w:szCs w:val="20"/>
          <w:color w:val="auto"/>
        </w:rPr>
      </w:pPr>
    </w:p>
    <w:p>
      <w:pPr>
        <w:ind w:right="20" w:firstLine="509"/>
        <w:spacing w:after="0" w:line="279" w:lineRule="auto"/>
        <w:rPr>
          <w:sz w:val="20"/>
          <w:szCs w:val="20"/>
          <w:color w:val="auto"/>
        </w:rPr>
      </w:pPr>
      <w:r>
        <w:rPr>
          <w:rFonts w:ascii="Arial" w:cs="Arial" w:eastAsia="Arial" w:hAnsi="Arial"/>
          <w:sz w:val="16"/>
          <w:szCs w:val="16"/>
          <w:color w:val="auto"/>
        </w:rPr>
        <w:t>The obligations of the U.S. loan parties under the amended senior secured credit facility are secured by substantially all of the assets of such persons (subject to customary exceptions and limitations), including a pledge of all of the capital stock of substantially all of the U.S. wholly-owned restricted subsidiaries of such persons (with customary exceptions and limitations) and 65% of the capital stock of certain foreign restricted subsidiaries of such persons (with customary exceptions and limitations). All obligations of the non-U.S. loan parties under the amended senior secured credit facility are secured by substantially all of our and the other guarantors’ assets (subject to customary exceptions and limitations), including a pledge of all of the capital stock of substantially all of our wholly-owned restricted subsidiaries (with customary exceptions and limitations).</w:t>
      </w:r>
    </w:p>
    <w:p>
      <w:pPr>
        <w:spacing w:after="0" w:line="134" w:lineRule="exact"/>
        <w:rPr>
          <w:sz w:val="20"/>
          <w:szCs w:val="20"/>
          <w:color w:val="auto"/>
        </w:rPr>
      </w:pPr>
    </w:p>
    <w:p>
      <w:pPr>
        <w:ind w:firstLine="509"/>
        <w:spacing w:after="0" w:line="276" w:lineRule="auto"/>
        <w:rPr>
          <w:sz w:val="20"/>
          <w:szCs w:val="20"/>
          <w:color w:val="auto"/>
        </w:rPr>
      </w:pPr>
      <w:r>
        <w:rPr>
          <w:rFonts w:ascii="Arial" w:cs="Arial" w:eastAsia="Arial" w:hAnsi="Arial"/>
          <w:sz w:val="16"/>
          <w:szCs w:val="16"/>
          <w:color w:val="auto"/>
        </w:rPr>
        <w:t>The amended senior secured credit facility includes negative covenants that, among other things and subject to certain thresholds and exceptions, limit our ability and the ability of our restricted subsidiaries to incur debt or liens, make investments (including in the form of loans and acquisitions), merge, liquidate or dissolve, sell property and assets, including capital stock of our subsidiaries, pay dividends on our capital stock or redeem, repurchase or retire our capital stock, alter the business we conduct, amend, prepay, redeem or purchase subordinated debt, or engage in transactions with our affiliates. The amended senior secured credit facility also contains customary representations and warranties, affirmative covenants and events of default, subject to customary thresholds and exceptions. In addition, the amended senior secured credit facility contains a financial covenant for the benefit of the Revolving Credit Facility requiring us to maintain a minimum consolidated net secured leverage ratio. In addition, under the amended senior secured credit facility, certain defaults under agreements governing other material indebtedness could result in an event of default under the amended senior secured credit facility, in which case the lenders could elect to accelerate payments under the amended senior secured credit facility and terminate any commitments they have to provide future borrowings. As of September 30, 2022, we were in compliance with all financial and non-financial covenants.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17" w:right="35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i w:val="1"/>
          <w:iCs w:val="1"/>
          <w:color w:val="auto"/>
        </w:rPr>
        <w:t>Senior Notes</w:t>
      </w:r>
    </w:p>
    <w:p>
      <w:pPr>
        <w:spacing w:after="0" w:line="117" w:lineRule="exact"/>
        <w:rPr>
          <w:sz w:val="20"/>
          <w:szCs w:val="20"/>
          <w:color w:val="auto"/>
        </w:rPr>
      </w:pPr>
    </w:p>
    <w:p>
      <w:pPr>
        <w:ind w:firstLine="584"/>
        <w:spacing w:after="0" w:line="263" w:lineRule="auto"/>
        <w:rPr>
          <w:sz w:val="20"/>
          <w:szCs w:val="20"/>
          <w:color w:val="auto"/>
        </w:rPr>
      </w:pPr>
      <w:r>
        <w:rPr>
          <w:rFonts w:ascii="Arial" w:cs="Arial" w:eastAsia="Arial" w:hAnsi="Arial"/>
          <w:sz w:val="17"/>
          <w:szCs w:val="17"/>
          <w:color w:val="auto"/>
        </w:rPr>
        <w:t>On March 28, 2019, we issued $2,000.0 million aggregate principal amount of 5.5% Senior Notes due 2027 (“Senior Notes”), the proceeds of which were used to repay a portion of the outstanding Term B-3 Loan under our existing senior secured credit facilities. The Senior Notes are guaranteed, jointly and severally, by SS&amp;C Holdings and all of its existing and future domestic restricted subsidiaries that guarantee our existing senior secured credit facilities or certain other indebtedness. The Senior Notes are unsecured senior obligations that are equal in right of payment to all of our existing and future senior unsecured indebtedness. Interest on the Senior Notes is payable on March 30 and September 30 of each year.</w:t>
      </w:r>
    </w:p>
    <w:p>
      <w:pPr>
        <w:spacing w:after="0" w:line="144" w:lineRule="exact"/>
        <w:rPr>
          <w:sz w:val="20"/>
          <w:szCs w:val="20"/>
          <w:color w:val="auto"/>
        </w:rPr>
      </w:pPr>
    </w:p>
    <w:p>
      <w:pPr>
        <w:ind w:right="100" w:firstLine="584"/>
        <w:spacing w:after="0" w:line="276" w:lineRule="auto"/>
        <w:rPr>
          <w:sz w:val="20"/>
          <w:szCs w:val="20"/>
          <w:color w:val="auto"/>
        </w:rPr>
      </w:pPr>
      <w:r>
        <w:rPr>
          <w:rFonts w:ascii="Arial" w:cs="Arial" w:eastAsia="Arial" w:hAnsi="Arial"/>
          <w:sz w:val="17"/>
          <w:szCs w:val="17"/>
          <w:color w:val="auto"/>
        </w:rPr>
        <w:t>At any time and from time to time, we may, at our option, redeem some or all of the Senior Notes, in whole or in part, at the redemption prices set forth in the following table, expressed as a percentage of the principal amount, plus accrued and unpaid interest to the redemption date:</w:t>
      </w:r>
    </w:p>
    <w:p>
      <w:pPr>
        <w:spacing w:after="0" w:line="1" w:lineRule="exact"/>
        <w:rPr>
          <w:sz w:val="20"/>
          <w:szCs w:val="20"/>
          <w:color w:val="auto"/>
        </w:rPr>
      </w:pPr>
    </w:p>
    <w:tbl>
      <w:tblPr>
        <w:tblLayout w:type="fixed"/>
        <w:tblInd w:w="1880" w:type="dxa"/>
        <w:tblCellMar>
          <w:top w:w="0" w:type="dxa"/>
          <w:left w:w="0" w:type="dxa"/>
          <w:bottom w:w="0" w:type="dxa"/>
          <w:right w:w="0" w:type="dxa"/>
        </w:tblCellMar>
      </w:tblPr>
      <w:tr>
        <w:trPr>
          <w:trHeight w:val="191"/>
        </w:trPr>
        <w:tc>
          <w:tcPr>
            <w:tcW w:w="10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Redemption Date</w:t>
            </w:r>
          </w:p>
        </w:tc>
        <w:tc>
          <w:tcPr>
            <w:tcW w:w="3860" w:type="dxa"/>
            <w:vAlign w:val="bottom"/>
          </w:tcPr>
          <w:p>
            <w:pPr>
              <w:spacing w:after="0"/>
              <w:rPr>
                <w:sz w:val="16"/>
                <w:szCs w:val="16"/>
                <w:color w:val="auto"/>
              </w:rPr>
            </w:pPr>
          </w:p>
        </w:tc>
        <w:tc>
          <w:tcPr>
            <w:tcW w:w="2660" w:type="dxa"/>
            <w:vAlign w:val="bottom"/>
            <w:gridSpan w:val="2"/>
          </w:tcPr>
          <w:p>
            <w:pPr>
              <w:jc w:val="right"/>
              <w:ind w:right="1170"/>
              <w:spacing w:after="0"/>
              <w:rPr>
                <w:sz w:val="20"/>
                <w:szCs w:val="20"/>
                <w:color w:val="auto"/>
              </w:rPr>
            </w:pPr>
            <w:r>
              <w:rPr>
                <w:rFonts w:ascii="Arial" w:cs="Arial" w:eastAsia="Arial" w:hAnsi="Arial"/>
                <w:sz w:val="14"/>
                <w:szCs w:val="14"/>
                <w:b w:val="1"/>
                <w:bCs w:val="1"/>
                <w:color w:val="auto"/>
              </w:rPr>
              <w:t>Price</w:t>
            </w:r>
          </w:p>
        </w:tc>
      </w:tr>
      <w:tr>
        <w:trPr>
          <w:trHeight w:val="203"/>
        </w:trPr>
        <w:tc>
          <w:tcPr>
            <w:tcW w:w="4940" w:type="dxa"/>
            <w:vAlign w:val="bottom"/>
            <w:gridSpan w:val="2"/>
          </w:tcPr>
          <w:p>
            <w:pPr>
              <w:ind w:left="80"/>
              <w:spacing w:after="0" w:line="203" w:lineRule="exact"/>
              <w:rPr>
                <w:sz w:val="20"/>
                <w:szCs w:val="20"/>
                <w:color w:val="auto"/>
              </w:rPr>
            </w:pPr>
            <w:r>
              <w:rPr>
                <w:rFonts w:ascii="Arial" w:cs="Arial" w:eastAsia="Arial" w:hAnsi="Arial"/>
                <w:sz w:val="18"/>
                <w:szCs w:val="18"/>
                <w:color w:val="auto"/>
              </w:rPr>
              <w:t>On or after March 30, 2022</w:t>
            </w:r>
          </w:p>
        </w:tc>
        <w:tc>
          <w:tcPr>
            <w:tcW w:w="25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104.125</w:t>
            </w:r>
          </w:p>
        </w:tc>
        <w:tc>
          <w:tcPr>
            <w:tcW w:w="160" w:type="dxa"/>
            <w:vAlign w:val="bottom"/>
          </w:tcPr>
          <w:p>
            <w:pPr>
              <w:jc w:val="right"/>
              <w:spacing w:after="0" w:line="203" w:lineRule="exact"/>
              <w:rPr>
                <w:sz w:val="20"/>
                <w:szCs w:val="20"/>
                <w:color w:val="auto"/>
              </w:rPr>
            </w:pPr>
            <w:r>
              <w:rPr>
                <w:rFonts w:ascii="Arial" w:cs="Arial" w:eastAsia="Arial" w:hAnsi="Arial"/>
                <w:sz w:val="18"/>
                <w:szCs w:val="18"/>
                <w:color w:val="auto"/>
                <w:w w:val="87"/>
              </w:rPr>
              <w:t>%</w:t>
            </w:r>
          </w:p>
        </w:tc>
      </w:tr>
      <w:tr>
        <w:trPr>
          <w:trHeight w:val="216"/>
        </w:trPr>
        <w:tc>
          <w:tcPr>
            <w:tcW w:w="4940" w:type="dxa"/>
            <w:vAlign w:val="bottom"/>
            <w:gridSpan w:val="2"/>
          </w:tcPr>
          <w:p>
            <w:pPr>
              <w:ind w:left="80"/>
              <w:spacing w:after="0"/>
              <w:rPr>
                <w:sz w:val="20"/>
                <w:szCs w:val="20"/>
                <w:color w:val="auto"/>
              </w:rPr>
            </w:pPr>
            <w:r>
              <w:rPr>
                <w:rFonts w:ascii="Arial" w:cs="Arial" w:eastAsia="Arial" w:hAnsi="Arial"/>
                <w:sz w:val="18"/>
                <w:szCs w:val="18"/>
                <w:color w:val="auto"/>
              </w:rPr>
              <w:t>On or after March 30, 2023</w:t>
            </w:r>
          </w:p>
        </w:tc>
        <w:tc>
          <w:tcPr>
            <w:tcW w:w="2660" w:type="dxa"/>
            <w:vAlign w:val="bottom"/>
            <w:gridSpan w:val="2"/>
          </w:tcPr>
          <w:p>
            <w:pPr>
              <w:jc w:val="right"/>
              <w:spacing w:after="0"/>
              <w:rPr>
                <w:sz w:val="20"/>
                <w:szCs w:val="20"/>
                <w:color w:val="auto"/>
              </w:rPr>
            </w:pPr>
            <w:r>
              <w:rPr>
                <w:rFonts w:ascii="Arial" w:cs="Arial" w:eastAsia="Arial" w:hAnsi="Arial"/>
                <w:sz w:val="18"/>
                <w:szCs w:val="18"/>
                <w:color w:val="auto"/>
              </w:rPr>
              <w:t>102.750 %</w:t>
            </w:r>
          </w:p>
        </w:tc>
      </w:tr>
      <w:tr>
        <w:trPr>
          <w:trHeight w:val="216"/>
        </w:trPr>
        <w:tc>
          <w:tcPr>
            <w:tcW w:w="4940" w:type="dxa"/>
            <w:vAlign w:val="bottom"/>
            <w:gridSpan w:val="2"/>
          </w:tcPr>
          <w:p>
            <w:pPr>
              <w:ind w:left="80"/>
              <w:spacing w:after="0"/>
              <w:rPr>
                <w:sz w:val="20"/>
                <w:szCs w:val="20"/>
                <w:color w:val="auto"/>
              </w:rPr>
            </w:pPr>
            <w:r>
              <w:rPr>
                <w:rFonts w:ascii="Arial" w:cs="Arial" w:eastAsia="Arial" w:hAnsi="Arial"/>
                <w:sz w:val="18"/>
                <w:szCs w:val="18"/>
                <w:color w:val="auto"/>
              </w:rPr>
              <w:t>On or after March 30, 2024</w:t>
            </w:r>
          </w:p>
        </w:tc>
        <w:tc>
          <w:tcPr>
            <w:tcW w:w="2660" w:type="dxa"/>
            <w:vAlign w:val="bottom"/>
            <w:gridSpan w:val="2"/>
          </w:tcPr>
          <w:p>
            <w:pPr>
              <w:jc w:val="right"/>
              <w:spacing w:after="0"/>
              <w:rPr>
                <w:sz w:val="20"/>
                <w:szCs w:val="20"/>
                <w:color w:val="auto"/>
              </w:rPr>
            </w:pPr>
            <w:r>
              <w:rPr>
                <w:rFonts w:ascii="Arial" w:cs="Arial" w:eastAsia="Arial" w:hAnsi="Arial"/>
                <w:sz w:val="18"/>
                <w:szCs w:val="18"/>
                <w:color w:val="auto"/>
              </w:rPr>
              <w:t>101.375 %</w:t>
            </w:r>
          </w:p>
        </w:tc>
      </w:tr>
      <w:tr>
        <w:trPr>
          <w:trHeight w:val="230"/>
        </w:trPr>
        <w:tc>
          <w:tcPr>
            <w:tcW w:w="4940" w:type="dxa"/>
            <w:vAlign w:val="bottom"/>
            <w:gridSpan w:val="2"/>
          </w:tcPr>
          <w:p>
            <w:pPr>
              <w:ind w:left="80"/>
              <w:spacing w:after="0"/>
              <w:rPr>
                <w:sz w:val="20"/>
                <w:szCs w:val="20"/>
                <w:color w:val="auto"/>
              </w:rPr>
            </w:pPr>
            <w:r>
              <w:rPr>
                <w:rFonts w:ascii="Arial" w:cs="Arial" w:eastAsia="Arial" w:hAnsi="Arial"/>
                <w:sz w:val="18"/>
                <w:szCs w:val="18"/>
                <w:color w:val="auto"/>
              </w:rPr>
              <w:t>March 30, 2025 and thereafter</w:t>
            </w:r>
          </w:p>
        </w:tc>
        <w:tc>
          <w:tcPr>
            <w:tcW w:w="2660" w:type="dxa"/>
            <w:vAlign w:val="bottom"/>
            <w:gridSpan w:val="2"/>
          </w:tcPr>
          <w:p>
            <w:pPr>
              <w:jc w:val="right"/>
              <w:spacing w:after="0"/>
              <w:rPr>
                <w:sz w:val="20"/>
                <w:szCs w:val="20"/>
                <w:color w:val="auto"/>
              </w:rPr>
            </w:pPr>
            <w:r>
              <w:rPr>
                <w:rFonts w:ascii="Arial" w:cs="Arial" w:eastAsia="Arial" w:hAnsi="Arial"/>
                <w:sz w:val="18"/>
                <w:szCs w:val="18"/>
                <w:color w:val="auto"/>
              </w:rPr>
              <w:t>100.000 %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1188085</wp:posOffset>
            </wp:positionH>
            <wp:positionV relativeFrom="paragraph">
              <wp:posOffset>-556895</wp:posOffset>
            </wp:positionV>
            <wp:extent cx="4774565" cy="13716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4774565" cy="137160"/>
                    </a:xfrm>
                    <a:prstGeom prst="rect">
                      <a:avLst/>
                    </a:prstGeom>
                    <a:noFill/>
                  </pic:spPr>
                </pic:pic>
              </a:graphicData>
            </a:graphic>
          </wp:anchor>
        </w:drawing>
        <w:drawing>
          <wp:anchor simplePos="0" relativeHeight="251657728" behindDoc="1" locked="0" layoutInCell="0" allowOverlap="1">
            <wp:simplePos x="0" y="0"/>
            <wp:positionH relativeFrom="column">
              <wp:posOffset>1188085</wp:posOffset>
            </wp:positionH>
            <wp:positionV relativeFrom="paragraph">
              <wp:posOffset>-282575</wp:posOffset>
            </wp:positionV>
            <wp:extent cx="4774565" cy="13716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4774565" cy="137160"/>
                    </a:xfrm>
                    <a:prstGeom prst="rect">
                      <a:avLst/>
                    </a:prstGeom>
                    <a:noFill/>
                  </pic:spPr>
                </pic:pic>
              </a:graphicData>
            </a:graphic>
          </wp:anchor>
        </w:drawing>
      </w:r>
    </w:p>
    <w:p>
      <w:pPr>
        <w:spacing w:after="0" w:line="140" w:lineRule="exact"/>
        <w:rPr>
          <w:sz w:val="20"/>
          <w:szCs w:val="20"/>
          <w:color w:val="auto"/>
        </w:rPr>
      </w:pPr>
    </w:p>
    <w:p>
      <w:pPr>
        <w:ind w:right="60" w:firstLine="584"/>
        <w:spacing w:after="0" w:line="277" w:lineRule="auto"/>
        <w:rPr>
          <w:sz w:val="20"/>
          <w:szCs w:val="20"/>
          <w:color w:val="auto"/>
        </w:rPr>
      </w:pPr>
      <w:r>
        <w:rPr>
          <w:rFonts w:ascii="Arial" w:cs="Arial" w:eastAsia="Arial" w:hAnsi="Arial"/>
          <w:sz w:val="18"/>
          <w:szCs w:val="18"/>
          <w:color w:val="auto"/>
        </w:rPr>
        <w:t>We may also, from time to time in our sole discretion, purchase, redeem, or retire any outstanding Senior Notes, through tender offers, in privately negotiated or open market transactions, or otherwise.</w:t>
      </w:r>
    </w:p>
    <w:p>
      <w:pPr>
        <w:spacing w:after="0" w:line="116" w:lineRule="exact"/>
        <w:rPr>
          <w:sz w:val="20"/>
          <w:szCs w:val="20"/>
          <w:color w:val="auto"/>
        </w:rPr>
      </w:pPr>
    </w:p>
    <w:p>
      <w:pPr>
        <w:ind w:right="40" w:firstLine="584"/>
        <w:spacing w:after="0" w:line="249" w:lineRule="auto"/>
        <w:rPr>
          <w:sz w:val="20"/>
          <w:szCs w:val="20"/>
          <w:color w:val="auto"/>
        </w:rPr>
      </w:pPr>
      <w:r>
        <w:rPr>
          <w:rFonts w:ascii="Arial" w:cs="Arial" w:eastAsia="Arial" w:hAnsi="Arial"/>
          <w:sz w:val="18"/>
          <w:szCs w:val="18"/>
          <w:color w:val="auto"/>
        </w:rPr>
        <w:t>The indenture governing the Senior Notes contains a number of covenants that restrict, subject to certain thresholds and exceptions, our ability and the ability of our domestic restricted subsidiaries to incur debt or liens, make certain investments, pay dividends, dispose of certain assets, or enter into transactions with its affiliates. Any event of default under the amended senior secured credit facility that leads to an acceleration of those amounts due also results in a default under the indenture governing the Senior Notes.</w:t>
      </w:r>
    </w:p>
    <w:p>
      <w:pPr>
        <w:spacing w:after="0" w:line="154"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As of September 30, 2022, there was $2,000.0 million in principal amount of Senior Notes outstanding.</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Covenant Compliance</w:t>
      </w:r>
    </w:p>
    <w:p>
      <w:pPr>
        <w:spacing w:after="0" w:line="117" w:lineRule="exact"/>
        <w:rPr>
          <w:sz w:val="20"/>
          <w:szCs w:val="20"/>
          <w:color w:val="auto"/>
        </w:rPr>
      </w:pPr>
    </w:p>
    <w:p>
      <w:pPr>
        <w:ind w:firstLine="509"/>
        <w:spacing w:after="0" w:line="274" w:lineRule="auto"/>
        <w:rPr>
          <w:sz w:val="20"/>
          <w:szCs w:val="20"/>
          <w:color w:val="auto"/>
        </w:rPr>
      </w:pPr>
      <w:r>
        <w:rPr>
          <w:rFonts w:ascii="Arial" w:cs="Arial" w:eastAsia="Arial" w:hAnsi="Arial"/>
          <w:sz w:val="16"/>
          <w:szCs w:val="16"/>
          <w:color w:val="auto"/>
        </w:rPr>
        <w:t>Under the Revolving Credit Facility portion of the amended senior secured credit facility, we are required to satisfy and maintain a specified financial ratio at the end of each fiscal quarter if the sum of (i) outstanding amount of all loans under the Revolving Credit Facility and (ii) all non-cash collateralized letters of credit issued under the Revolving Credit Facility in excess of $20 million is equal to or greater than 30% of the total commitments under the Revolving Credit Facility. Our ability to meet this financial ratio can be affected by events beyond our control, and we cannot assure you that we will meet this ratio. Any breach of this covenant could result in an event of default under the amended senior secured credit facility. Upon the occurrence of any event of default under the amended senior secured credit facility, the lenders could elect to declare all amounts outstanding under the amended senior secured credit facility to be immediately due and payable and terminate all commitments to extend further credit. Any default and subsequent acceleration of payments under the amended senior secured credit facility would have a material adverse effect on our results of operations, financial position and cash flows. Additionally, under the amended senior secured credit facility, our ability to engage in activities such as incurring additional indebtedness, making investments and paying dividends is also tied to baskets and ratios based on Consolidated EBITDA.</w:t>
      </w:r>
    </w:p>
    <w:p>
      <w:pPr>
        <w:spacing w:after="0" w:line="140" w:lineRule="exact"/>
        <w:rPr>
          <w:sz w:val="20"/>
          <w:szCs w:val="20"/>
          <w:color w:val="auto"/>
        </w:rPr>
      </w:pPr>
    </w:p>
    <w:p>
      <w:pPr>
        <w:ind w:right="40" w:firstLine="509"/>
        <w:spacing w:after="0" w:line="263" w:lineRule="auto"/>
        <w:rPr>
          <w:sz w:val="20"/>
          <w:szCs w:val="20"/>
          <w:color w:val="auto"/>
        </w:rPr>
      </w:pPr>
      <w:r>
        <w:rPr>
          <w:rFonts w:ascii="Arial" w:cs="Arial" w:eastAsia="Arial" w:hAnsi="Arial"/>
          <w:sz w:val="17"/>
          <w:szCs w:val="17"/>
          <w:color w:val="auto"/>
        </w:rPr>
        <w:t>Consolidated EBITDA is a non-GAAP financial measure used in key financial covenants contained in the amended senior secured credit facility, which is the material facility supporting our capital structure and providing liquidity to our business. Consolidated EBITDA is defined as earnings before interest, taxes, depreciation and amortization (“EBITDA”), further adjusted to exclude unusual items and other adjustments permitted in calculating covenant compliance under the amended senior secured credit facility. We believe that the inclusion of supplementary adjustments to EBITDA applied in presenting Consolidated EBITDA is appropriate to provide additional information to investors to demonstrate compliance with the specified financial ratio and other financial condition tests contained in the amended senior secured credit facility.</w:t>
      </w:r>
    </w:p>
    <w:p>
      <w:pPr>
        <w:spacing w:after="0" w:line="132" w:lineRule="exact"/>
        <w:rPr>
          <w:sz w:val="20"/>
          <w:szCs w:val="20"/>
          <w:color w:val="auto"/>
        </w:rPr>
      </w:pPr>
    </w:p>
    <w:p>
      <w:pPr>
        <w:ind w:right="420" w:firstLine="509"/>
        <w:spacing w:after="0" w:line="256" w:lineRule="auto"/>
        <w:rPr>
          <w:sz w:val="20"/>
          <w:szCs w:val="20"/>
          <w:color w:val="auto"/>
        </w:rPr>
      </w:pPr>
      <w:r>
        <w:rPr>
          <w:rFonts w:ascii="Arial" w:cs="Arial" w:eastAsia="Arial" w:hAnsi="Arial"/>
          <w:sz w:val="18"/>
          <w:szCs w:val="18"/>
          <w:color w:val="auto"/>
        </w:rPr>
        <w:t>Management uses Consolidated EBITDA to gauge the costs of our capital structure on a day-to-day basis when full financial statements are unavailable. Management further believes that providing this information allows our investors greater transparency and a better understanding of our ability to meet our debt service obligations and make capital expenditures.</w:t>
      </w:r>
    </w:p>
    <w:p>
      <w:pPr>
        <w:spacing w:after="0" w:line="148" w:lineRule="exact"/>
        <w:rPr>
          <w:sz w:val="20"/>
          <w:szCs w:val="20"/>
          <w:color w:val="auto"/>
        </w:rPr>
      </w:pPr>
    </w:p>
    <w:p>
      <w:pPr>
        <w:ind w:firstLine="509"/>
        <w:spacing w:after="0" w:line="248" w:lineRule="auto"/>
        <w:rPr>
          <w:sz w:val="20"/>
          <w:szCs w:val="20"/>
          <w:color w:val="auto"/>
        </w:rPr>
      </w:pPr>
      <w:r>
        <w:rPr>
          <w:rFonts w:ascii="Arial" w:cs="Arial" w:eastAsia="Arial" w:hAnsi="Arial"/>
          <w:sz w:val="18"/>
          <w:szCs w:val="18"/>
          <w:color w:val="auto"/>
        </w:rPr>
        <w:t>Consolidated EBITDA does not represent net income or cash flow from operations as those terms are defined by generally accepted accounting principles, or GAAP, and does not necessarily indicate whether cash flows will be sufficient to fund cash needs. Further, the amended senior secured credit facility requires that Consolidated EBITDA be calculated for the most recent four fiscal</w:t>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52" w:right="379" w:bottom="1440" w:gutter="0" w:footer="0" w:header="0"/>
        </w:sectPr>
      </w:pPr>
    </w:p>
    <w:bookmarkStart w:id="27" w:name="page28"/>
    <w:bookmarkEnd w:id="27"/>
    <w:p>
      <w:pPr>
        <w:ind w:right="340"/>
        <w:spacing w:after="0" w:line="261" w:lineRule="auto"/>
        <w:rPr>
          <w:sz w:val="20"/>
          <w:szCs w:val="20"/>
          <w:color w:val="auto"/>
        </w:rPr>
      </w:pPr>
      <w:r>
        <w:rPr>
          <w:rFonts w:ascii="Arial" w:cs="Arial" w:eastAsia="Arial" w:hAnsi="Arial"/>
          <w:sz w:val="18"/>
          <w:szCs w:val="18"/>
          <w:color w:val="auto"/>
        </w:rPr>
        <w:t>quarters. As a result, the measure can be disproportionately affected by a particularly strong or weak quarter. Further, it may not be comparable to the measure for any subsequent four-quarter period or any complete fiscal year.</w:t>
      </w:r>
    </w:p>
    <w:p>
      <w:pPr>
        <w:spacing w:after="0" w:line="144" w:lineRule="exact"/>
        <w:rPr>
          <w:sz w:val="20"/>
          <w:szCs w:val="20"/>
          <w:color w:val="auto"/>
        </w:rPr>
      </w:pPr>
    </w:p>
    <w:p>
      <w:pPr>
        <w:ind w:right="40" w:firstLine="509"/>
        <w:spacing w:after="0" w:line="263" w:lineRule="auto"/>
        <w:rPr>
          <w:sz w:val="20"/>
          <w:szCs w:val="20"/>
          <w:color w:val="auto"/>
        </w:rPr>
      </w:pPr>
      <w:r>
        <w:rPr>
          <w:rFonts w:ascii="Arial" w:cs="Arial" w:eastAsia="Arial" w:hAnsi="Arial"/>
          <w:sz w:val="17"/>
          <w:szCs w:val="17"/>
          <w:color w:val="auto"/>
        </w:rPr>
        <w:t>Consolidated EBITDA is not a recognized measurement under GAAP and investors should not consider Consolidated EBITDA as a substitute for measures of our financial performance and liquidity as determined in accordance with GAAP, such as net income, operating income or net cash provided by operating activities. Because other companies may calculate Consolidated EBITDA differently than we do, Consolidated EBITDA may not be comparable to similarly titled measures reported by other companies. Consolidated EBITDA has other limitations as an analytical tool, when compared to the use of net income, which is the most directly comparable GAAP financial measure, including:</w:t>
      </w:r>
    </w:p>
    <w:p>
      <w:pPr>
        <w:spacing w:after="0" w:line="63" w:lineRule="exact"/>
        <w:rPr>
          <w:sz w:val="20"/>
          <w:szCs w:val="20"/>
          <w:color w:val="auto"/>
        </w:rPr>
      </w:pPr>
    </w:p>
    <w:p>
      <w:pPr>
        <w:ind w:left="720" w:hanging="377"/>
        <w:spacing w:after="0"/>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Consolidated EBITDA does not reflect the significant interest expense we incur as a result of our debt leverage;</w:t>
      </w:r>
    </w:p>
    <w:p>
      <w:pPr>
        <w:spacing w:after="0" w:line="103" w:lineRule="exact"/>
        <w:rPr>
          <w:rFonts w:ascii="Arial" w:cs="Arial" w:eastAsia="Arial" w:hAnsi="Arial"/>
          <w:sz w:val="18"/>
          <w:szCs w:val="18"/>
          <w:color w:val="auto"/>
        </w:rPr>
      </w:pPr>
    </w:p>
    <w:p>
      <w:pPr>
        <w:ind w:left="720" w:hanging="377"/>
        <w:spacing w:after="0"/>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Consolidated EBITDA does not reflect the provision of income tax expense in our various jurisdictions;</w:t>
      </w:r>
    </w:p>
    <w:p>
      <w:pPr>
        <w:spacing w:after="0" w:line="117" w:lineRule="exact"/>
        <w:rPr>
          <w:rFonts w:ascii="Arial" w:cs="Arial" w:eastAsia="Arial" w:hAnsi="Arial"/>
          <w:sz w:val="18"/>
          <w:szCs w:val="18"/>
          <w:color w:val="auto"/>
        </w:rPr>
      </w:pPr>
    </w:p>
    <w:p>
      <w:pPr>
        <w:ind w:left="720" w:right="380" w:hanging="377"/>
        <w:spacing w:after="0" w:line="261"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Consolidated EBITDA does not reflect any attribution of costs to our operations related to our investments and capital expenditures through depreciation and amortization charges;</w:t>
      </w:r>
    </w:p>
    <w:p>
      <w:pPr>
        <w:spacing w:after="0" w:line="62" w:lineRule="exact"/>
        <w:rPr>
          <w:rFonts w:ascii="Arial" w:cs="Arial" w:eastAsia="Arial" w:hAnsi="Arial"/>
          <w:sz w:val="18"/>
          <w:szCs w:val="18"/>
          <w:color w:val="auto"/>
        </w:rPr>
      </w:pPr>
    </w:p>
    <w:p>
      <w:pPr>
        <w:ind w:left="720" w:hanging="377"/>
        <w:spacing w:after="0"/>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Consolidated EBITDA does not reflect the cost of compensation we provide to our employees in the form of stock-based awards;</w:t>
      </w:r>
    </w:p>
    <w:p>
      <w:pPr>
        <w:spacing w:after="0" w:line="117" w:lineRule="exact"/>
        <w:rPr>
          <w:rFonts w:ascii="Arial" w:cs="Arial" w:eastAsia="Arial" w:hAnsi="Arial"/>
          <w:sz w:val="18"/>
          <w:szCs w:val="18"/>
          <w:color w:val="auto"/>
        </w:rPr>
      </w:pPr>
    </w:p>
    <w:p>
      <w:pPr>
        <w:ind w:left="720" w:hanging="377"/>
        <w:spacing w:after="0"/>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Consolidated EBITDA does not reflect the equity in earnings of unconsolidated affiliates; and</w:t>
      </w:r>
    </w:p>
    <w:p>
      <w:pPr>
        <w:spacing w:after="0" w:line="103" w:lineRule="exact"/>
        <w:rPr>
          <w:rFonts w:ascii="Arial" w:cs="Arial" w:eastAsia="Arial" w:hAnsi="Arial"/>
          <w:sz w:val="18"/>
          <w:szCs w:val="18"/>
          <w:color w:val="auto"/>
        </w:rPr>
      </w:pPr>
    </w:p>
    <w:p>
      <w:pPr>
        <w:ind w:left="720" w:right="460" w:hanging="377"/>
        <w:spacing w:after="0" w:line="261"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Consolidated EBITDA excludes expenses and income that are permitted to be excluded per the terms of our amended senior secured credit facility, but which others may believe are normal expenses for the operation of a business.</w:t>
      </w:r>
    </w:p>
    <w:p>
      <w:pPr>
        <w:spacing w:after="0" w:line="184" w:lineRule="exact"/>
        <w:rPr>
          <w:sz w:val="20"/>
          <w:szCs w:val="20"/>
          <w:color w:val="auto"/>
        </w:rPr>
      </w:pPr>
    </w:p>
    <w:p>
      <w:pPr>
        <w:ind w:right="260" w:firstLine="509"/>
        <w:spacing w:after="0" w:line="247" w:lineRule="auto"/>
        <w:rPr>
          <w:sz w:val="20"/>
          <w:szCs w:val="20"/>
          <w:color w:val="auto"/>
        </w:rPr>
      </w:pPr>
      <w:r>
        <w:rPr>
          <w:rFonts w:ascii="Arial" w:cs="Arial" w:eastAsia="Arial" w:hAnsi="Arial"/>
          <w:sz w:val="18"/>
          <w:szCs w:val="18"/>
          <w:color w:val="auto"/>
        </w:rPr>
        <w:t>The following is a reconciliation of net income to Consolidated EBITDA attributable to SS&amp;C common stockholders as defined in our amended senior secured credit facility.</w:t>
      </w:r>
    </w:p>
    <w:tbl>
      <w:tblPr>
        <w:tblLayout w:type="fixed"/>
        <w:tblInd w:w="580" w:type="dxa"/>
        <w:tblCellMar>
          <w:top w:w="0" w:type="dxa"/>
          <w:left w:w="0" w:type="dxa"/>
          <w:bottom w:w="0" w:type="dxa"/>
          <w:right w:w="0" w:type="dxa"/>
        </w:tblCellMar>
      </w:tblPr>
      <w:tr>
        <w:trPr>
          <w:trHeight w:val="133"/>
        </w:trPr>
        <w:tc>
          <w:tcPr>
            <w:tcW w:w="4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gridSpan w:val="2"/>
          </w:tcPr>
          <w:p>
            <w:pPr>
              <w:jc w:val="center"/>
              <w:ind w:right="260"/>
              <w:spacing w:after="0" w:line="133" w:lineRule="exact"/>
              <w:rPr>
                <w:sz w:val="20"/>
                <w:szCs w:val="20"/>
                <w:color w:val="auto"/>
              </w:rPr>
            </w:pPr>
            <w:r>
              <w:rPr>
                <w:rFonts w:ascii="Arial" w:cs="Arial" w:eastAsia="Arial" w:hAnsi="Arial"/>
                <w:sz w:val="14"/>
                <w:szCs w:val="14"/>
                <w:b w:val="1"/>
                <w:bCs w:val="1"/>
                <w:color w:val="auto"/>
                <w:w w:val="94"/>
              </w:rPr>
              <w:t>Twelve</w:t>
            </w:r>
          </w:p>
        </w:tc>
        <w:tc>
          <w:tcPr>
            <w:tcW w:w="0" w:type="dxa"/>
            <w:vAlign w:val="bottom"/>
          </w:tcPr>
          <w:p>
            <w:pPr>
              <w:spacing w:after="0"/>
              <w:rPr>
                <w:sz w:val="1"/>
                <w:szCs w:val="1"/>
                <w:color w:val="auto"/>
              </w:rPr>
            </w:pPr>
          </w:p>
        </w:tc>
      </w:tr>
      <w:tr>
        <w:trPr>
          <w:trHeight w:val="162"/>
        </w:trPr>
        <w:tc>
          <w:tcPr>
            <w:tcW w:w="4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Months</w:t>
            </w:r>
          </w:p>
        </w:tc>
        <w:tc>
          <w:tcPr>
            <w:tcW w:w="0" w:type="dxa"/>
            <w:vAlign w:val="bottom"/>
          </w:tcPr>
          <w:p>
            <w:pPr>
              <w:spacing w:after="0"/>
              <w:rPr>
                <w:sz w:val="1"/>
                <w:szCs w:val="1"/>
                <w:color w:val="auto"/>
              </w:rPr>
            </w:pPr>
          </w:p>
        </w:tc>
      </w:tr>
      <w:tr>
        <w:trPr>
          <w:trHeight w:val="148"/>
        </w:trPr>
        <w:tc>
          <w:tcPr>
            <w:tcW w:w="4640" w:type="dxa"/>
            <w:vAlign w:val="bottom"/>
          </w:tcPr>
          <w:p>
            <w:pPr>
              <w:spacing w:after="0"/>
              <w:rPr>
                <w:sz w:val="12"/>
                <w:szCs w:val="12"/>
                <w:color w:val="auto"/>
              </w:rPr>
            </w:pPr>
          </w:p>
        </w:tc>
        <w:tc>
          <w:tcPr>
            <w:tcW w:w="2340" w:type="dxa"/>
            <w:vAlign w:val="bottom"/>
            <w:gridSpan w:val="6"/>
            <w:vMerge w:val="restart"/>
          </w:tcPr>
          <w:p>
            <w:pPr>
              <w:ind w:left="40"/>
              <w:spacing w:after="0"/>
              <w:rPr>
                <w:sz w:val="20"/>
                <w:szCs w:val="20"/>
                <w:color w:val="auto"/>
              </w:rPr>
            </w:pPr>
            <w:r>
              <w:rPr>
                <w:rFonts w:ascii="Arial" w:cs="Arial" w:eastAsia="Arial" w:hAnsi="Arial"/>
                <w:sz w:val="14"/>
                <w:szCs w:val="14"/>
                <w:b w:val="1"/>
                <w:bCs w:val="1"/>
                <w:color w:val="auto"/>
              </w:rPr>
              <w:t>Three Months Ended September</w:t>
            </w:r>
          </w:p>
        </w:tc>
        <w:tc>
          <w:tcPr>
            <w:tcW w:w="2200" w:type="dxa"/>
            <w:vAlign w:val="bottom"/>
            <w:gridSpan w:val="7"/>
            <w:vMerge w:val="restart"/>
          </w:tcPr>
          <w:p>
            <w:pPr>
              <w:ind w:left="20"/>
              <w:spacing w:after="0"/>
              <w:rPr>
                <w:sz w:val="20"/>
                <w:szCs w:val="20"/>
                <w:color w:val="auto"/>
              </w:rPr>
            </w:pPr>
            <w:r>
              <w:rPr>
                <w:rFonts w:ascii="Arial" w:cs="Arial" w:eastAsia="Arial" w:hAnsi="Arial"/>
                <w:sz w:val="14"/>
                <w:szCs w:val="14"/>
                <w:b w:val="1"/>
                <w:bCs w:val="1"/>
                <w:color w:val="auto"/>
              </w:rPr>
              <w:t>Nine Months Ended September</w:t>
            </w:r>
          </w:p>
        </w:tc>
        <w:tc>
          <w:tcPr>
            <w:tcW w:w="140" w:type="dxa"/>
            <w:vAlign w:val="bottom"/>
          </w:tcPr>
          <w:p>
            <w:pPr>
              <w:spacing w:after="0"/>
              <w:rPr>
                <w:sz w:val="12"/>
                <w:szCs w:val="12"/>
                <w:color w:val="auto"/>
              </w:rPr>
            </w:pPr>
          </w:p>
        </w:tc>
        <w:tc>
          <w:tcPr>
            <w:tcW w:w="7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Ended</w:t>
            </w:r>
          </w:p>
        </w:tc>
        <w:tc>
          <w:tcPr>
            <w:tcW w:w="0" w:type="dxa"/>
            <w:vAlign w:val="bottom"/>
          </w:tcPr>
          <w:p>
            <w:pPr>
              <w:spacing w:after="0"/>
              <w:rPr>
                <w:sz w:val="1"/>
                <w:szCs w:val="1"/>
                <w:color w:val="auto"/>
              </w:rPr>
            </w:pPr>
          </w:p>
        </w:tc>
      </w:tr>
      <w:tr>
        <w:trPr>
          <w:trHeight w:val="149"/>
        </w:trPr>
        <w:tc>
          <w:tcPr>
            <w:tcW w:w="4640" w:type="dxa"/>
            <w:vAlign w:val="bottom"/>
          </w:tcPr>
          <w:p>
            <w:pPr>
              <w:spacing w:after="0"/>
              <w:rPr>
                <w:sz w:val="12"/>
                <w:szCs w:val="12"/>
                <w:color w:val="auto"/>
              </w:rPr>
            </w:pPr>
          </w:p>
        </w:tc>
        <w:tc>
          <w:tcPr>
            <w:tcW w:w="2340" w:type="dxa"/>
            <w:vAlign w:val="bottom"/>
            <w:gridSpan w:val="6"/>
            <w:vMerge w:val="continue"/>
          </w:tcPr>
          <w:p>
            <w:pPr>
              <w:spacing w:after="0"/>
              <w:rPr>
                <w:sz w:val="12"/>
                <w:szCs w:val="12"/>
                <w:color w:val="auto"/>
              </w:rPr>
            </w:pPr>
          </w:p>
        </w:tc>
        <w:tc>
          <w:tcPr>
            <w:tcW w:w="2200" w:type="dxa"/>
            <w:vAlign w:val="bottom"/>
            <w:gridSpan w:val="7"/>
            <w:vMerge w:val="continue"/>
          </w:tcPr>
          <w:p>
            <w:pPr>
              <w:spacing w:after="0"/>
              <w:rPr>
                <w:sz w:val="12"/>
                <w:szCs w:val="12"/>
                <w:color w:val="auto"/>
              </w:rPr>
            </w:pPr>
          </w:p>
        </w:tc>
        <w:tc>
          <w:tcPr>
            <w:tcW w:w="92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1"/>
              </w:rPr>
              <w:t>September</w:t>
            </w:r>
          </w:p>
        </w:tc>
        <w:tc>
          <w:tcPr>
            <w:tcW w:w="0" w:type="dxa"/>
            <w:vAlign w:val="bottom"/>
          </w:tcPr>
          <w:p>
            <w:pPr>
              <w:spacing w:after="0"/>
              <w:rPr>
                <w:sz w:val="1"/>
                <w:szCs w:val="1"/>
                <w:color w:val="auto"/>
              </w:rPr>
            </w:pPr>
          </w:p>
        </w:tc>
      </w:tr>
      <w:tr>
        <w:trPr>
          <w:trHeight w:val="185"/>
        </w:trPr>
        <w:tc>
          <w:tcPr>
            <w:tcW w:w="46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30,</w:t>
            </w: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30,</w:t>
            </w: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30,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640" w:type="dxa"/>
            <w:vAlign w:val="bottom"/>
          </w:tcPr>
          <w:p>
            <w:pPr>
              <w:spacing w:after="0"/>
              <w:rPr>
                <w:sz w:val="20"/>
                <w:szCs w:val="20"/>
                <w:color w:val="auto"/>
              </w:rPr>
            </w:pPr>
            <w:r>
              <w:rPr>
                <w:rFonts w:ascii="Arial" w:cs="Arial" w:eastAsia="Arial" w:hAnsi="Arial"/>
                <w:sz w:val="14"/>
                <w:szCs w:val="14"/>
                <w:color w:val="auto"/>
              </w:rPr>
              <w:t>(in millions)</w:t>
            </w: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81"/>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640" w:type="dxa"/>
            <w:vAlign w:val="bottom"/>
          </w:tcPr>
          <w:p>
            <w:pPr>
              <w:spacing w:after="0"/>
              <w:rPr>
                <w:sz w:val="20"/>
                <w:szCs w:val="20"/>
                <w:color w:val="auto"/>
              </w:rPr>
            </w:pPr>
            <w:r>
              <w:rPr>
                <w:rFonts w:ascii="Arial" w:cs="Arial" w:eastAsia="Arial" w:hAnsi="Arial"/>
                <w:sz w:val="16"/>
                <w:szCs w:val="16"/>
                <w:color w:val="auto"/>
              </w:rPr>
              <w:t>Net income</w:t>
            </w:r>
          </w:p>
        </w:tc>
        <w:tc>
          <w:tcPr>
            <w:tcW w:w="200" w:type="dxa"/>
            <w:vAlign w:val="bottom"/>
          </w:tcPr>
          <w:p>
            <w:pPr>
              <w:ind w:left="20"/>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159.8</w:t>
            </w:r>
          </w:p>
        </w:tc>
        <w:tc>
          <w:tcPr>
            <w:tcW w:w="280" w:type="dxa"/>
            <w:vAlign w:val="bottom"/>
          </w:tcPr>
          <w:p>
            <w:pPr>
              <w:spacing w:after="0"/>
              <w:rPr>
                <w:sz w:val="17"/>
                <w:szCs w:val="17"/>
                <w:color w:val="auto"/>
              </w:rPr>
            </w:pP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184.7</w:t>
            </w:r>
          </w:p>
        </w:tc>
        <w:tc>
          <w:tcPr>
            <w:tcW w:w="240" w:type="dxa"/>
            <w:vAlign w:val="bottom"/>
          </w:tcPr>
          <w:p>
            <w:pPr>
              <w:spacing w:after="0"/>
              <w:rPr>
                <w:sz w:val="17"/>
                <w:szCs w:val="17"/>
                <w:color w:val="auto"/>
              </w:rPr>
            </w:pPr>
          </w:p>
        </w:tc>
        <w:tc>
          <w:tcPr>
            <w:tcW w:w="200" w:type="dxa"/>
            <w:vAlign w:val="bottom"/>
          </w:tcPr>
          <w:p>
            <w:pPr>
              <w:ind w:left="20"/>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441.4</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549.4</w:t>
            </w:r>
          </w:p>
        </w:tc>
        <w:tc>
          <w:tcPr>
            <w:tcW w:w="2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692.7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40" w:type="dxa"/>
            <w:vAlign w:val="bottom"/>
            <w:shd w:val="clear" w:color="auto" w:fill="CFF0FC"/>
          </w:tcPr>
          <w:p>
            <w:pPr>
              <w:spacing w:after="0"/>
              <w:rPr>
                <w:sz w:val="20"/>
                <w:szCs w:val="20"/>
                <w:color w:val="auto"/>
              </w:rPr>
            </w:pPr>
            <w:r>
              <w:rPr>
                <w:rFonts w:ascii="Arial" w:cs="Arial" w:eastAsia="Arial" w:hAnsi="Arial"/>
                <w:sz w:val="16"/>
                <w:szCs w:val="16"/>
                <w:color w:val="auto"/>
              </w:rPr>
              <w:t>Interest expense, net</w:t>
            </w:r>
          </w:p>
        </w:tc>
        <w:tc>
          <w:tcPr>
            <w:tcW w:w="20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86.0</w:t>
            </w:r>
          </w:p>
        </w:tc>
        <w:tc>
          <w:tcPr>
            <w:tcW w:w="2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50.2</w:t>
            </w: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203.0</w:t>
            </w:r>
          </w:p>
        </w:tc>
        <w:tc>
          <w:tcPr>
            <w:tcW w:w="2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152.6</w:t>
            </w: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251.9</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40" w:type="dxa"/>
            <w:vAlign w:val="bottom"/>
          </w:tcPr>
          <w:p>
            <w:pPr>
              <w:spacing w:after="0"/>
              <w:rPr>
                <w:sz w:val="20"/>
                <w:szCs w:val="20"/>
                <w:color w:val="auto"/>
              </w:rPr>
            </w:pPr>
            <w:r>
              <w:rPr>
                <w:rFonts w:ascii="Arial" w:cs="Arial" w:eastAsia="Arial" w:hAnsi="Arial"/>
                <w:sz w:val="16"/>
                <w:szCs w:val="16"/>
                <w:color w:val="auto"/>
              </w:rPr>
              <w:t>Provision for income taxes</w:t>
            </w: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53.4</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60.6</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162.1</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198.1</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200.3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Depreciation and amortization</w:t>
            </w:r>
          </w:p>
        </w:tc>
        <w:tc>
          <w:tcPr>
            <w:tcW w:w="200" w:type="dxa"/>
            <w:vAlign w:val="bottom"/>
            <w:tcBorders>
              <w:bottom w:val="single" w:sz="8" w:color="auto"/>
            </w:tcBorders>
            <w:shd w:val="clear" w:color="auto" w:fill="CFF0FC"/>
          </w:tcPr>
          <w:p>
            <w:pPr>
              <w:spacing w:after="0"/>
              <w:rPr>
                <w:sz w:val="17"/>
                <w:szCs w:val="17"/>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164.6</w:t>
            </w:r>
          </w:p>
        </w:tc>
        <w:tc>
          <w:tcPr>
            <w:tcW w:w="28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165.0</w:t>
            </w:r>
          </w:p>
        </w:tc>
        <w:tc>
          <w:tcPr>
            <w:tcW w:w="24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494.2</w:t>
            </w:r>
          </w:p>
        </w:tc>
        <w:tc>
          <w:tcPr>
            <w:tcW w:w="200" w:type="dxa"/>
            <w:vAlign w:val="bottom"/>
            <w:tcBorders>
              <w:bottom w:val="single" w:sz="8" w:color="CFF0FC"/>
            </w:tcBorders>
            <w:shd w:val="clear" w:color="auto" w:fill="CFF0FC"/>
          </w:tcPr>
          <w:p>
            <w:pPr>
              <w:spacing w:after="0"/>
              <w:rPr>
                <w:sz w:val="17"/>
                <w:szCs w:val="17"/>
                <w:color w:val="auto"/>
              </w:rPr>
            </w:pPr>
          </w:p>
        </w:tc>
        <w:tc>
          <w:tcPr>
            <w:tcW w:w="20" w:type="dxa"/>
            <w:vAlign w:val="bottom"/>
            <w:tcBorders>
              <w:bottom w:val="single" w:sz="8" w:color="auto"/>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500.2</w:t>
            </w:r>
          </w:p>
        </w:tc>
        <w:tc>
          <w:tcPr>
            <w:tcW w:w="20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661.4</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40" w:type="dxa"/>
            <w:vAlign w:val="bottom"/>
          </w:tcPr>
          <w:p>
            <w:pPr>
              <w:ind w:left="180"/>
              <w:spacing w:after="0"/>
              <w:rPr>
                <w:sz w:val="20"/>
                <w:szCs w:val="20"/>
                <w:color w:val="auto"/>
              </w:rPr>
            </w:pPr>
            <w:r>
              <w:rPr>
                <w:rFonts w:ascii="Arial" w:cs="Arial" w:eastAsia="Arial" w:hAnsi="Arial"/>
                <w:sz w:val="16"/>
                <w:szCs w:val="16"/>
                <w:color w:val="auto"/>
              </w:rPr>
              <w:t>EBITDA</w:t>
            </w: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463.8</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460.5</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1,300.7</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1,400.3</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1,806.3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40" w:type="dxa"/>
            <w:vAlign w:val="bottom"/>
            <w:shd w:val="clear" w:color="auto" w:fill="CFF0FC"/>
          </w:tcPr>
          <w:p>
            <w:pPr>
              <w:spacing w:after="0"/>
              <w:rPr>
                <w:sz w:val="20"/>
                <w:szCs w:val="20"/>
                <w:color w:val="auto"/>
              </w:rPr>
            </w:pPr>
            <w:r>
              <w:rPr>
                <w:rFonts w:ascii="Arial" w:cs="Arial" w:eastAsia="Arial" w:hAnsi="Arial"/>
                <w:sz w:val="16"/>
                <w:szCs w:val="16"/>
                <w:color w:val="auto"/>
              </w:rPr>
              <w:t>Stock-based compensation</w:t>
            </w:r>
          </w:p>
        </w:tc>
        <w:tc>
          <w:tcPr>
            <w:tcW w:w="20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7.4</w:t>
            </w:r>
          </w:p>
        </w:tc>
        <w:tc>
          <w:tcPr>
            <w:tcW w:w="2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27.2</w:t>
            </w: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93.3</w:t>
            </w:r>
          </w:p>
        </w:tc>
        <w:tc>
          <w:tcPr>
            <w:tcW w:w="2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82.7</w:t>
            </w: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124.6</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40" w:type="dxa"/>
            <w:vAlign w:val="bottom"/>
          </w:tcPr>
          <w:p>
            <w:pPr>
              <w:spacing w:after="0"/>
              <w:rPr>
                <w:sz w:val="20"/>
                <w:szCs w:val="20"/>
                <w:color w:val="auto"/>
              </w:rPr>
            </w:pPr>
            <w:r>
              <w:rPr>
                <w:rFonts w:ascii="Arial" w:cs="Arial" w:eastAsia="Arial" w:hAnsi="Arial"/>
                <w:sz w:val="16"/>
                <w:szCs w:val="16"/>
                <w:color w:val="auto"/>
              </w:rPr>
              <w:t>Acquired EBITDA and cost savings (1)</w:t>
            </w:r>
          </w:p>
        </w:tc>
        <w:tc>
          <w:tcPr>
            <w:tcW w:w="200" w:type="dxa"/>
            <w:vAlign w:val="bottom"/>
          </w:tcPr>
          <w:p>
            <w:pPr>
              <w:spacing w:after="0"/>
              <w:rPr>
                <w:sz w:val="17"/>
                <w:szCs w:val="17"/>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(1.2 )</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1.3</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6"/>
                <w:szCs w:val="16"/>
                <w:color w:val="auto"/>
              </w:rPr>
              <w:t>(3.6 )</w:t>
            </w:r>
          </w:p>
        </w:tc>
        <w:tc>
          <w:tcPr>
            <w:tcW w:w="0" w:type="dxa"/>
            <w:vAlign w:val="bottom"/>
          </w:tcPr>
          <w:p>
            <w:pPr>
              <w:spacing w:after="0"/>
              <w:rPr>
                <w:sz w:val="1"/>
                <w:szCs w:val="1"/>
                <w:color w:val="auto"/>
              </w:rPr>
            </w:pPr>
          </w:p>
        </w:tc>
      </w:tr>
      <w:tr>
        <w:trPr>
          <w:trHeight w:val="202"/>
        </w:trPr>
        <w:tc>
          <w:tcPr>
            <w:tcW w:w="4640" w:type="dxa"/>
            <w:vAlign w:val="bottom"/>
            <w:shd w:val="clear" w:color="auto" w:fill="CFF0FC"/>
          </w:tcPr>
          <w:p>
            <w:pPr>
              <w:spacing w:after="0"/>
              <w:rPr>
                <w:sz w:val="20"/>
                <w:szCs w:val="20"/>
                <w:color w:val="auto"/>
              </w:rPr>
            </w:pPr>
            <w:r>
              <w:rPr>
                <w:rFonts w:ascii="Arial" w:cs="Arial" w:eastAsia="Arial" w:hAnsi="Arial"/>
                <w:sz w:val="16"/>
                <w:szCs w:val="16"/>
                <w:color w:val="auto"/>
              </w:rPr>
              <w:t>Non-cash portion of straight-line rent expense</w:t>
            </w:r>
          </w:p>
        </w:tc>
        <w:tc>
          <w:tcPr>
            <w:tcW w:w="20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(0.2 )</w:t>
            </w:r>
          </w:p>
        </w:tc>
        <w:tc>
          <w:tcPr>
            <w:tcW w:w="20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(0.7 )</w:t>
            </w:r>
          </w:p>
        </w:tc>
        <w:tc>
          <w:tcPr>
            <w:tcW w:w="20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(1.1 )</w:t>
            </w:r>
          </w:p>
        </w:tc>
        <w:tc>
          <w:tcPr>
            <w:tcW w:w="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(1.4 )</w:t>
            </w:r>
          </w:p>
        </w:tc>
        <w:tc>
          <w:tcPr>
            <w:tcW w:w="140" w:type="dxa"/>
            <w:vAlign w:val="bottom"/>
            <w:shd w:val="clear" w:color="auto" w:fill="CFF0FC"/>
          </w:tcPr>
          <w:p>
            <w:pPr>
              <w:spacing w:after="0"/>
              <w:rPr>
                <w:sz w:val="17"/>
                <w:szCs w:val="17"/>
                <w:color w:val="auto"/>
              </w:rPr>
            </w:pPr>
          </w:p>
        </w:tc>
        <w:tc>
          <w:tcPr>
            <w:tcW w:w="78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(1.6 )</w:t>
            </w:r>
          </w:p>
        </w:tc>
        <w:tc>
          <w:tcPr>
            <w:tcW w:w="0" w:type="dxa"/>
            <w:vAlign w:val="bottom"/>
          </w:tcPr>
          <w:p>
            <w:pPr>
              <w:spacing w:after="0"/>
              <w:rPr>
                <w:sz w:val="1"/>
                <w:szCs w:val="1"/>
                <w:color w:val="auto"/>
              </w:rPr>
            </w:pPr>
          </w:p>
        </w:tc>
      </w:tr>
      <w:tr>
        <w:trPr>
          <w:trHeight w:val="203"/>
        </w:trPr>
        <w:tc>
          <w:tcPr>
            <w:tcW w:w="4640" w:type="dxa"/>
            <w:vAlign w:val="bottom"/>
          </w:tcPr>
          <w:p>
            <w:pPr>
              <w:spacing w:after="0"/>
              <w:rPr>
                <w:sz w:val="20"/>
                <w:szCs w:val="20"/>
                <w:color w:val="auto"/>
              </w:rPr>
            </w:pPr>
            <w:r>
              <w:rPr>
                <w:rFonts w:ascii="Arial" w:cs="Arial" w:eastAsia="Arial" w:hAnsi="Arial"/>
                <w:sz w:val="16"/>
                <w:szCs w:val="16"/>
                <w:color w:val="auto"/>
              </w:rPr>
              <w:t>Loss on extinguishment of debt</w:t>
            </w: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1.0</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1.7</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4.1</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3.5</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11.5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40" w:type="dxa"/>
            <w:vAlign w:val="bottom"/>
            <w:shd w:val="clear" w:color="auto" w:fill="CFF0FC"/>
          </w:tcPr>
          <w:p>
            <w:pPr>
              <w:spacing w:after="0"/>
              <w:rPr>
                <w:sz w:val="20"/>
                <w:szCs w:val="20"/>
                <w:color w:val="auto"/>
              </w:rPr>
            </w:pPr>
            <w:r>
              <w:rPr>
                <w:rFonts w:ascii="Arial" w:cs="Arial" w:eastAsia="Arial" w:hAnsi="Arial"/>
                <w:sz w:val="16"/>
                <w:szCs w:val="16"/>
                <w:color w:val="auto"/>
              </w:rPr>
              <w:t>Equity in earnings of unconsolidated affiliates, net</w:t>
            </w:r>
          </w:p>
        </w:tc>
        <w:tc>
          <w:tcPr>
            <w:tcW w:w="20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w:t>
            </w:r>
          </w:p>
        </w:tc>
        <w:tc>
          <w:tcPr>
            <w:tcW w:w="2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(2.0 )</w:t>
            </w:r>
          </w:p>
        </w:tc>
        <w:tc>
          <w:tcPr>
            <w:tcW w:w="20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w:t>
            </w:r>
          </w:p>
        </w:tc>
        <w:tc>
          <w:tcPr>
            <w:tcW w:w="2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(1.9 )</w:t>
            </w:r>
          </w:p>
        </w:tc>
        <w:tc>
          <w:tcPr>
            <w:tcW w:w="140" w:type="dxa"/>
            <w:vAlign w:val="bottom"/>
            <w:shd w:val="clear" w:color="auto" w:fill="CFF0FC"/>
          </w:tcPr>
          <w:p>
            <w:pPr>
              <w:spacing w:after="0"/>
              <w:rPr>
                <w:sz w:val="17"/>
                <w:szCs w:val="17"/>
                <w:color w:val="auto"/>
              </w:rPr>
            </w:pPr>
          </w:p>
        </w:tc>
        <w:tc>
          <w:tcPr>
            <w:tcW w:w="78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(20.8 )</w:t>
            </w:r>
          </w:p>
        </w:tc>
        <w:tc>
          <w:tcPr>
            <w:tcW w:w="0" w:type="dxa"/>
            <w:vAlign w:val="bottom"/>
          </w:tcPr>
          <w:p>
            <w:pPr>
              <w:spacing w:after="0"/>
              <w:rPr>
                <w:sz w:val="1"/>
                <w:szCs w:val="1"/>
                <w:color w:val="auto"/>
              </w:rPr>
            </w:pPr>
          </w:p>
        </w:tc>
      </w:tr>
      <w:tr>
        <w:trPr>
          <w:trHeight w:val="203"/>
        </w:trPr>
        <w:tc>
          <w:tcPr>
            <w:tcW w:w="4640" w:type="dxa"/>
            <w:vAlign w:val="bottom"/>
          </w:tcPr>
          <w:p>
            <w:pPr>
              <w:spacing w:after="0"/>
              <w:rPr>
                <w:sz w:val="20"/>
                <w:szCs w:val="20"/>
                <w:color w:val="auto"/>
              </w:rPr>
            </w:pPr>
            <w:r>
              <w:rPr>
                <w:rFonts w:ascii="Arial" w:cs="Arial" w:eastAsia="Arial" w:hAnsi="Arial"/>
                <w:sz w:val="16"/>
                <w:szCs w:val="16"/>
                <w:color w:val="auto"/>
              </w:rPr>
              <w:t>Purchase accounting adjustments (2)</w:t>
            </w: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2.3</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1.6</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7.2</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4.8</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8.7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40" w:type="dxa"/>
            <w:vAlign w:val="bottom"/>
            <w:shd w:val="clear" w:color="auto" w:fill="CFF0FC"/>
          </w:tcPr>
          <w:p>
            <w:pPr>
              <w:spacing w:after="0"/>
              <w:rPr>
                <w:sz w:val="20"/>
                <w:szCs w:val="20"/>
                <w:color w:val="auto"/>
              </w:rPr>
            </w:pPr>
            <w:r>
              <w:rPr>
                <w:rFonts w:ascii="Arial" w:cs="Arial" w:eastAsia="Arial" w:hAnsi="Arial"/>
                <w:sz w:val="16"/>
                <w:szCs w:val="16"/>
                <w:color w:val="auto"/>
              </w:rPr>
              <w:t>ASC 606 adoption impact</w:t>
            </w:r>
          </w:p>
        </w:tc>
        <w:tc>
          <w:tcPr>
            <w:tcW w:w="20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(0.5 )</w:t>
            </w:r>
          </w:p>
        </w:tc>
        <w:tc>
          <w:tcPr>
            <w:tcW w:w="20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0.3</w:t>
            </w: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(1.3 )</w:t>
            </w:r>
          </w:p>
        </w:tc>
        <w:tc>
          <w:tcPr>
            <w:tcW w:w="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0.7</w:t>
            </w: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8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(1.0 )</w:t>
            </w:r>
          </w:p>
        </w:tc>
        <w:tc>
          <w:tcPr>
            <w:tcW w:w="0" w:type="dxa"/>
            <w:vAlign w:val="bottom"/>
          </w:tcPr>
          <w:p>
            <w:pPr>
              <w:spacing w:after="0"/>
              <w:rPr>
                <w:sz w:val="1"/>
                <w:szCs w:val="1"/>
                <w:color w:val="auto"/>
              </w:rPr>
            </w:pPr>
          </w:p>
        </w:tc>
      </w:tr>
      <w:tr>
        <w:trPr>
          <w:trHeight w:val="203"/>
        </w:trPr>
        <w:tc>
          <w:tcPr>
            <w:tcW w:w="4640" w:type="dxa"/>
            <w:vAlign w:val="bottom"/>
          </w:tcPr>
          <w:p>
            <w:pPr>
              <w:spacing w:after="0"/>
              <w:rPr>
                <w:sz w:val="20"/>
                <w:szCs w:val="20"/>
                <w:color w:val="auto"/>
              </w:rPr>
            </w:pPr>
            <w:r>
              <w:rPr>
                <w:rFonts w:ascii="Arial" w:cs="Arial" w:eastAsia="Arial" w:hAnsi="Arial"/>
                <w:sz w:val="16"/>
                <w:szCs w:val="16"/>
                <w:color w:val="auto"/>
              </w:rPr>
              <w:t>Other (3)</w:t>
            </w: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23.2</w:t>
            </w:r>
          </w:p>
        </w:tc>
        <w:tc>
          <w:tcPr>
            <w:tcW w:w="2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51.2</w:t>
            </w:r>
          </w:p>
        </w:tc>
        <w:tc>
          <w:tcPr>
            <w:tcW w:w="2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82.6</w:t>
            </w:r>
          </w:p>
        </w:tc>
        <w:tc>
          <w:tcPr>
            <w:tcW w:w="2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54.1</w:t>
            </w:r>
          </w:p>
        </w:tc>
        <w:tc>
          <w:tcPr>
            <w:tcW w:w="2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4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6"/>
                <w:szCs w:val="16"/>
                <w:color w:val="auto"/>
              </w:rPr>
              <w:t>Consolidated EBITDA</w:t>
            </w:r>
          </w:p>
        </w:tc>
        <w:tc>
          <w:tcPr>
            <w:tcW w:w="20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502.1</w:t>
            </w:r>
          </w:p>
        </w:tc>
        <w:tc>
          <w:tcPr>
            <w:tcW w:w="28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jc w:val="right"/>
              <w:ind w:right="44"/>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539.8</w:t>
            </w:r>
          </w:p>
        </w:tc>
        <w:tc>
          <w:tcPr>
            <w:tcW w:w="24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1,487.0</w:t>
            </w:r>
          </w:p>
        </w:tc>
        <w:tc>
          <w:tcPr>
            <w:tcW w:w="200" w:type="dxa"/>
            <w:vAlign w:val="bottom"/>
            <w:tcBorders>
              <w:bottom w:val="single" w:sz="8" w:color="CFF0FC"/>
            </w:tcBorders>
            <w:shd w:val="clear" w:color="auto" w:fill="CFF0FC"/>
          </w:tcPr>
          <w:p>
            <w:pPr>
              <w:spacing w:after="0"/>
              <w:rPr>
                <w:sz w:val="17"/>
                <w:szCs w:val="17"/>
                <w:color w:val="auto"/>
              </w:rPr>
            </w:pPr>
          </w:p>
        </w:tc>
        <w:tc>
          <w:tcPr>
            <w:tcW w:w="20" w:type="dxa"/>
            <w:vAlign w:val="bottom"/>
            <w:tcBorders>
              <w:bottom w:val="single" w:sz="8" w:color="auto"/>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1,544.1</w:t>
            </w:r>
          </w:p>
        </w:tc>
        <w:tc>
          <w:tcPr>
            <w:tcW w:w="20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2,008.6</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40" w:type="dxa"/>
            <w:vAlign w:val="bottom"/>
          </w:tcPr>
          <w:p>
            <w:pPr>
              <w:spacing w:after="0"/>
              <w:rPr>
                <w:sz w:val="20"/>
                <w:szCs w:val="20"/>
                <w:color w:val="auto"/>
              </w:rPr>
            </w:pPr>
            <w:r>
              <w:rPr>
                <w:rFonts w:ascii="Arial" w:cs="Arial" w:eastAsia="Arial" w:hAnsi="Arial"/>
                <w:sz w:val="16"/>
                <w:szCs w:val="16"/>
                <w:color w:val="auto"/>
              </w:rPr>
              <w:t>Consolidated EBITDA attributable to noncontrolling interest (4)</w:t>
            </w:r>
          </w:p>
        </w:tc>
        <w:tc>
          <w:tcPr>
            <w:tcW w:w="200" w:type="dxa"/>
            <w:vAlign w:val="bottom"/>
          </w:tcPr>
          <w:p>
            <w:pPr>
              <w:spacing w:after="0"/>
              <w:rPr>
                <w:sz w:val="17"/>
                <w:szCs w:val="17"/>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(0.4 )</w:t>
            </w:r>
          </w:p>
        </w:tc>
        <w:tc>
          <w:tcPr>
            <w:tcW w:w="20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(0.9 )</w:t>
            </w:r>
          </w:p>
        </w:tc>
        <w:tc>
          <w:tcPr>
            <w:tcW w:w="200" w:type="dxa"/>
            <w:vAlign w:val="bottom"/>
          </w:tcPr>
          <w:p>
            <w:pPr>
              <w:spacing w:after="0"/>
              <w:rPr>
                <w:sz w:val="17"/>
                <w:szCs w:val="17"/>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(0.7 )</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(0.9 )</w:t>
            </w:r>
          </w:p>
        </w:tc>
        <w:tc>
          <w:tcPr>
            <w:tcW w:w="140" w:type="dxa"/>
            <w:vAlign w:val="bottom"/>
          </w:tcPr>
          <w:p>
            <w:pPr>
              <w:spacing w:after="0"/>
              <w:rPr>
                <w:sz w:val="17"/>
                <w:szCs w:val="17"/>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6"/>
                <w:szCs w:val="16"/>
                <w:color w:val="auto"/>
              </w:rPr>
              <w:t>(1.8 )</w:t>
            </w:r>
          </w:p>
        </w:tc>
        <w:tc>
          <w:tcPr>
            <w:tcW w:w="0" w:type="dxa"/>
            <w:vAlign w:val="bottom"/>
          </w:tcPr>
          <w:p>
            <w:pPr>
              <w:spacing w:after="0"/>
              <w:rPr>
                <w:sz w:val="1"/>
                <w:szCs w:val="1"/>
                <w:color w:val="auto"/>
              </w:rPr>
            </w:pPr>
          </w:p>
        </w:tc>
      </w:tr>
      <w:tr>
        <w:trPr>
          <w:trHeight w:val="159"/>
        </w:trPr>
        <w:tc>
          <w:tcPr>
            <w:tcW w:w="4640" w:type="dxa"/>
            <w:vAlign w:val="bottom"/>
            <w:shd w:val="clear" w:color="auto" w:fill="CFF0FC"/>
          </w:tcPr>
          <w:p>
            <w:pPr>
              <w:ind w:left="180"/>
              <w:spacing w:after="0" w:line="159" w:lineRule="exact"/>
              <w:rPr>
                <w:sz w:val="20"/>
                <w:szCs w:val="20"/>
                <w:color w:val="auto"/>
              </w:rPr>
            </w:pPr>
            <w:r>
              <w:rPr>
                <w:rFonts w:ascii="Arial" w:cs="Arial" w:eastAsia="Arial" w:hAnsi="Arial"/>
                <w:sz w:val="16"/>
                <w:szCs w:val="16"/>
                <w:color w:val="auto"/>
              </w:rPr>
              <w:t>Consolidated EBITDA attributable to SS&amp;C common</w:t>
            </w:r>
          </w:p>
        </w:tc>
        <w:tc>
          <w:tcPr>
            <w:tcW w:w="200" w:type="dxa"/>
            <w:vAlign w:val="bottom"/>
            <w:tcBorders>
              <w:top w:val="single" w:sz="8" w:color="auto"/>
            </w:tcBorders>
            <w:vMerge w:val="restart"/>
            <w:shd w:val="clear" w:color="auto" w:fill="CFF0FC"/>
          </w:tcPr>
          <w:p>
            <w:pPr>
              <w:ind w:left="20"/>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6"/>
                <w:szCs w:val="16"/>
                <w:color w:val="auto"/>
              </w:rPr>
              <w:t>501.7</w:t>
            </w:r>
          </w:p>
        </w:tc>
        <w:tc>
          <w:tcPr>
            <w:tcW w:w="280" w:type="dxa"/>
            <w:vAlign w:val="bottom"/>
            <w:shd w:val="clear" w:color="auto" w:fill="CFF0FC"/>
          </w:tcPr>
          <w:p>
            <w:pPr>
              <w:spacing w:after="0"/>
              <w:rPr>
                <w:sz w:val="13"/>
                <w:szCs w:val="13"/>
                <w:color w:val="auto"/>
              </w:rPr>
            </w:pPr>
          </w:p>
        </w:tc>
        <w:tc>
          <w:tcPr>
            <w:tcW w:w="200" w:type="dxa"/>
            <w:vAlign w:val="bottom"/>
            <w:tcBorders>
              <w:top w:val="single" w:sz="8" w:color="auto"/>
            </w:tcBorders>
            <w:vMerge w:val="restart"/>
            <w:shd w:val="clear" w:color="auto" w:fill="CFF0FC"/>
          </w:tcPr>
          <w:p>
            <w:pPr>
              <w:jc w:val="right"/>
              <w:ind w:right="44"/>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6"/>
                <w:szCs w:val="16"/>
                <w:color w:val="auto"/>
              </w:rPr>
              <w:t>538.9</w:t>
            </w:r>
          </w:p>
        </w:tc>
        <w:tc>
          <w:tcPr>
            <w:tcW w:w="240" w:type="dxa"/>
            <w:vAlign w:val="bottom"/>
            <w:shd w:val="clear" w:color="auto" w:fill="CFF0FC"/>
          </w:tcPr>
          <w:p>
            <w:pPr>
              <w:spacing w:after="0"/>
              <w:rPr>
                <w:sz w:val="13"/>
                <w:szCs w:val="13"/>
                <w:color w:val="auto"/>
              </w:rPr>
            </w:pPr>
          </w:p>
        </w:tc>
        <w:tc>
          <w:tcPr>
            <w:tcW w:w="200" w:type="dxa"/>
            <w:vAlign w:val="bottom"/>
            <w:tcBorders>
              <w:top w:val="single" w:sz="8" w:color="auto"/>
            </w:tcBorders>
            <w:vMerge w:val="restart"/>
            <w:shd w:val="clear" w:color="auto" w:fill="CFF0FC"/>
          </w:tcPr>
          <w:p>
            <w:pPr>
              <w:ind w:left="20"/>
              <w:spacing w:after="0"/>
              <w:rPr>
                <w:sz w:val="20"/>
                <w:szCs w:val="20"/>
                <w:color w:val="auto"/>
              </w:rPr>
            </w:pPr>
            <w:r>
              <w:rPr>
                <w:rFonts w:ascii="Arial" w:cs="Arial" w:eastAsia="Arial" w:hAnsi="Arial"/>
                <w:sz w:val="16"/>
                <w:szCs w:val="16"/>
                <w:color w:val="auto"/>
              </w:rPr>
              <w:t>$</w:t>
            </w:r>
          </w:p>
        </w:tc>
        <w:tc>
          <w:tcPr>
            <w:tcW w:w="68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6"/>
                <w:szCs w:val="16"/>
                <w:color w:val="auto"/>
              </w:rPr>
              <w:t>1,486.3</w:t>
            </w:r>
          </w:p>
        </w:tc>
        <w:tc>
          <w:tcPr>
            <w:tcW w:w="200" w:type="dxa"/>
            <w:vAlign w:val="bottom"/>
            <w:shd w:val="clear" w:color="auto" w:fill="CFF0FC"/>
          </w:tcPr>
          <w:p>
            <w:pPr>
              <w:spacing w:after="0"/>
              <w:rPr>
                <w:sz w:val="13"/>
                <w:szCs w:val="13"/>
                <w:color w:val="auto"/>
              </w:rPr>
            </w:pPr>
          </w:p>
        </w:tc>
        <w:tc>
          <w:tcPr>
            <w:tcW w:w="20" w:type="dxa"/>
            <w:vAlign w:val="bottom"/>
            <w:tcBorders>
              <w:top w:val="single" w:sz="8" w:color="auto"/>
            </w:tcBorders>
            <w:shd w:val="clear" w:color="auto" w:fill="CFF0FC"/>
          </w:tcPr>
          <w:p>
            <w:pPr>
              <w:spacing w:after="0"/>
              <w:rPr>
                <w:sz w:val="13"/>
                <w:szCs w:val="13"/>
                <w:color w:val="auto"/>
              </w:rPr>
            </w:pPr>
          </w:p>
        </w:tc>
        <w:tc>
          <w:tcPr>
            <w:tcW w:w="180" w:type="dxa"/>
            <w:vAlign w:val="bottom"/>
            <w:tcBorders>
              <w:top w:val="single" w:sz="8" w:color="auto"/>
            </w:tcBorders>
            <w:vMerge w:val="restart"/>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6"/>
                <w:szCs w:val="16"/>
                <w:color w:val="auto"/>
              </w:rPr>
              <w:t>1,543.2</w:t>
            </w:r>
          </w:p>
        </w:tc>
        <w:tc>
          <w:tcPr>
            <w:tcW w:w="200" w:type="dxa"/>
            <w:vAlign w:val="bottom"/>
            <w:shd w:val="clear" w:color="auto" w:fill="CFF0FC"/>
          </w:tcPr>
          <w:p>
            <w:pPr>
              <w:spacing w:after="0"/>
              <w:rPr>
                <w:sz w:val="13"/>
                <w:szCs w:val="13"/>
                <w:color w:val="auto"/>
              </w:rPr>
            </w:pPr>
          </w:p>
        </w:tc>
        <w:tc>
          <w:tcPr>
            <w:tcW w:w="14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6"/>
                <w:szCs w:val="16"/>
                <w:color w:val="auto"/>
              </w:rPr>
              <w:t>2,006.8</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4640" w:type="dxa"/>
            <w:vAlign w:val="bottom"/>
            <w:tcBorders>
              <w:bottom w:val="single" w:sz="8" w:color="CFF0FC"/>
            </w:tcBorders>
            <w:shd w:val="clear" w:color="auto" w:fill="CFF0FC"/>
          </w:tcPr>
          <w:p>
            <w:pPr>
              <w:ind w:left="180"/>
              <w:spacing w:after="0" w:line="138" w:lineRule="exact"/>
              <w:rPr>
                <w:sz w:val="20"/>
                <w:szCs w:val="20"/>
                <w:color w:val="auto"/>
              </w:rPr>
            </w:pPr>
            <w:r>
              <w:rPr>
                <w:rFonts w:ascii="Arial" w:cs="Arial" w:eastAsia="Arial" w:hAnsi="Arial"/>
                <w:sz w:val="16"/>
                <w:szCs w:val="16"/>
                <w:color w:val="auto"/>
              </w:rPr>
              <w:t>stockholders</w:t>
            </w:r>
          </w:p>
        </w:tc>
        <w:tc>
          <w:tcPr>
            <w:tcW w:w="200" w:type="dxa"/>
            <w:vAlign w:val="bottom"/>
            <w:tcBorders>
              <w:bottom w:val="single" w:sz="8" w:color="auto"/>
            </w:tcBorders>
            <w:vMerge w:val="continue"/>
            <w:shd w:val="clear" w:color="auto" w:fill="CFF0FC"/>
          </w:tcPr>
          <w:p>
            <w:pPr>
              <w:spacing w:after="0"/>
              <w:rPr>
                <w:sz w:val="17"/>
                <w:szCs w:val="17"/>
                <w:color w:val="auto"/>
              </w:rPr>
            </w:pPr>
          </w:p>
        </w:tc>
        <w:tc>
          <w:tcPr>
            <w:tcW w:w="700" w:type="dxa"/>
            <w:vAlign w:val="bottom"/>
            <w:tcBorders>
              <w:bottom w:val="single" w:sz="8" w:color="auto"/>
            </w:tcBorders>
            <w:vMerge w:val="continue"/>
            <w:shd w:val="clear" w:color="auto" w:fill="CFF0FC"/>
          </w:tcPr>
          <w:p>
            <w:pPr>
              <w:spacing w:after="0"/>
              <w:rPr>
                <w:sz w:val="17"/>
                <w:szCs w:val="17"/>
                <w:color w:val="auto"/>
              </w:rPr>
            </w:pPr>
          </w:p>
        </w:tc>
        <w:tc>
          <w:tcPr>
            <w:tcW w:w="28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vMerge w:val="continue"/>
            <w:shd w:val="clear" w:color="auto" w:fill="CFF0FC"/>
          </w:tcPr>
          <w:p>
            <w:pPr>
              <w:spacing w:after="0"/>
              <w:rPr>
                <w:sz w:val="17"/>
                <w:szCs w:val="17"/>
                <w:color w:val="auto"/>
              </w:rPr>
            </w:pPr>
          </w:p>
        </w:tc>
        <w:tc>
          <w:tcPr>
            <w:tcW w:w="720" w:type="dxa"/>
            <w:vAlign w:val="bottom"/>
            <w:tcBorders>
              <w:bottom w:val="single" w:sz="8" w:color="auto"/>
            </w:tcBorders>
            <w:vMerge w:val="continue"/>
            <w:shd w:val="clear" w:color="auto" w:fill="CFF0FC"/>
          </w:tcPr>
          <w:p>
            <w:pPr>
              <w:spacing w:after="0"/>
              <w:rPr>
                <w:sz w:val="17"/>
                <w:szCs w:val="17"/>
                <w:color w:val="auto"/>
              </w:rPr>
            </w:pPr>
          </w:p>
        </w:tc>
        <w:tc>
          <w:tcPr>
            <w:tcW w:w="24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vMerge w:val="continue"/>
            <w:shd w:val="clear" w:color="auto" w:fill="CFF0FC"/>
          </w:tcPr>
          <w:p>
            <w:pPr>
              <w:spacing w:after="0"/>
              <w:rPr>
                <w:sz w:val="17"/>
                <w:szCs w:val="17"/>
                <w:color w:val="auto"/>
              </w:rPr>
            </w:pPr>
          </w:p>
        </w:tc>
        <w:tc>
          <w:tcPr>
            <w:tcW w:w="680" w:type="dxa"/>
            <w:vAlign w:val="bottom"/>
            <w:tcBorders>
              <w:bottom w:val="single" w:sz="8" w:color="auto"/>
            </w:tcBorders>
            <w:vMerge w:val="continue"/>
            <w:shd w:val="clear" w:color="auto" w:fill="CFF0FC"/>
          </w:tcPr>
          <w:p>
            <w:pPr>
              <w:spacing w:after="0"/>
              <w:rPr>
                <w:sz w:val="17"/>
                <w:szCs w:val="17"/>
                <w:color w:val="auto"/>
              </w:rPr>
            </w:pPr>
          </w:p>
        </w:tc>
        <w:tc>
          <w:tcPr>
            <w:tcW w:w="200" w:type="dxa"/>
            <w:vAlign w:val="bottom"/>
            <w:tcBorders>
              <w:bottom w:val="single" w:sz="8" w:color="CFF0FC"/>
            </w:tcBorders>
            <w:shd w:val="clear" w:color="auto" w:fill="CFF0FC"/>
          </w:tcPr>
          <w:p>
            <w:pPr>
              <w:spacing w:after="0"/>
              <w:rPr>
                <w:sz w:val="17"/>
                <w:szCs w:val="17"/>
                <w:color w:val="auto"/>
              </w:rPr>
            </w:pPr>
          </w:p>
        </w:tc>
        <w:tc>
          <w:tcPr>
            <w:tcW w:w="20" w:type="dxa"/>
            <w:vAlign w:val="bottom"/>
            <w:tcBorders>
              <w:bottom w:val="single" w:sz="8" w:color="auto"/>
            </w:tcBorders>
            <w:shd w:val="clear" w:color="auto" w:fill="CFF0FC"/>
          </w:tcPr>
          <w:p>
            <w:pPr>
              <w:spacing w:after="0"/>
              <w:rPr>
                <w:sz w:val="17"/>
                <w:szCs w:val="17"/>
                <w:color w:val="auto"/>
              </w:rPr>
            </w:pPr>
          </w:p>
        </w:tc>
        <w:tc>
          <w:tcPr>
            <w:tcW w:w="180" w:type="dxa"/>
            <w:vAlign w:val="bottom"/>
            <w:tcBorders>
              <w:bottom w:val="single" w:sz="8" w:color="auto"/>
            </w:tcBorders>
            <w:vMerge w:val="continue"/>
            <w:shd w:val="clear" w:color="auto" w:fill="CFF0FC"/>
          </w:tcPr>
          <w:p>
            <w:pPr>
              <w:spacing w:after="0"/>
              <w:rPr>
                <w:sz w:val="17"/>
                <w:szCs w:val="17"/>
                <w:color w:val="auto"/>
              </w:rPr>
            </w:pPr>
          </w:p>
        </w:tc>
        <w:tc>
          <w:tcPr>
            <w:tcW w:w="720" w:type="dxa"/>
            <w:vAlign w:val="bottom"/>
            <w:tcBorders>
              <w:bottom w:val="single" w:sz="8" w:color="auto"/>
            </w:tcBorders>
            <w:vMerge w:val="continue"/>
            <w:shd w:val="clear" w:color="auto" w:fill="CFF0FC"/>
          </w:tcPr>
          <w:p>
            <w:pPr>
              <w:spacing w:after="0"/>
              <w:rPr>
                <w:sz w:val="17"/>
                <w:szCs w:val="17"/>
                <w:color w:val="auto"/>
              </w:rPr>
            </w:pPr>
          </w:p>
        </w:tc>
        <w:tc>
          <w:tcPr>
            <w:tcW w:w="20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vMerge w:val="continue"/>
            <w:shd w:val="clear" w:color="auto" w:fill="CFF0FC"/>
          </w:tcPr>
          <w:p>
            <w:pPr>
              <w:spacing w:after="0"/>
              <w:rPr>
                <w:sz w:val="17"/>
                <w:szCs w:val="17"/>
                <w:color w:val="auto"/>
              </w:rPr>
            </w:pPr>
          </w:p>
        </w:tc>
        <w:tc>
          <w:tcPr>
            <w:tcW w:w="680" w:type="dxa"/>
            <w:vAlign w:val="bottom"/>
            <w:tcBorders>
              <w:bottom w:val="single" w:sz="8" w:color="auto"/>
            </w:tcBorders>
            <w:vMerge w:val="continue"/>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3888105</wp:posOffset>
            </wp:positionH>
            <wp:positionV relativeFrom="paragraph">
              <wp:posOffset>-1679575</wp:posOffset>
            </wp:positionV>
            <wp:extent cx="68580" cy="13716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-1679575</wp:posOffset>
            </wp:positionV>
            <wp:extent cx="68580" cy="13716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-1679575</wp:posOffset>
            </wp:positionV>
            <wp:extent cx="59690" cy="13716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59690" cy="13716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-1679575</wp:posOffset>
            </wp:positionV>
            <wp:extent cx="60325" cy="13716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0325" cy="13716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-1679575</wp:posOffset>
            </wp:positionV>
            <wp:extent cx="60325" cy="13716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0325" cy="137160"/>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-376555</wp:posOffset>
            </wp:positionV>
            <wp:extent cx="68580" cy="14541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-376555</wp:posOffset>
            </wp:positionV>
            <wp:extent cx="68580" cy="14541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-376555</wp:posOffset>
            </wp:positionV>
            <wp:extent cx="59690" cy="14541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59690" cy="14541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-376555</wp:posOffset>
            </wp:positionV>
            <wp:extent cx="60325" cy="14541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0325" cy="14541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-376555</wp:posOffset>
            </wp:positionV>
            <wp:extent cx="60325" cy="14541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0325" cy="145415"/>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-24765</wp:posOffset>
            </wp:positionV>
            <wp:extent cx="6858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-7620</wp:posOffset>
            </wp:positionV>
            <wp:extent cx="6858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-24765</wp:posOffset>
            </wp:positionV>
            <wp:extent cx="6858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-7620</wp:posOffset>
            </wp:positionV>
            <wp:extent cx="6858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-24765</wp:posOffset>
            </wp:positionV>
            <wp:extent cx="5969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-7620</wp:posOffset>
            </wp:positionV>
            <wp:extent cx="5969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-24765</wp:posOffset>
            </wp:positionV>
            <wp:extent cx="60325"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-7620</wp:posOffset>
            </wp:positionV>
            <wp:extent cx="60325"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w:t>
      </w:r>
    </w:p>
    <w:p>
      <w:pPr>
        <w:spacing w:after="0" w:line="12" w:lineRule="exact"/>
        <w:rPr>
          <w:sz w:val="20"/>
          <w:szCs w:val="20"/>
          <w:color w:val="auto"/>
        </w:rPr>
      </w:pPr>
    </w:p>
    <w:p>
      <w:pPr>
        <w:ind w:left="520" w:right="180" w:hanging="512"/>
        <w:spacing w:after="0" w:line="242" w:lineRule="auto"/>
        <w:tabs>
          <w:tab w:leader="none" w:pos="520" w:val="left"/>
        </w:tabs>
        <w:numPr>
          <w:ilvl w:val="0"/>
          <w:numId w:val="4"/>
        </w:numPr>
        <w:rPr>
          <w:rFonts w:ascii="Arial" w:cs="Arial" w:eastAsia="Arial" w:hAnsi="Arial"/>
          <w:sz w:val="18"/>
          <w:szCs w:val="18"/>
          <w:color w:val="auto"/>
        </w:rPr>
      </w:pPr>
      <w:r>
        <w:rPr>
          <w:rFonts w:ascii="Arial" w:cs="Arial" w:eastAsia="Arial" w:hAnsi="Arial"/>
          <w:sz w:val="18"/>
          <w:szCs w:val="18"/>
          <w:color w:val="auto"/>
        </w:rPr>
        <w:t>Acquired EBITDA reflects the EBITDA impact of significant businesses that were acquired during the period as if the acquisition occurred at the beginning of the period, as well as cost savings enacted in connection with acquisitions.</w:t>
      </w:r>
    </w:p>
    <w:p>
      <w:pPr>
        <w:spacing w:after="0" w:line="1" w:lineRule="exact"/>
        <w:rPr>
          <w:rFonts w:ascii="Arial" w:cs="Arial" w:eastAsia="Arial" w:hAnsi="Arial"/>
          <w:sz w:val="18"/>
          <w:szCs w:val="18"/>
          <w:color w:val="auto"/>
        </w:rPr>
      </w:pPr>
    </w:p>
    <w:p>
      <w:pPr>
        <w:ind w:left="520" w:hanging="512"/>
        <w:spacing w:after="0" w:line="270" w:lineRule="auto"/>
        <w:tabs>
          <w:tab w:leader="none" w:pos="520" w:val="left"/>
        </w:tabs>
        <w:numPr>
          <w:ilvl w:val="0"/>
          <w:numId w:val="4"/>
        </w:numPr>
        <w:rPr>
          <w:rFonts w:ascii="Arial" w:cs="Arial" w:eastAsia="Arial" w:hAnsi="Arial"/>
          <w:sz w:val="16"/>
          <w:szCs w:val="16"/>
          <w:color w:val="auto"/>
        </w:rPr>
      </w:pPr>
      <w:r>
        <w:rPr>
          <w:rFonts w:ascii="Arial" w:cs="Arial" w:eastAsia="Arial" w:hAnsi="Arial"/>
          <w:sz w:val="16"/>
          <w:szCs w:val="16"/>
          <w:color w:val="auto"/>
        </w:rPr>
        <w:t>Purchase accounting adjustments include (a) an adjustment to increase revenues by the amount that would have been recognized if deferred revenue were not adjusted to fair value at the date of acquisitions, (b) an adjustment to increase personnel and commissions expense by the amount that would have been recognized if prepaid commissions and deferred personnel costs were not adjusted to fair value at the date of the acquisitions and</w:t>
      </w:r>
    </w:p>
    <w:p>
      <w:pPr>
        <w:ind w:left="520" w:right="100"/>
        <w:spacing w:after="0" w:line="234" w:lineRule="auto"/>
        <w:rPr>
          <w:rFonts w:ascii="Arial" w:cs="Arial" w:eastAsia="Arial" w:hAnsi="Arial"/>
          <w:sz w:val="16"/>
          <w:szCs w:val="16"/>
          <w:color w:val="auto"/>
        </w:rPr>
      </w:pPr>
      <w:r>
        <w:rPr>
          <w:rFonts w:ascii="Arial" w:cs="Arial" w:eastAsia="Arial" w:hAnsi="Arial"/>
          <w:sz w:val="18"/>
          <w:szCs w:val="18"/>
          <w:color w:val="auto"/>
        </w:rPr>
        <w:t>(c) an adjustment to increase or decrease rent expense by the amount that would have been recognized if lease obligations were not adjusted to fair value at the date of acquisitions.</w:t>
      </w:r>
    </w:p>
    <w:p>
      <w:pPr>
        <w:spacing w:after="0" w:line="1" w:lineRule="exact"/>
        <w:rPr>
          <w:rFonts w:ascii="Arial" w:cs="Arial" w:eastAsia="Arial" w:hAnsi="Arial"/>
          <w:sz w:val="16"/>
          <w:szCs w:val="16"/>
          <w:color w:val="auto"/>
        </w:rPr>
      </w:pPr>
    </w:p>
    <w:p>
      <w:pPr>
        <w:ind w:left="520" w:hanging="512"/>
        <w:spacing w:after="0" w:line="292" w:lineRule="auto"/>
        <w:tabs>
          <w:tab w:leader="none" w:pos="520" w:val="left"/>
        </w:tabs>
        <w:numPr>
          <w:ilvl w:val="0"/>
          <w:numId w:val="4"/>
        </w:numPr>
        <w:rPr>
          <w:rFonts w:ascii="Arial" w:cs="Arial" w:eastAsia="Arial" w:hAnsi="Arial"/>
          <w:sz w:val="16"/>
          <w:szCs w:val="16"/>
          <w:color w:val="auto"/>
        </w:rPr>
      </w:pPr>
      <w:r>
        <w:rPr>
          <w:rFonts w:ascii="Arial" w:cs="Arial" w:eastAsia="Arial" w:hAnsi="Arial"/>
          <w:sz w:val="16"/>
          <w:szCs w:val="16"/>
          <w:color w:val="auto"/>
        </w:rPr>
        <w:t>Other includes expenses and income that are permitted to be excluded per the terms of our amended senior secured credit facility from Consolidated EBITDA, a financial measure used in calculating our covenant compliance. These include expenses and income related to foreign currency transactions, investment gains and losses, facilities and workforce restructuring, legal settlements, business combinations and other items.</w:t>
      </w:r>
    </w:p>
    <w:p>
      <w:pPr>
        <w:spacing w:after="0" w:line="14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17" w:right="399" w:bottom="1440" w:gutter="0" w:footer="0" w:header="0"/>
        </w:sectPr>
      </w:pPr>
    </w:p>
    <w:bookmarkStart w:id="28" w:name="page29"/>
    <w:bookmarkEnd w:id="28"/>
    <w:p>
      <w:pPr>
        <w:ind w:left="520" w:right="420" w:hanging="512"/>
        <w:spacing w:after="0" w:line="277" w:lineRule="auto"/>
        <w:tabs>
          <w:tab w:leader="none" w:pos="52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Consolidated EBITDA attributable to noncontrolling interest represents Consolidated EBITDA based on the ownership interest retained by the noncontrolling parties of DomaniRx.</w:t>
      </w:r>
    </w:p>
    <w:p>
      <w:pPr>
        <w:spacing w:after="0" w:line="143" w:lineRule="exact"/>
        <w:rPr>
          <w:rFonts w:ascii="Arial" w:cs="Arial" w:eastAsia="Arial" w:hAnsi="Arial"/>
          <w:sz w:val="18"/>
          <w:szCs w:val="18"/>
          <w:color w:val="auto"/>
        </w:rPr>
      </w:pPr>
    </w:p>
    <w:p>
      <w:pPr>
        <w:ind w:left="520"/>
        <w:spacing w:after="0"/>
        <w:rPr>
          <w:rFonts w:ascii="Arial" w:cs="Arial" w:eastAsia="Arial" w:hAnsi="Arial"/>
          <w:sz w:val="18"/>
          <w:szCs w:val="18"/>
          <w:color w:val="auto"/>
        </w:rPr>
      </w:pPr>
      <w:r>
        <w:rPr>
          <w:rFonts w:ascii="Arial" w:cs="Arial" w:eastAsia="Arial" w:hAnsi="Arial"/>
          <w:sz w:val="18"/>
          <w:szCs w:val="18"/>
          <w:color w:val="auto"/>
        </w:rPr>
        <w:t>Our covenant requirement for consolidated net secured leverage ratio and the actual ratio as of September 30, 2022 are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6960" w:type="dxa"/>
            <w:vAlign w:val="bottom"/>
          </w:tcPr>
          <w:p>
            <w:pPr>
              <w:spacing w:after="0"/>
              <w:rPr>
                <w:sz w:val="14"/>
                <w:szCs w:val="14"/>
                <w:color w:val="auto"/>
              </w:rPr>
            </w:pP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93"/>
              </w:rPr>
              <w:t>Covenant</w:t>
            </w:r>
          </w:p>
        </w:tc>
        <w:tc>
          <w:tcPr>
            <w:tcW w:w="100" w:type="dxa"/>
            <w:vAlign w:val="bottom"/>
          </w:tcPr>
          <w:p>
            <w:pPr>
              <w:spacing w:after="0"/>
              <w:rPr>
                <w:sz w:val="14"/>
                <w:szCs w:val="14"/>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98"/>
              </w:rPr>
              <w:t>Actual</w:t>
            </w:r>
          </w:p>
        </w:tc>
        <w:tc>
          <w:tcPr>
            <w:tcW w:w="100" w:type="dxa"/>
            <w:vAlign w:val="bottom"/>
          </w:tcPr>
          <w:p>
            <w:pPr>
              <w:spacing w:after="0"/>
              <w:rPr>
                <w:sz w:val="14"/>
                <w:szCs w:val="14"/>
                <w:color w:val="auto"/>
              </w:rPr>
            </w:pPr>
          </w:p>
        </w:tc>
      </w:tr>
      <w:tr>
        <w:trPr>
          <w:trHeight w:val="185"/>
        </w:trPr>
        <w:tc>
          <w:tcPr>
            <w:tcW w:w="580" w:type="dxa"/>
            <w:vAlign w:val="bottom"/>
          </w:tcPr>
          <w:p>
            <w:pPr>
              <w:spacing w:after="0"/>
              <w:rPr>
                <w:sz w:val="16"/>
                <w:szCs w:val="16"/>
                <w:color w:val="auto"/>
              </w:rPr>
            </w:pPr>
          </w:p>
        </w:tc>
        <w:tc>
          <w:tcPr>
            <w:tcW w:w="6960" w:type="dxa"/>
            <w:vAlign w:val="bottom"/>
          </w:tcPr>
          <w:p>
            <w:pPr>
              <w:spacing w:after="0"/>
              <w:rPr>
                <w:sz w:val="16"/>
                <w:szCs w:val="16"/>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Requirement</w:t>
            </w:r>
          </w:p>
        </w:tc>
        <w:tc>
          <w:tcPr>
            <w:tcW w:w="100" w:type="dxa"/>
            <w:vAlign w:val="bottom"/>
          </w:tcPr>
          <w:p>
            <w:pPr>
              <w:spacing w:after="0"/>
              <w:rPr>
                <w:sz w:val="16"/>
                <w:szCs w:val="16"/>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Ratio</w:t>
            </w:r>
          </w:p>
        </w:tc>
        <w:tc>
          <w:tcPr>
            <w:tcW w:w="100" w:type="dxa"/>
            <w:vAlign w:val="bottom"/>
          </w:tcPr>
          <w:p>
            <w:pPr>
              <w:spacing w:after="0"/>
              <w:rPr>
                <w:sz w:val="16"/>
                <w:szCs w:val="16"/>
                <w:color w:val="auto"/>
              </w:rPr>
            </w:pPr>
          </w:p>
        </w:tc>
      </w:tr>
      <w:tr>
        <w:trPr>
          <w:trHeight w:val="156"/>
        </w:trPr>
        <w:tc>
          <w:tcPr>
            <w:tcW w:w="580" w:type="dxa"/>
            <w:vAlign w:val="bottom"/>
          </w:tcPr>
          <w:p>
            <w:pPr>
              <w:spacing w:after="0"/>
              <w:rPr>
                <w:sz w:val="13"/>
                <w:szCs w:val="13"/>
                <w:color w:val="auto"/>
              </w:rPr>
            </w:pPr>
          </w:p>
        </w:tc>
        <w:tc>
          <w:tcPr>
            <w:tcW w:w="6960" w:type="dxa"/>
            <w:vAlign w:val="bottom"/>
            <w:shd w:val="clear" w:color="auto" w:fill="CFF0FC"/>
          </w:tcPr>
          <w:p>
            <w:pPr>
              <w:jc w:val="right"/>
              <w:ind w:right="3450"/>
              <w:spacing w:after="0" w:line="156" w:lineRule="exact"/>
              <w:rPr>
                <w:sz w:val="20"/>
                <w:szCs w:val="20"/>
                <w:color w:val="auto"/>
              </w:rPr>
            </w:pPr>
            <w:r>
              <w:rPr>
                <w:rFonts w:ascii="Arial" w:cs="Arial" w:eastAsia="Arial" w:hAnsi="Arial"/>
                <w:sz w:val="18"/>
                <w:szCs w:val="18"/>
                <w:color w:val="auto"/>
                <w:w w:val="90"/>
              </w:rPr>
              <w:t>Maximum consolidated net secured leverage to</w:t>
            </w:r>
          </w:p>
        </w:tc>
        <w:tc>
          <w:tcPr>
            <w:tcW w:w="15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4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243"/>
        </w:trPr>
        <w:tc>
          <w:tcPr>
            <w:tcW w:w="580" w:type="dxa"/>
            <w:vAlign w:val="bottom"/>
          </w:tcPr>
          <w:p>
            <w:pPr>
              <w:spacing w:after="0"/>
              <w:rPr>
                <w:sz w:val="21"/>
                <w:szCs w:val="21"/>
                <w:color w:val="auto"/>
              </w:rPr>
            </w:pPr>
          </w:p>
        </w:tc>
        <w:tc>
          <w:tcPr>
            <w:tcW w:w="6960" w:type="dxa"/>
            <w:vAlign w:val="bottom"/>
            <w:shd w:val="clear" w:color="auto" w:fill="CFF0FC"/>
          </w:tcPr>
          <w:p>
            <w:pPr>
              <w:jc w:val="right"/>
              <w:ind w:right="4550"/>
              <w:spacing w:after="0" w:line="243" w:lineRule="exact"/>
              <w:rPr>
                <w:sz w:val="20"/>
                <w:szCs w:val="20"/>
                <w:color w:val="auto"/>
              </w:rPr>
            </w:pPr>
            <w:r>
              <w:rPr>
                <w:rFonts w:ascii="Arial" w:cs="Arial" w:eastAsia="Arial" w:hAnsi="Arial"/>
                <w:sz w:val="18"/>
                <w:szCs w:val="18"/>
                <w:color w:val="auto"/>
                <w:w w:val="98"/>
              </w:rPr>
              <w:t>Consolidated EBITDA ratio</w:t>
            </w:r>
            <w:r>
              <w:rPr>
                <w:rFonts w:ascii="Arial" w:cs="Arial" w:eastAsia="Arial" w:hAnsi="Arial"/>
                <w:sz w:val="24"/>
                <w:szCs w:val="24"/>
                <w:color w:val="auto"/>
                <w:w w:val="98"/>
                <w:vertAlign w:val="superscript"/>
              </w:rPr>
              <w:t>(1)</w:t>
            </w:r>
          </w:p>
        </w:tc>
        <w:tc>
          <w:tcPr>
            <w:tcW w:w="15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6.25x</w:t>
            </w:r>
          </w:p>
        </w:tc>
        <w:tc>
          <w:tcPr>
            <w:tcW w:w="15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2.52</w:t>
            </w:r>
          </w:p>
        </w:tc>
        <w:tc>
          <w:tcPr>
            <w:tcW w:w="100" w:type="dxa"/>
            <w:vAlign w:val="bottom"/>
            <w:shd w:val="clear" w:color="auto" w:fill="CFF0FC"/>
          </w:tcPr>
          <w:p>
            <w:pPr>
              <w:spacing w:after="0"/>
              <w:rPr>
                <w:sz w:val="21"/>
                <w:szCs w:val="21"/>
                <w:color w:val="auto"/>
              </w:rPr>
            </w:pPr>
          </w:p>
        </w:tc>
      </w:tr>
      <w:tr>
        <w:trPr>
          <w:trHeight w:val="137"/>
        </w:trPr>
        <w:tc>
          <w:tcPr>
            <w:tcW w:w="7540" w:type="dxa"/>
            <w:vAlign w:val="bottom"/>
            <w:gridSpan w:val="2"/>
          </w:tcPr>
          <w:p>
            <w:pPr>
              <w:jc w:val="right"/>
              <w:ind w:right="5070"/>
              <w:spacing w:after="0"/>
              <w:rPr>
                <w:sz w:val="20"/>
                <w:szCs w:val="20"/>
                <w:color w:val="auto"/>
              </w:rPr>
            </w:pPr>
            <w:r>
              <w:rPr>
                <w:rFonts w:ascii="Arial" w:cs="Arial" w:eastAsia="Arial" w:hAnsi="Arial"/>
                <w:sz w:val="9"/>
                <w:szCs w:val="9"/>
                <w:color w:val="auto"/>
                <w:w w:val="88"/>
              </w:rPr>
              <w:t>_____________________________________________________</w:t>
            </w:r>
          </w:p>
        </w:tc>
        <w:tc>
          <w:tcPr>
            <w:tcW w:w="1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00" w:type="dxa"/>
            <w:vAlign w:val="bottom"/>
          </w:tcPr>
          <w:p>
            <w:pPr>
              <w:spacing w:after="0"/>
              <w:rPr>
                <w:sz w:val="11"/>
                <w:szCs w:val="11"/>
                <w:color w:val="auto"/>
              </w:rPr>
            </w:pPr>
          </w:p>
        </w:tc>
      </w:tr>
    </w:tbl>
    <w:p>
      <w:pPr>
        <w:ind w:left="520" w:hanging="512"/>
        <w:spacing w:after="0" w:line="283" w:lineRule="auto"/>
        <w:tabs>
          <w:tab w:leader="none" w:pos="520" w:val="left"/>
        </w:tabs>
        <w:numPr>
          <w:ilvl w:val="0"/>
          <w:numId w:val="6"/>
        </w:numPr>
        <w:rPr>
          <w:rFonts w:ascii="Arial" w:cs="Arial" w:eastAsia="Arial" w:hAnsi="Arial"/>
          <w:sz w:val="16"/>
          <w:szCs w:val="16"/>
          <w:color w:val="auto"/>
        </w:rPr>
      </w:pPr>
      <w:r>
        <w:rPr>
          <w:rFonts w:ascii="Arial" w:cs="Arial" w:eastAsia="Arial" w:hAnsi="Arial"/>
          <w:sz w:val="16"/>
          <w:szCs w:val="16"/>
          <w:color w:val="auto"/>
        </w:rPr>
        <w:t>Calculated as the ratio of consolidated net secured funded indebtedness, net of cash and cash equivalents, excluding $151.6 million of cash and cash equivalents held at DomaniRx, to Consolidated EBITDA, as defined by the amended senior secured credit facility, for the period of four consecutive fiscal quarters ended on the measurement date. Consolidated net secured funded indebtedness is comprised of indebtedness for borrowed money, letters of credit, deferred purchase price obligations and capital lease obligations, all of which is secured by liens on our property.</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Adopted Accounting Pronouncement</w:t>
      </w:r>
    </w:p>
    <w:p>
      <w:pPr>
        <w:spacing w:after="0" w:line="225" w:lineRule="exact"/>
        <w:rPr>
          <w:sz w:val="20"/>
          <w:szCs w:val="20"/>
          <w:color w:val="auto"/>
        </w:rPr>
      </w:pPr>
    </w:p>
    <w:p>
      <w:pPr>
        <w:ind w:right="20" w:firstLine="509"/>
        <w:spacing w:after="0" w:line="277" w:lineRule="auto"/>
        <w:rPr>
          <w:sz w:val="20"/>
          <w:szCs w:val="20"/>
          <w:color w:val="auto"/>
        </w:rPr>
      </w:pPr>
      <w:r>
        <w:rPr>
          <w:rFonts w:ascii="Arial" w:cs="Arial" w:eastAsia="Arial" w:hAnsi="Arial"/>
          <w:sz w:val="16"/>
          <w:szCs w:val="16"/>
          <w:color w:val="auto"/>
        </w:rPr>
        <w:t xml:space="preserve">In October 2021, the FASB issued ASU 2021-08, </w:t>
      </w:r>
      <w:r>
        <w:rPr>
          <w:rFonts w:ascii="Arial" w:cs="Arial" w:eastAsia="Arial" w:hAnsi="Arial"/>
          <w:sz w:val="16"/>
          <w:szCs w:val="16"/>
          <w:i w:val="1"/>
          <w:iCs w:val="1"/>
          <w:color w:val="auto"/>
        </w:rPr>
        <w:t>Business Combinations (Topic 805): Accounting for Contract Assets and Contract Liabilities</w:t>
      </w:r>
      <w:r>
        <w:rPr>
          <w:rFonts w:ascii="Arial" w:cs="Arial" w:eastAsia="Arial" w:hAnsi="Arial"/>
          <w:sz w:val="16"/>
          <w:szCs w:val="16"/>
          <w:color w:val="auto"/>
        </w:rPr>
        <w:t xml:space="preserve"> </w:t>
      </w:r>
      <w:r>
        <w:rPr>
          <w:rFonts w:ascii="Arial" w:cs="Arial" w:eastAsia="Arial" w:hAnsi="Arial"/>
          <w:sz w:val="16"/>
          <w:szCs w:val="16"/>
          <w:i w:val="1"/>
          <w:iCs w:val="1"/>
          <w:color w:val="auto"/>
        </w:rPr>
        <w:t>From Contracts with Customers</w:t>
      </w:r>
      <w:r>
        <w:rPr>
          <w:rFonts w:ascii="Arial" w:cs="Arial" w:eastAsia="Arial" w:hAnsi="Arial"/>
          <w:sz w:val="16"/>
          <w:szCs w:val="16"/>
          <w:color w:val="auto"/>
        </w:rPr>
        <w:t>. ASU 2021-08 requires companies to apply ASC 606 to recognize and measure contract assets and contract liabilities from</w:t>
      </w:r>
      <w:r>
        <w:rPr>
          <w:rFonts w:ascii="Arial" w:cs="Arial" w:eastAsia="Arial" w:hAnsi="Arial"/>
          <w:sz w:val="16"/>
          <w:szCs w:val="16"/>
          <w:i w:val="1"/>
          <w:iCs w:val="1"/>
          <w:color w:val="auto"/>
        </w:rPr>
        <w:t xml:space="preserve"> </w:t>
      </w:r>
      <w:r>
        <w:rPr>
          <w:rFonts w:ascii="Arial" w:cs="Arial" w:eastAsia="Arial" w:hAnsi="Arial"/>
          <w:sz w:val="16"/>
          <w:szCs w:val="16"/>
          <w:color w:val="auto"/>
        </w:rPr>
        <w:t>contracts with customers acquired in a business combination on the acquisition date. Generally, this new guidance with result in an acquirer recognizing contract assets and contract liabilities at the same amounts recorded by the acquiree. Under current GAAP, we have historically recognized contract assets and contract liabilities acquired in a business combination at fair value. ASU 2021-08 is effective for fiscal years beginning after December 15, 2022, and interim periods within those fiscal years. Early adoption is permitted, including adoption in an interim period. ASU 2021-08 should be applied prospectively to business combinations that occur after the effective date. We adopted ASU 2021-08 as of January 1, 2022 on a prospective basis. The adoption of this standard did not have a material impact on our financial position, results of operations or cash flows.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 Not Yet Effective</w:t>
      </w:r>
    </w:p>
    <w:p>
      <w:pPr>
        <w:spacing w:after="0" w:line="212" w:lineRule="exact"/>
        <w:rPr>
          <w:sz w:val="20"/>
          <w:szCs w:val="20"/>
          <w:color w:val="auto"/>
        </w:rPr>
      </w:pPr>
    </w:p>
    <w:p>
      <w:pPr>
        <w:ind w:right="20" w:firstLine="509"/>
        <w:spacing w:after="0" w:line="258" w:lineRule="auto"/>
        <w:rPr>
          <w:sz w:val="20"/>
          <w:szCs w:val="20"/>
          <w:color w:val="auto"/>
        </w:rPr>
      </w:pPr>
      <w:r>
        <w:rPr>
          <w:rFonts w:ascii="Arial" w:cs="Arial" w:eastAsia="Arial" w:hAnsi="Arial"/>
          <w:sz w:val="17"/>
          <w:szCs w:val="17"/>
          <w:color w:val="auto"/>
        </w:rPr>
        <w:t xml:space="preserve">In March 2020, the FASB issued ASU 2020-04, </w:t>
      </w:r>
      <w:r>
        <w:rPr>
          <w:rFonts w:ascii="Arial" w:cs="Arial" w:eastAsia="Arial" w:hAnsi="Arial"/>
          <w:sz w:val="17"/>
          <w:szCs w:val="17"/>
          <w:i w:val="1"/>
          <w:iCs w:val="1"/>
          <w:color w:val="auto"/>
        </w:rPr>
        <w:t>Reference Rate Reform (Topic 848): Facilitation of the Effects of Reference Rate Reform on</w:t>
      </w:r>
      <w:r>
        <w:rPr>
          <w:rFonts w:ascii="Arial" w:cs="Arial" w:eastAsia="Arial" w:hAnsi="Arial"/>
          <w:sz w:val="17"/>
          <w:szCs w:val="17"/>
          <w:color w:val="auto"/>
        </w:rPr>
        <w:t xml:space="preserve"> </w:t>
      </w:r>
      <w:r>
        <w:rPr>
          <w:rFonts w:ascii="Arial" w:cs="Arial" w:eastAsia="Arial" w:hAnsi="Arial"/>
          <w:sz w:val="17"/>
          <w:szCs w:val="17"/>
          <w:i w:val="1"/>
          <w:iCs w:val="1"/>
          <w:color w:val="auto"/>
        </w:rPr>
        <w:t>Financial Reporting</w:t>
      </w:r>
      <w:r>
        <w:rPr>
          <w:rFonts w:ascii="Arial" w:cs="Arial" w:eastAsia="Arial" w:hAnsi="Arial"/>
          <w:sz w:val="17"/>
          <w:szCs w:val="17"/>
          <w:color w:val="auto"/>
        </w:rPr>
        <w:t>. ASU 2020-04 provides optional expedients and exceptions for applying GAAP if certain criteria are met to contracts, hedging</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relationships and other transactions that reference LIBOR or another reference rate expected to be discontinued. In January 2021, the FASB issued Update 2021-01, </w:t>
      </w:r>
      <w:r>
        <w:rPr>
          <w:rFonts w:ascii="Arial" w:cs="Arial" w:eastAsia="Arial" w:hAnsi="Arial"/>
          <w:sz w:val="17"/>
          <w:szCs w:val="17"/>
          <w:i w:val="1"/>
          <w:iCs w:val="1"/>
          <w:color w:val="auto"/>
        </w:rPr>
        <w:t>Reference Rate Reform (Topic 848): Scope</w:t>
      </w:r>
      <w:r>
        <w:rPr>
          <w:rFonts w:ascii="Arial" w:cs="Arial" w:eastAsia="Arial" w:hAnsi="Arial"/>
          <w:sz w:val="17"/>
          <w:szCs w:val="17"/>
          <w:color w:val="auto"/>
        </w:rPr>
        <w:t>. The update provides additional optional guidance on the transition from LIBOR to include derivative instruments that use an interest rate for margining, discounting or contract price alignment. The standard will ease, if warranted, the requirements for accounting for the future effects of the rate reform. An entity may elect to apply the amendments prospectively to contract modifications made on or before December 31, 2022. A substantial portion of our indebtedness bears interest at variable interest rates, primarily based on USD-LIBOR. We continue to monitor the impact the discontinuance of LIBOR or another reference rate will have on our contracts, hedging relationships and other transactions. We are currently assessing the impact of this standard on our financial condition and results of operations.</w:t>
      </w:r>
    </w:p>
    <w:p>
      <w:pPr>
        <w:spacing w:after="0" w:line="143"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08" w:lineRule="exact"/>
        <w:rPr>
          <w:sz w:val="20"/>
          <w:szCs w:val="20"/>
          <w:color w:val="auto"/>
        </w:rPr>
      </w:pPr>
    </w:p>
    <w:p>
      <w:pPr>
        <w:ind w:right="340" w:firstLine="509"/>
        <w:spacing w:after="0" w:line="324" w:lineRule="auto"/>
        <w:rPr>
          <w:sz w:val="20"/>
          <w:szCs w:val="20"/>
          <w:color w:val="auto"/>
        </w:rPr>
      </w:pPr>
      <w:r>
        <w:rPr>
          <w:rFonts w:ascii="Arial" w:cs="Arial" w:eastAsia="Arial" w:hAnsi="Arial"/>
          <w:sz w:val="16"/>
          <w:szCs w:val="16"/>
          <w:color w:val="auto"/>
        </w:rPr>
        <w:t>We do not use derivative financial instruments for trading or speculative purposes. We have generally invested our available cash in short-term, highly liquid financial instruments, having initial maturities of three months or less. When necessary, we have borrowed to fund acquisitions.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12" w:lineRule="exact"/>
        <w:rPr>
          <w:sz w:val="20"/>
          <w:szCs w:val="20"/>
          <w:color w:val="auto"/>
        </w:rPr>
      </w:pPr>
    </w:p>
    <w:p>
      <w:pPr>
        <w:ind w:right="180" w:firstLine="509"/>
        <w:spacing w:after="0" w:line="255" w:lineRule="auto"/>
        <w:rPr>
          <w:sz w:val="20"/>
          <w:szCs w:val="20"/>
          <w:color w:val="auto"/>
        </w:rPr>
      </w:pPr>
      <w:r>
        <w:rPr>
          <w:rFonts w:ascii="Arial" w:cs="Arial" w:eastAsia="Arial" w:hAnsi="Arial"/>
          <w:sz w:val="17"/>
          <w:szCs w:val="17"/>
          <w:color w:val="auto"/>
        </w:rPr>
        <w:t>We derive service revenues from investment earnings related to cash balances maintained in bank accounts on which we are the agent for clients. The balances maintained in the bank accounts will fluctuate. For the nine months ended September 30, 2022, we had average daily cash balances of approximately $2,449.8 million maintained in such accounts. We estimate that a 100 basis point change in the interest earnings rate would equal approximately $9.1 million of net income, net of income taxes, on an annual basis. The effect of changes in interest rates attributable to earnings derived from cash balances we hold for clients is offset by changes in interest rates on our variable debt.</w:t>
      </w:r>
    </w:p>
    <w:p>
      <w:pPr>
        <w:spacing w:after="0" w:line="136" w:lineRule="exact"/>
        <w:rPr>
          <w:sz w:val="20"/>
          <w:szCs w:val="20"/>
          <w:color w:val="auto"/>
        </w:rPr>
      </w:pPr>
    </w:p>
    <w:p>
      <w:pPr>
        <w:ind w:right="360" w:firstLine="509"/>
        <w:spacing w:after="0" w:line="261" w:lineRule="auto"/>
        <w:rPr>
          <w:sz w:val="20"/>
          <w:szCs w:val="20"/>
          <w:color w:val="auto"/>
        </w:rPr>
      </w:pPr>
      <w:r>
        <w:rPr>
          <w:rFonts w:ascii="Arial" w:cs="Arial" w:eastAsia="Arial" w:hAnsi="Arial"/>
          <w:sz w:val="18"/>
          <w:szCs w:val="18"/>
          <w:color w:val="auto"/>
        </w:rPr>
        <w:t>At September 30, 2022, we had total variable interest rate debt of approximately $5,295.1 million. As of September 30, 2022, a 100 basis point increase in interest rates would result in an increase in interest expense of approximately $53.0 million per year.</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8" w:right="35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i w:val="1"/>
          <w:iCs w:val="1"/>
          <w:color w:val="auto"/>
        </w:rPr>
        <w:t>Equity Price Risk</w:t>
      </w:r>
    </w:p>
    <w:p>
      <w:pPr>
        <w:spacing w:after="0" w:line="21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We have exposure to equity price risk as a result of our investments in equity securities. Equity price risk results from changes in the level or</w:t>
      </w:r>
    </w:p>
    <w:p>
      <w:pPr>
        <w:spacing w:after="0" w:line="12" w:lineRule="exact"/>
        <w:rPr>
          <w:sz w:val="20"/>
          <w:szCs w:val="20"/>
          <w:color w:val="auto"/>
        </w:rPr>
      </w:pPr>
    </w:p>
    <w:p>
      <w:pPr>
        <w:ind w:right="20"/>
        <w:spacing w:after="0" w:line="234" w:lineRule="auto"/>
        <w:rPr>
          <w:sz w:val="20"/>
          <w:szCs w:val="20"/>
          <w:color w:val="auto"/>
        </w:rPr>
      </w:pPr>
      <w:r>
        <w:rPr>
          <w:rFonts w:ascii="Arial" w:cs="Arial" w:eastAsia="Arial" w:hAnsi="Arial"/>
          <w:sz w:val="18"/>
          <w:szCs w:val="18"/>
          <w:color w:val="auto"/>
        </w:rPr>
        <w:t>volatility of equity prices which affect the value of equity securities or instruments that derive their value from such securities or indexes. The fair value of our investments that are subject to equity price risk as of September 30, 2022 was approximately $61.4 million. The impact of a 10% change in fair value of these investments would have been approximately $4.2 million to net income, net of income taxes. Changes in equity values of our investments could have a material effect on our results of operations and our financial position.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Rate Risk</w:t>
      </w:r>
    </w:p>
    <w:p>
      <w:pPr>
        <w:spacing w:after="0" w:line="212" w:lineRule="exact"/>
        <w:rPr>
          <w:sz w:val="20"/>
          <w:szCs w:val="20"/>
          <w:color w:val="auto"/>
        </w:rPr>
      </w:pPr>
    </w:p>
    <w:p>
      <w:pPr>
        <w:ind w:firstLine="509"/>
        <w:spacing w:after="0" w:line="267" w:lineRule="auto"/>
        <w:rPr>
          <w:sz w:val="20"/>
          <w:szCs w:val="20"/>
          <w:color w:val="auto"/>
        </w:rPr>
      </w:pPr>
      <w:r>
        <w:rPr>
          <w:rFonts w:ascii="Arial" w:cs="Arial" w:eastAsia="Arial" w:hAnsi="Arial"/>
          <w:sz w:val="16"/>
          <w:szCs w:val="16"/>
          <w:color w:val="auto"/>
        </w:rPr>
        <w:t>During the nine months ended September 30, 2022, approximately 30% of our revenues were from clients located outside the United States. A portion of the revenues from clients located outside the United States is denominated in foreign currencies, the majority being the British pound. While revenues and expenses of our foreign operations are primarily denominated in their respective local currencies, some subsidiaries do enter into certain transactions in currencies that are different from their local currency. These transactions consist primarily of cross -currency intercompany balances and trade receivables and payables. As a result of these transactions, we have exposure to changes in foreign currency exchange rates that result in foreign currency transaction gains and losses, which we report in other income (expense). These amounts were not material for the nine months ended September 30, 2022. The amount of these balances can fluctuate in the future as we bill customers and buy products or services in currencies other than our functional currency, which could increase our exposure to foreign currency exchange rates. We continue to monitor our exposure to foreign exchange rates because of our acquisitions and changes in our operations. We do not enter into any market risk sensitive instruments for trading purposes.</w:t>
      </w:r>
    </w:p>
    <w:p>
      <w:pPr>
        <w:spacing w:after="0" w:line="129" w:lineRule="exact"/>
        <w:rPr>
          <w:sz w:val="20"/>
          <w:szCs w:val="20"/>
          <w:color w:val="auto"/>
        </w:rPr>
      </w:pPr>
    </w:p>
    <w:p>
      <w:pPr>
        <w:ind w:right="120" w:firstLine="509"/>
        <w:spacing w:after="0"/>
        <w:rPr>
          <w:sz w:val="20"/>
          <w:szCs w:val="20"/>
          <w:color w:val="auto"/>
        </w:rPr>
      </w:pPr>
      <w:r>
        <w:rPr>
          <w:rFonts w:ascii="Arial" w:cs="Arial" w:eastAsia="Arial" w:hAnsi="Arial"/>
          <w:sz w:val="18"/>
          <w:szCs w:val="18"/>
          <w:color w:val="auto"/>
        </w:rPr>
        <w:t>The foregoing risk management discussion and the effect thereof are forward-looking statements. Actual results in the future may differ materially from these projected results due to actual developments in global financial markets. The analytical methods used by us to assess and minimize risk discussed above should not be considered projections of future events or losses.</w:t>
      </w:r>
    </w:p>
    <w:p>
      <w:pPr>
        <w:spacing w:after="0" w:line="15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17" w:lineRule="exact"/>
        <w:rPr>
          <w:sz w:val="20"/>
          <w:szCs w:val="20"/>
          <w:color w:val="auto"/>
        </w:rPr>
      </w:pPr>
    </w:p>
    <w:p>
      <w:pPr>
        <w:ind w:right="20" w:firstLine="509"/>
        <w:spacing w:after="0" w:line="274" w:lineRule="auto"/>
        <w:rPr>
          <w:sz w:val="20"/>
          <w:szCs w:val="20"/>
          <w:color w:val="auto"/>
        </w:rPr>
      </w:pPr>
      <w:r>
        <w:rPr>
          <w:rFonts w:ascii="Arial" w:cs="Arial" w:eastAsia="Arial" w:hAnsi="Arial"/>
          <w:sz w:val="16"/>
          <w:szCs w:val="16"/>
          <w:color w:val="auto"/>
        </w:rPr>
        <w:t>Our management, with the participation of our chief executive officer and chief financial officer (our principal executive officer and principal financial officer, respectively), evaluated the effectiveness of our disclosure controls and procedures as of September 30, 2022. The term “disclosure controls and procedures,” as defined in Rules 13a-15(e) and 15d-15(e) under the Securities Exchange Act of 1934, as amended, or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rules and forms of the Securities and Exchange Commission.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September 30, 2022, our chief executive officer and chief financial officer concluded that, as of such date, our disclosure controls and procedures were effective at the reasonable assurance level.</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04" w:lineRule="exact"/>
        <w:rPr>
          <w:sz w:val="20"/>
          <w:szCs w:val="20"/>
          <w:color w:val="auto"/>
        </w:rPr>
      </w:pPr>
    </w:p>
    <w:p>
      <w:pPr>
        <w:ind w:firstLine="509"/>
        <w:spacing w:after="0" w:line="303" w:lineRule="auto"/>
        <w:rPr>
          <w:sz w:val="20"/>
          <w:szCs w:val="20"/>
          <w:color w:val="auto"/>
        </w:rPr>
      </w:pPr>
      <w:r>
        <w:rPr>
          <w:rFonts w:ascii="Arial" w:cs="Arial" w:eastAsia="Arial" w:hAnsi="Arial"/>
          <w:sz w:val="16"/>
          <w:szCs w:val="16"/>
          <w:color w:val="auto"/>
        </w:rPr>
        <w:t>As a result of the Blue Prism acquisition on March 16, 2022, we have implemented internal controls over financial reporting to include consolidation of Blue Prism. The Blue Prism operations utilize separate information and accounting systems and processes. Our management is in the process of reviewing and evaluating the design and operating effectiveness of internal control over financial reporting relating to the Blue Prism operations.</w:t>
      </w:r>
    </w:p>
    <w:p>
      <w:pPr>
        <w:spacing w:after="0" w:line="32" w:lineRule="exact"/>
        <w:rPr>
          <w:sz w:val="20"/>
          <w:szCs w:val="20"/>
          <w:color w:val="auto"/>
        </w:rPr>
      </w:pPr>
    </w:p>
    <w:p>
      <w:pPr>
        <w:jc w:val="both"/>
        <w:ind w:right="160" w:firstLine="509"/>
        <w:spacing w:after="0" w:line="256" w:lineRule="auto"/>
        <w:rPr>
          <w:sz w:val="20"/>
          <w:szCs w:val="20"/>
          <w:color w:val="auto"/>
        </w:rPr>
      </w:pPr>
      <w:r>
        <w:rPr>
          <w:rFonts w:ascii="Arial" w:cs="Arial" w:eastAsia="Arial" w:hAnsi="Arial"/>
          <w:sz w:val="18"/>
          <w:szCs w:val="18"/>
          <w:color w:val="auto"/>
        </w:rPr>
        <w:t>Except as disclosed above, there have not been any changes in our internal control over financial reporting (as defined in Rules 13a-15(f) and 15d-15(f) under the Exchange Act) that occurred during the fiscal quarter ended September 30, 2022 that have materially affected, or are reasonably likely to materially affect, our internal control over financial reporting.</w:t>
      </w: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30" w:right="359"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08" w:lineRule="exact"/>
        <w:rPr>
          <w:sz w:val="20"/>
          <w:szCs w:val="20"/>
          <w:color w:val="auto"/>
        </w:rPr>
      </w:pPr>
    </w:p>
    <w:p>
      <w:pPr>
        <w:ind w:right="320" w:firstLine="509"/>
        <w:spacing w:after="0" w:line="256" w:lineRule="auto"/>
        <w:rPr>
          <w:sz w:val="20"/>
          <w:szCs w:val="20"/>
          <w:color w:val="auto"/>
        </w:rPr>
      </w:pPr>
      <w:r>
        <w:rPr>
          <w:rFonts w:ascii="Arial" w:cs="Arial" w:eastAsia="Arial" w:hAnsi="Arial"/>
          <w:sz w:val="18"/>
          <w:szCs w:val="18"/>
          <w:color w:val="auto"/>
        </w:rPr>
        <w:t>The information regarding certain legal proceedings in which we are involved as set forth in Note 14 – Commitments and Contingencies of the Notes to the Condensed Consolidated Financial Statements (Part I, Item 1 of this Quarterly Report on Form 10-Q) is incorporated by reference into this Item 1.</w:t>
      </w:r>
    </w:p>
    <w:p>
      <w:pPr>
        <w:spacing w:after="0" w:line="134" w:lineRule="exact"/>
        <w:rPr>
          <w:sz w:val="20"/>
          <w:szCs w:val="20"/>
          <w:color w:val="auto"/>
        </w:rPr>
      </w:pPr>
    </w:p>
    <w:p>
      <w:pPr>
        <w:ind w:right="220" w:firstLine="509"/>
        <w:spacing w:after="0" w:line="268" w:lineRule="auto"/>
        <w:rPr>
          <w:sz w:val="20"/>
          <w:szCs w:val="20"/>
          <w:color w:val="auto"/>
        </w:rPr>
      </w:pPr>
      <w:r>
        <w:rPr>
          <w:rFonts w:ascii="Arial" w:cs="Arial" w:eastAsia="Arial" w:hAnsi="Arial"/>
          <w:sz w:val="17"/>
          <w:szCs w:val="17"/>
          <w:color w:val="auto"/>
        </w:rPr>
        <w:t>In addition, we are involved in various other legal proceedings arising in the normal course of our businesses. At this time, we do not believe any material losses under these claims to be probable. While the ultimate outcome of such legal proceedings cannot be predicted with certainty, it is in the opinion of management, after consultation with legal counsel, that the final outcome in such proceedings, in the aggregate, would not have a material adverse effect on our consolidated financial condition, results of operations or cash flows.</w:t>
      </w:r>
    </w:p>
    <w:p>
      <w:pPr>
        <w:spacing w:after="0" w:line="162"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08" w:lineRule="exact"/>
        <w:rPr>
          <w:sz w:val="20"/>
          <w:szCs w:val="20"/>
          <w:color w:val="auto"/>
        </w:rPr>
      </w:pPr>
    </w:p>
    <w:p>
      <w:pPr>
        <w:ind w:right="60" w:firstLine="509"/>
        <w:spacing w:after="0" w:line="261" w:lineRule="auto"/>
        <w:rPr>
          <w:sz w:val="20"/>
          <w:szCs w:val="20"/>
          <w:color w:val="auto"/>
        </w:rPr>
      </w:pPr>
      <w:r>
        <w:rPr>
          <w:rFonts w:ascii="Arial" w:cs="Arial" w:eastAsia="Arial" w:hAnsi="Arial"/>
          <w:sz w:val="18"/>
          <w:szCs w:val="18"/>
          <w:color w:val="auto"/>
        </w:rPr>
        <w:t>As of the date of this report, there have been no material changes to the risk factors we previously disclosed in our Annual Report on Form 10-K for the year ended December 31, 2021.</w:t>
      </w:r>
    </w:p>
    <w:p>
      <w:pPr>
        <w:spacing w:after="0" w:line="16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following is a summary of the repurchases of our common stock in the third quarter of 2022 (in millions, except average price per share):</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93"/>
              </w:rPr>
              <w:t>(c)</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tcPr>
          <w:p>
            <w:pPr>
              <w:jc w:val="center"/>
              <w:ind w:right="84"/>
              <w:spacing w:after="0"/>
              <w:rPr>
                <w:sz w:val="20"/>
                <w:szCs w:val="20"/>
                <w:color w:val="auto"/>
              </w:rPr>
            </w:pPr>
            <w:r>
              <w:rPr>
                <w:rFonts w:ascii="Arial" w:cs="Arial" w:eastAsia="Arial" w:hAnsi="Arial"/>
                <w:sz w:val="14"/>
                <w:szCs w:val="14"/>
                <w:b w:val="1"/>
                <w:bCs w:val="1"/>
                <w:color w:val="auto"/>
              </w:rPr>
              <w:t>(d)</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Total Number of</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20" w:type="dxa"/>
            <w:vAlign w:val="bottom"/>
          </w:tcPr>
          <w:p>
            <w:pPr>
              <w:jc w:val="center"/>
              <w:ind w:right="84"/>
              <w:spacing w:after="0" w:line="149" w:lineRule="exact"/>
              <w:rPr>
                <w:sz w:val="20"/>
                <w:szCs w:val="20"/>
                <w:color w:val="auto"/>
              </w:rPr>
            </w:pPr>
            <w:r>
              <w:rPr>
                <w:rFonts w:ascii="Arial" w:cs="Arial" w:eastAsia="Arial" w:hAnsi="Arial"/>
                <w:sz w:val="14"/>
                <w:szCs w:val="14"/>
                <w:b w:val="1"/>
                <w:bCs w:val="1"/>
                <w:color w:val="auto"/>
                <w:w w:val="98"/>
              </w:rPr>
              <w:t>Maximum Number (or</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(a) Total Number</w:t>
            </w:r>
          </w:p>
        </w:tc>
        <w:tc>
          <w:tcPr>
            <w:tcW w:w="240" w:type="dxa"/>
            <w:vAlign w:val="bottom"/>
          </w:tcPr>
          <w:p>
            <w:pPr>
              <w:spacing w:after="0"/>
              <w:rPr>
                <w:sz w:val="12"/>
                <w:szCs w:val="12"/>
                <w:color w:val="auto"/>
              </w:rPr>
            </w:pPr>
          </w:p>
        </w:tc>
        <w:tc>
          <w:tcPr>
            <w:tcW w:w="940" w:type="dxa"/>
            <w:vAlign w:val="bottom"/>
            <w:gridSpan w:val="2"/>
            <w:vMerge w:val="restart"/>
          </w:tcPr>
          <w:p>
            <w:pPr>
              <w:jc w:val="right"/>
              <w:ind w:right="61"/>
              <w:spacing w:after="0"/>
              <w:rPr>
                <w:sz w:val="20"/>
                <w:szCs w:val="20"/>
                <w:color w:val="auto"/>
              </w:rPr>
            </w:pPr>
            <w:r>
              <w:rPr>
                <w:rFonts w:ascii="Arial" w:cs="Arial" w:eastAsia="Arial" w:hAnsi="Arial"/>
                <w:sz w:val="14"/>
                <w:szCs w:val="14"/>
                <w:b w:val="1"/>
                <w:bCs w:val="1"/>
                <w:color w:val="auto"/>
              </w:rPr>
              <w:t>(b) Average</w:t>
            </w:r>
          </w:p>
        </w:tc>
        <w:tc>
          <w:tcPr>
            <w:tcW w:w="280" w:type="dxa"/>
            <w:vAlign w:val="bottom"/>
          </w:tcPr>
          <w:p>
            <w:pPr>
              <w:spacing w:after="0"/>
              <w:rPr>
                <w:sz w:val="12"/>
                <w:szCs w:val="12"/>
                <w:color w:val="auto"/>
              </w:rPr>
            </w:pPr>
          </w:p>
        </w:tc>
        <w:tc>
          <w:tcPr>
            <w:tcW w:w="1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Shares Purchased as</w:t>
            </w:r>
          </w:p>
        </w:tc>
        <w:tc>
          <w:tcPr>
            <w:tcW w:w="340" w:type="dxa"/>
            <w:vAlign w:val="bottom"/>
          </w:tcPr>
          <w:p>
            <w:pPr>
              <w:spacing w:after="0"/>
              <w:rPr>
                <w:sz w:val="12"/>
                <w:szCs w:val="12"/>
                <w:color w:val="auto"/>
              </w:rPr>
            </w:pPr>
          </w:p>
        </w:tc>
        <w:tc>
          <w:tcPr>
            <w:tcW w:w="174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97"/>
              </w:rPr>
              <w:t>Approximate Dollar Value)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Part of Publicly</w:t>
            </w:r>
          </w:p>
        </w:tc>
        <w:tc>
          <w:tcPr>
            <w:tcW w:w="340" w:type="dxa"/>
            <w:vAlign w:val="bottom"/>
          </w:tcPr>
          <w:p>
            <w:pPr>
              <w:spacing w:after="0"/>
              <w:rPr>
                <w:sz w:val="12"/>
                <w:szCs w:val="12"/>
                <w:color w:val="auto"/>
              </w:rPr>
            </w:pPr>
          </w:p>
        </w:tc>
        <w:tc>
          <w:tcPr>
            <w:tcW w:w="17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of Shares that May Yet be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of Shares</w:t>
            </w:r>
          </w:p>
        </w:tc>
        <w:tc>
          <w:tcPr>
            <w:tcW w:w="240" w:type="dxa"/>
            <w:vAlign w:val="bottom"/>
          </w:tcPr>
          <w:p>
            <w:pPr>
              <w:spacing w:after="0"/>
              <w:rPr>
                <w:sz w:val="12"/>
                <w:szCs w:val="12"/>
                <w:color w:val="auto"/>
              </w:rPr>
            </w:pPr>
          </w:p>
        </w:tc>
        <w:tc>
          <w:tcPr>
            <w:tcW w:w="94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96"/>
              </w:rPr>
              <w:t>Price Paid per</w:t>
            </w:r>
          </w:p>
        </w:tc>
        <w:tc>
          <w:tcPr>
            <w:tcW w:w="280" w:type="dxa"/>
            <w:vAlign w:val="bottom"/>
          </w:tcPr>
          <w:p>
            <w:pPr>
              <w:spacing w:after="0"/>
              <w:rPr>
                <w:sz w:val="12"/>
                <w:szCs w:val="12"/>
                <w:color w:val="auto"/>
              </w:rPr>
            </w:pPr>
          </w:p>
        </w:tc>
        <w:tc>
          <w:tcPr>
            <w:tcW w:w="1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Announced Plans or</w:t>
            </w:r>
          </w:p>
        </w:tc>
        <w:tc>
          <w:tcPr>
            <w:tcW w:w="340" w:type="dxa"/>
            <w:vAlign w:val="bottom"/>
          </w:tcPr>
          <w:p>
            <w:pPr>
              <w:spacing w:after="0"/>
              <w:rPr>
                <w:sz w:val="12"/>
                <w:szCs w:val="12"/>
                <w:color w:val="auto"/>
              </w:rPr>
            </w:pPr>
          </w:p>
        </w:tc>
        <w:tc>
          <w:tcPr>
            <w:tcW w:w="17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Purchased Under Plans or</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49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Period (1)</w:t>
            </w:r>
          </w:p>
        </w:tc>
        <w:tc>
          <w:tcPr>
            <w:tcW w:w="120" w:type="dxa"/>
            <w:vAlign w:val="bottom"/>
          </w:tcPr>
          <w:p>
            <w:pPr>
              <w:spacing w:after="0"/>
              <w:rPr>
                <w:sz w:val="17"/>
                <w:szCs w:val="17"/>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Purchased (2)</w:t>
            </w:r>
          </w:p>
        </w:tc>
        <w:tc>
          <w:tcPr>
            <w:tcW w:w="2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21"/>
              <w:spacing w:after="0"/>
              <w:rPr>
                <w:sz w:val="20"/>
                <w:szCs w:val="20"/>
                <w:color w:val="auto"/>
              </w:rPr>
            </w:pPr>
            <w:r>
              <w:rPr>
                <w:rFonts w:ascii="Arial" w:cs="Arial" w:eastAsia="Arial" w:hAnsi="Arial"/>
                <w:sz w:val="14"/>
                <w:szCs w:val="14"/>
                <w:b w:val="1"/>
                <w:bCs w:val="1"/>
                <w:color w:val="auto"/>
              </w:rPr>
              <w:t>Share</w:t>
            </w:r>
          </w:p>
        </w:tc>
        <w:tc>
          <w:tcPr>
            <w:tcW w:w="280" w:type="dxa"/>
            <w:vAlign w:val="bottom"/>
          </w:tcPr>
          <w:p>
            <w:pPr>
              <w:spacing w:after="0"/>
              <w:rPr>
                <w:sz w:val="17"/>
                <w:szCs w:val="17"/>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Programs (3)</w:t>
            </w:r>
          </w:p>
        </w:tc>
        <w:tc>
          <w:tcPr>
            <w:tcW w:w="3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center"/>
              <w:ind w:right="44"/>
              <w:spacing w:after="0"/>
              <w:rPr>
                <w:sz w:val="20"/>
                <w:szCs w:val="20"/>
                <w:color w:val="auto"/>
              </w:rPr>
            </w:pPr>
            <w:r>
              <w:rPr>
                <w:rFonts w:ascii="Arial" w:cs="Arial" w:eastAsia="Arial" w:hAnsi="Arial"/>
                <w:sz w:val="14"/>
                <w:szCs w:val="14"/>
                <w:b w:val="1"/>
                <w:bCs w:val="1"/>
                <w:color w:val="auto"/>
                <w:w w:val="94"/>
              </w:rPr>
              <w:t>Programs (3)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900" w:type="dxa"/>
            <w:vAlign w:val="bottom"/>
            <w:shd w:val="clear" w:color="auto" w:fill="CFF0FC"/>
          </w:tcPr>
          <w:p>
            <w:pPr>
              <w:ind w:left="20"/>
              <w:spacing w:after="0"/>
              <w:rPr>
                <w:sz w:val="20"/>
                <w:szCs w:val="20"/>
                <w:color w:val="auto"/>
              </w:rPr>
            </w:pPr>
            <w:r>
              <w:rPr>
                <w:rFonts w:ascii="Arial" w:cs="Arial" w:eastAsia="Arial" w:hAnsi="Arial"/>
                <w:sz w:val="18"/>
                <w:szCs w:val="18"/>
                <w:color w:val="auto"/>
              </w:rPr>
              <w:t>July 1, 2022 – July 31, 2022</w:t>
            </w:r>
          </w:p>
        </w:tc>
        <w:tc>
          <w:tcPr>
            <w:tcW w:w="1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440" w:type="dxa"/>
            <w:vAlign w:val="bottom"/>
            <w:gridSpan w:val="2"/>
            <w:shd w:val="clear" w:color="auto" w:fill="CFF0FC"/>
          </w:tcPr>
          <w:p>
            <w:pPr>
              <w:ind w:left="260"/>
              <w:spacing w:after="0"/>
              <w:rPr>
                <w:sz w:val="20"/>
                <w:szCs w:val="20"/>
                <w:color w:val="auto"/>
              </w:rPr>
            </w:pPr>
            <w:r>
              <w:rPr>
                <w:rFonts w:ascii="Arial" w:cs="Arial" w:eastAsia="Arial" w:hAnsi="Arial"/>
                <w:sz w:val="16"/>
                <w:szCs w:val="16"/>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460" w:type="dxa"/>
            <w:vAlign w:val="bottom"/>
            <w:gridSpan w:val="2"/>
            <w:shd w:val="clear" w:color="auto" w:fill="CFF0FC"/>
          </w:tcPr>
          <w:p>
            <w:pPr>
              <w:ind w:left="360"/>
              <w:spacing w:after="0"/>
              <w:rPr>
                <w:sz w:val="20"/>
                <w:szCs w:val="20"/>
                <w:color w:val="auto"/>
              </w:rPr>
            </w:pPr>
            <w:r>
              <w:rPr>
                <w:rFonts w:ascii="Arial" w:cs="Arial" w:eastAsia="Arial" w:hAnsi="Arial"/>
                <w:sz w:val="16"/>
                <w:szCs w:val="16"/>
                <w:color w:val="auto"/>
                <w:w w:val="89"/>
              </w:rPr>
              <w:t>$</w:t>
            </w:r>
          </w:p>
        </w:tc>
        <w:tc>
          <w:tcPr>
            <w:tcW w:w="1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1,000.0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tcPr>
          <w:p>
            <w:pPr>
              <w:ind w:left="20"/>
              <w:spacing w:after="0"/>
              <w:rPr>
                <w:sz w:val="20"/>
                <w:szCs w:val="20"/>
                <w:color w:val="auto"/>
              </w:rPr>
            </w:pPr>
            <w:r>
              <w:rPr>
                <w:rFonts w:ascii="Arial" w:cs="Arial" w:eastAsia="Arial" w:hAnsi="Arial"/>
                <w:sz w:val="18"/>
                <w:szCs w:val="18"/>
                <w:color w:val="auto"/>
              </w:rPr>
              <w:t>August 1, 2022 – August 31, 2022</w:t>
            </w: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2.1</w:t>
            </w:r>
          </w:p>
        </w:tc>
        <w:tc>
          <w:tcPr>
            <w:tcW w:w="440" w:type="dxa"/>
            <w:vAlign w:val="bottom"/>
            <w:gridSpan w:val="2"/>
          </w:tcPr>
          <w:p>
            <w:pPr>
              <w:ind w:left="26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60.19</w:t>
            </w:r>
          </w:p>
        </w:tc>
        <w:tc>
          <w:tcPr>
            <w:tcW w:w="1700" w:type="dxa"/>
            <w:vAlign w:val="bottom"/>
            <w:gridSpan w:val="2"/>
          </w:tcPr>
          <w:p>
            <w:pPr>
              <w:jc w:val="right"/>
              <w:spacing w:after="0"/>
              <w:rPr>
                <w:sz w:val="20"/>
                <w:szCs w:val="20"/>
                <w:color w:val="auto"/>
              </w:rPr>
            </w:pPr>
            <w:r>
              <w:rPr>
                <w:rFonts w:ascii="Arial" w:cs="Arial" w:eastAsia="Arial" w:hAnsi="Arial"/>
                <w:sz w:val="16"/>
                <w:szCs w:val="16"/>
                <w:color w:val="auto"/>
              </w:rPr>
              <w:t>2.1</w:t>
            </w:r>
          </w:p>
        </w:tc>
        <w:tc>
          <w:tcPr>
            <w:tcW w:w="460" w:type="dxa"/>
            <w:vAlign w:val="bottom"/>
            <w:gridSpan w:val="2"/>
          </w:tcPr>
          <w:p>
            <w:pPr>
              <w:ind w:left="360"/>
              <w:spacing w:after="0"/>
              <w:rPr>
                <w:sz w:val="20"/>
                <w:szCs w:val="20"/>
                <w:color w:val="auto"/>
              </w:rPr>
            </w:pPr>
            <w:r>
              <w:rPr>
                <w:rFonts w:ascii="Arial" w:cs="Arial" w:eastAsia="Arial" w:hAnsi="Arial"/>
                <w:sz w:val="16"/>
                <w:szCs w:val="16"/>
                <w:color w:val="auto"/>
                <w:w w:val="89"/>
              </w:rPr>
              <w:t>$</w:t>
            </w:r>
          </w:p>
        </w:tc>
        <w:tc>
          <w:tcPr>
            <w:tcW w:w="1620" w:type="dxa"/>
            <w:vAlign w:val="bottom"/>
          </w:tcPr>
          <w:p>
            <w:pPr>
              <w:jc w:val="right"/>
              <w:spacing w:after="0"/>
              <w:rPr>
                <w:sz w:val="20"/>
                <w:szCs w:val="20"/>
                <w:color w:val="auto"/>
              </w:rPr>
            </w:pPr>
            <w:r>
              <w:rPr>
                <w:rFonts w:ascii="Arial" w:cs="Arial" w:eastAsia="Arial" w:hAnsi="Arial"/>
                <w:sz w:val="16"/>
                <w:szCs w:val="16"/>
                <w:color w:val="auto"/>
              </w:rPr>
              <w:t>875.4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90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September 1, 2022 – September 30, 2022</w:t>
            </w:r>
          </w:p>
        </w:tc>
        <w:tc>
          <w:tcPr>
            <w:tcW w:w="120" w:type="dxa"/>
            <w:vAlign w:val="bottom"/>
            <w:tcBorders>
              <w:bottom w:val="single" w:sz="8" w:color="CFF0FC"/>
            </w:tcBorders>
            <w:shd w:val="clear" w:color="auto" w:fill="CFF0FC"/>
          </w:tcPr>
          <w:p>
            <w:pPr>
              <w:spacing w:after="0"/>
              <w:rPr>
                <w:sz w:val="17"/>
                <w:szCs w:val="17"/>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1.7</w:t>
            </w:r>
          </w:p>
        </w:tc>
        <w:tc>
          <w:tcPr>
            <w:tcW w:w="440" w:type="dxa"/>
            <w:vAlign w:val="bottom"/>
            <w:tcBorders>
              <w:bottom w:val="single" w:sz="8" w:color="CFF0FC"/>
            </w:tcBorders>
            <w:gridSpan w:val="2"/>
            <w:shd w:val="clear" w:color="auto" w:fill="CFF0FC"/>
          </w:tcPr>
          <w:p>
            <w:pPr>
              <w:ind w:left="26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54.39</w:t>
            </w:r>
          </w:p>
        </w:tc>
        <w:tc>
          <w:tcPr>
            <w:tcW w:w="280" w:type="dxa"/>
            <w:vAlign w:val="bottom"/>
            <w:tcBorders>
              <w:bottom w:val="single" w:sz="8" w:color="CFF0FC"/>
            </w:tcBorders>
            <w:shd w:val="clear" w:color="auto" w:fill="CFF0FC"/>
          </w:tcPr>
          <w:p>
            <w:pPr>
              <w:spacing w:after="0"/>
              <w:rPr>
                <w:sz w:val="17"/>
                <w:szCs w:val="17"/>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1.7</w:t>
            </w:r>
          </w:p>
        </w:tc>
        <w:tc>
          <w:tcPr>
            <w:tcW w:w="460" w:type="dxa"/>
            <w:vAlign w:val="bottom"/>
            <w:tcBorders>
              <w:bottom w:val="single" w:sz="8" w:color="CFF0FC"/>
            </w:tcBorders>
            <w:gridSpan w:val="2"/>
            <w:shd w:val="clear" w:color="auto" w:fill="CFF0FC"/>
          </w:tcPr>
          <w:p>
            <w:pPr>
              <w:ind w:left="360"/>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785.5</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900" w:type="dxa"/>
            <w:vAlign w:val="bottom"/>
          </w:tcPr>
          <w:p>
            <w:pPr>
              <w:ind w:left="20"/>
              <w:spacing w:after="0" w:line="196" w:lineRule="exact"/>
              <w:rPr>
                <w:sz w:val="20"/>
                <w:szCs w:val="20"/>
                <w:color w:val="auto"/>
              </w:rPr>
            </w:pPr>
            <w:r>
              <w:rPr>
                <w:rFonts w:ascii="Arial" w:cs="Arial" w:eastAsia="Arial" w:hAnsi="Arial"/>
                <w:sz w:val="18"/>
                <w:szCs w:val="18"/>
                <w:color w:val="auto"/>
              </w:rPr>
              <w:t>Total</w:t>
            </w: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3.8</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700" w:type="dxa"/>
            <w:vAlign w:val="bottom"/>
            <w:gridSpan w:val="2"/>
          </w:tcPr>
          <w:p>
            <w:pPr>
              <w:jc w:val="right"/>
              <w:spacing w:after="0"/>
              <w:rPr>
                <w:sz w:val="20"/>
                <w:szCs w:val="20"/>
                <w:color w:val="auto"/>
              </w:rPr>
            </w:pPr>
            <w:r>
              <w:rPr>
                <w:rFonts w:ascii="Arial" w:cs="Arial" w:eastAsia="Arial" w:hAnsi="Arial"/>
                <w:sz w:val="16"/>
                <w:szCs w:val="16"/>
                <w:color w:val="auto"/>
              </w:rPr>
              <w:t>3.8</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-161925</wp:posOffset>
            </wp:positionV>
            <wp:extent cx="76835" cy="16256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-161925</wp:posOffset>
            </wp:positionV>
            <wp:extent cx="68580" cy="16256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8580" cy="162560"/>
                    </a:xfrm>
                    <a:prstGeom prst="rect">
                      <a:avLst/>
                    </a:prstGeom>
                    <a:noFill/>
                  </pic:spPr>
                </pic:pic>
              </a:graphicData>
            </a:graphic>
          </wp:anchor>
        </w:drawing>
      </w:r>
    </w:p>
    <w:p>
      <w:pPr>
        <w:ind w:left="780" w:hanging="263"/>
        <w:spacing w:after="0" w:line="236" w:lineRule="auto"/>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Information is based on trade dates of repurchase transactions.</w:t>
      </w:r>
    </w:p>
    <w:p>
      <w:pPr>
        <w:ind w:left="780" w:hanging="263"/>
        <w:spacing w:after="0" w:line="234" w:lineRule="auto"/>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Represents shares repurchased in open market transactions pursuant to the Common Stock Repurchase Program.</w:t>
      </w:r>
    </w:p>
    <w:p>
      <w:pPr>
        <w:ind w:left="780" w:hanging="263"/>
        <w:spacing w:after="0"/>
        <w:tabs>
          <w:tab w:leader="none" w:pos="780" w:val="left"/>
        </w:tabs>
        <w:numPr>
          <w:ilvl w:val="0"/>
          <w:numId w:val="7"/>
        </w:numPr>
        <w:rPr>
          <w:rFonts w:ascii="Arial" w:cs="Arial" w:eastAsia="Arial" w:hAnsi="Arial"/>
          <w:sz w:val="16"/>
          <w:szCs w:val="16"/>
          <w:color w:val="auto"/>
        </w:rPr>
      </w:pPr>
      <w:r>
        <w:rPr>
          <w:rFonts w:ascii="Arial" w:cs="Arial" w:eastAsia="Arial" w:hAnsi="Arial"/>
          <w:sz w:val="16"/>
          <w:szCs w:val="16"/>
          <w:color w:val="auto"/>
        </w:rPr>
        <w:t>Share repurchases were made pursuant to our Common Stock Repurchase Program, most recently authorized by our Board of Directors in July</w:t>
      </w:r>
    </w:p>
    <w:p>
      <w:pPr>
        <w:spacing w:after="0" w:line="30" w:lineRule="exact"/>
        <w:rPr>
          <w:sz w:val="20"/>
          <w:szCs w:val="20"/>
          <w:color w:val="auto"/>
        </w:rPr>
      </w:pPr>
    </w:p>
    <w:p>
      <w:pPr>
        <w:ind w:left="520" w:right="240"/>
        <w:spacing w:after="0" w:line="245" w:lineRule="auto"/>
        <w:rPr>
          <w:sz w:val="20"/>
          <w:szCs w:val="20"/>
          <w:color w:val="auto"/>
        </w:rPr>
      </w:pPr>
      <w:r>
        <w:rPr>
          <w:rFonts w:ascii="Arial" w:cs="Arial" w:eastAsia="Arial" w:hAnsi="Arial"/>
          <w:sz w:val="18"/>
          <w:szCs w:val="18"/>
          <w:color w:val="auto"/>
        </w:rPr>
        <w:t>2022. The program allows for the purchase of up to $1 billion of outstanding common stock in one or more transactions on the open market or in privately negotiated purchases.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34"/>
        </w:trPr>
        <w:tc>
          <w:tcPr>
            <w:tcW w:w="64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10600" w:type="dxa"/>
            <w:vAlign w:val="bottom"/>
            <w:gridSpan w:val="7"/>
          </w:tcPr>
          <w:p>
            <w:pPr>
              <w:ind w:left="80"/>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324"/>
        </w:trPr>
        <w:tc>
          <w:tcPr>
            <w:tcW w:w="11240" w:type="dxa"/>
            <w:vAlign w:val="bottom"/>
            <w:gridSpan w:val="8"/>
          </w:tcPr>
          <w:p>
            <w:pPr>
              <w:ind w:left="520"/>
              <w:spacing w:after="0"/>
              <w:rPr>
                <w:sz w:val="20"/>
                <w:szCs w:val="20"/>
                <w:color w:val="auto"/>
              </w:rPr>
            </w:pPr>
            <w:r>
              <w:rPr>
                <w:rFonts w:ascii="Arial" w:cs="Arial" w:eastAsia="Arial" w:hAnsi="Arial"/>
                <w:sz w:val="18"/>
                <w:szCs w:val="18"/>
                <w:color w:val="auto"/>
              </w:rPr>
              <w:t>The exhibits listed in the Exhibit Index immediately preceding such exhibits are filed as part of this Report.</w:t>
            </w:r>
          </w:p>
        </w:tc>
        <w:tc>
          <w:tcPr>
            <w:tcW w:w="0" w:type="dxa"/>
            <w:vAlign w:val="bottom"/>
          </w:tcPr>
          <w:p>
            <w:pPr>
              <w:spacing w:after="0"/>
              <w:rPr>
                <w:sz w:val="1"/>
                <w:szCs w:val="1"/>
                <w:color w:val="auto"/>
              </w:rPr>
            </w:pPr>
          </w:p>
        </w:tc>
      </w:tr>
      <w:tr>
        <w:trPr>
          <w:trHeight w:val="405"/>
        </w:trPr>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0" w:type="dxa"/>
            <w:vAlign w:val="bottom"/>
            <w:gridSpan w:val="4"/>
          </w:tcPr>
          <w:p>
            <w:pPr>
              <w:ind w:left="388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42"/>
        </w:trPr>
        <w:tc>
          <w:tcPr>
            <w:tcW w:w="640" w:type="dxa"/>
            <w:vAlign w:val="bottom"/>
          </w:tcPr>
          <w:p>
            <w:pPr>
              <w:ind w:left="20"/>
              <w:spacing w:after="0"/>
              <w:rPr>
                <w:sz w:val="20"/>
                <w:szCs w:val="20"/>
                <w:color w:val="auto"/>
              </w:rPr>
            </w:pPr>
            <w:r>
              <w:rPr>
                <w:rFonts w:ascii="Arial" w:cs="Arial" w:eastAsia="Arial" w:hAnsi="Arial"/>
                <w:sz w:val="14"/>
                <w:szCs w:val="14"/>
                <w:b w:val="1"/>
                <w:bCs w:val="1"/>
                <w:color w:val="auto"/>
              </w:rPr>
              <w:t>Exhibit</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Description of Exhibit</w:t>
            </w:r>
          </w:p>
        </w:tc>
        <w:tc>
          <w:tcPr>
            <w:tcW w:w="0" w:type="dxa"/>
            <w:vAlign w:val="bottom"/>
          </w:tcPr>
          <w:p>
            <w:pPr>
              <w:spacing w:after="0"/>
              <w:rPr>
                <w:sz w:val="1"/>
                <w:szCs w:val="1"/>
                <w:color w:val="auto"/>
              </w:rPr>
            </w:pPr>
          </w:p>
        </w:tc>
      </w:tr>
      <w:tr>
        <w:trPr>
          <w:trHeight w:val="185"/>
        </w:trPr>
        <w:tc>
          <w:tcPr>
            <w:tcW w:w="6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Number</w:t>
            </w:r>
          </w:p>
        </w:tc>
        <w:tc>
          <w:tcPr>
            <w:tcW w:w="2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200" w:type="dxa"/>
            <w:vAlign w:val="bottom"/>
            <w:tcBorders>
              <w:bottom w:val="single" w:sz="8" w:color="auto"/>
            </w:tcBorders>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04"/>
        </w:trPr>
        <w:tc>
          <w:tcPr>
            <w:tcW w:w="640" w:type="dxa"/>
            <w:vAlign w:val="bottom"/>
          </w:tcPr>
          <w:p>
            <w:pPr>
              <w:ind w:left="20"/>
              <w:spacing w:after="0"/>
              <w:rPr>
                <w:sz w:val="20"/>
                <w:szCs w:val="20"/>
                <w:color w:val="auto"/>
              </w:rPr>
            </w:pPr>
            <w:r>
              <w:rPr>
                <w:rFonts w:ascii="Arial" w:cs="Arial" w:eastAsia="Arial" w:hAnsi="Arial"/>
                <w:sz w:val="18"/>
                <w:szCs w:val="18"/>
                <w:color w:val="auto"/>
              </w:rPr>
              <w:t>31.1</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0" w:type="dxa"/>
            <w:vAlign w:val="bottom"/>
            <w:gridSpan w:val="4"/>
          </w:tcPr>
          <w:p>
            <w:pPr>
              <w:spacing w:after="0"/>
              <w:rPr>
                <w:sz w:val="20"/>
                <w:szCs w:val="20"/>
                <w:color w:val="auto"/>
              </w:rPr>
            </w:pPr>
            <w:r>
              <w:rPr>
                <w:rFonts w:ascii="Arial" w:cs="Arial" w:eastAsia="Arial" w:hAnsi="Arial"/>
                <w:sz w:val="18"/>
                <w:szCs w:val="18"/>
                <w:color w:val="0000FF"/>
              </w:rPr>
              <w:t>Certification of the Registrant’s Chief Executive Officer pursuant to Section 302 of the Sarbanes-Oxley Act of 2002</w:t>
            </w:r>
          </w:p>
        </w:tc>
        <w:tc>
          <w:tcPr>
            <w:tcW w:w="0" w:type="dxa"/>
            <w:vAlign w:val="bottom"/>
          </w:tcPr>
          <w:p>
            <w:pPr>
              <w:spacing w:after="0"/>
              <w:rPr>
                <w:sz w:val="1"/>
                <w:szCs w:val="1"/>
                <w:color w:val="auto"/>
              </w:rPr>
            </w:pPr>
          </w:p>
        </w:tc>
      </w:tr>
      <w:tr>
        <w:trPr>
          <w:trHeight w:val="520"/>
        </w:trPr>
        <w:tc>
          <w:tcPr>
            <w:tcW w:w="640" w:type="dxa"/>
            <w:vAlign w:val="bottom"/>
          </w:tcPr>
          <w:p>
            <w:pPr>
              <w:ind w:left="20"/>
              <w:spacing w:after="0"/>
              <w:rPr>
                <w:sz w:val="20"/>
                <w:szCs w:val="20"/>
                <w:color w:val="auto"/>
              </w:rPr>
            </w:pPr>
            <w:r>
              <w:rPr>
                <w:rFonts w:ascii="Arial" w:cs="Arial" w:eastAsia="Arial" w:hAnsi="Arial"/>
                <w:sz w:val="18"/>
                <w:szCs w:val="18"/>
                <w:color w:val="auto"/>
              </w:rPr>
              <w:t>31.2</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Borders>
              <w:top w:val="single" w:sz="8" w:color="0000FF"/>
              <w:bottom w:val="single" w:sz="8" w:color="0000FF"/>
            </w:tcBorders>
          </w:tcPr>
          <w:p>
            <w:pPr>
              <w:spacing w:after="0"/>
              <w:rPr>
                <w:sz w:val="20"/>
                <w:szCs w:val="20"/>
                <w:color w:val="auto"/>
              </w:rPr>
            </w:pPr>
            <w:r>
              <w:rPr>
                <w:rFonts w:ascii="Arial" w:cs="Arial" w:eastAsia="Arial" w:hAnsi="Arial"/>
                <w:sz w:val="18"/>
                <w:szCs w:val="18"/>
                <w:color w:val="0000FF"/>
                <w:w w:val="91"/>
              </w:rPr>
              <w:t>Certification of the Registrant’s Chief Financial Officer pursuant to Section 302 of the Sarbanes-Oxley Act of 2002</w:t>
            </w:r>
          </w:p>
        </w:tc>
        <w:tc>
          <w:tcPr>
            <w:tcW w:w="20" w:type="dxa"/>
            <w:vAlign w:val="bottom"/>
            <w:tcBorders>
              <w:top w:val="single" w:sz="8" w:color="0000FF"/>
              <w:bottom w:val="single" w:sz="8" w:color="0000EE"/>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37" w:lineRule="exact"/>
        <w:rPr>
          <w:sz w:val="20"/>
          <w:szCs w:val="20"/>
          <w:color w:val="auto"/>
        </w:rPr>
      </w:pPr>
    </w:p>
    <w:p>
      <w:pPr>
        <w:ind w:left="1040" w:right="20" w:hanging="1019"/>
        <w:spacing w:after="0" w:line="235" w:lineRule="auto"/>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0000FF"/>
        </w:rPr>
        <w:t>Certification of the Registrant’s Chief Executive Officer and Chief Financial Officer pursuant to 18 U.S.C. Section 1350, as adopted pursuant to Section 906 of the Sarbanes-Oxley Act of 2002 (furnished and not filed for purposes of sections 11 or 12 of the Securities Act and section 18 of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-264795</wp:posOffset>
            </wp:positionV>
            <wp:extent cx="647192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471920" cy="8890"/>
                    </a:xfrm>
                    <a:prstGeom prst="rect">
                      <a:avLst/>
                    </a:prstGeom>
                    <a:noFill/>
                  </pic:spPr>
                </pic:pic>
              </a:graphicData>
            </a:graphic>
          </wp:anchor>
        </w:drawing>
        <w:drawing>
          <wp:anchor simplePos="0" relativeHeight="251657728" behindDoc="1" locked="0" layoutInCell="0" allowOverlap="1">
            <wp:simplePos x="0" y="0"/>
            <wp:positionH relativeFrom="column">
              <wp:posOffset>656590</wp:posOffset>
            </wp:positionH>
            <wp:positionV relativeFrom="paragraph">
              <wp:posOffset>-144780</wp:posOffset>
            </wp:positionV>
            <wp:extent cx="6449695"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449695" cy="8255"/>
                    </a:xfrm>
                    <a:prstGeom prst="rect">
                      <a:avLst/>
                    </a:prstGeom>
                    <a:noFill/>
                  </pic:spPr>
                </pic:pic>
              </a:graphicData>
            </a:graphic>
          </wp:anchor>
        </w:drawing>
        <w:drawing>
          <wp:anchor simplePos="0" relativeHeight="251657728" behindDoc="1" locked="0" layoutInCell="0" allowOverlap="1">
            <wp:simplePos x="0" y="0"/>
            <wp:positionH relativeFrom="column">
              <wp:posOffset>656590</wp:posOffset>
            </wp:positionH>
            <wp:positionV relativeFrom="paragraph">
              <wp:posOffset>-24765</wp:posOffset>
            </wp:positionV>
            <wp:extent cx="1116965"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1116965" cy="8255"/>
                    </a:xfrm>
                    <a:prstGeom prst="rect">
                      <a:avLst/>
                    </a:prstGeom>
                    <a:noFill/>
                  </pic:spPr>
                </pic:pic>
              </a:graphicData>
            </a:graphic>
          </wp:anchor>
        </w:drawing>
      </w:r>
    </w:p>
    <w:p>
      <w:pPr>
        <w:spacing w:after="0" w:line="83"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840" w:type="dxa"/>
            <w:vAlign w:val="bottom"/>
          </w:tcPr>
          <w:p>
            <w:pPr>
              <w:spacing w:after="0"/>
              <w:rPr>
                <w:sz w:val="20"/>
                <w:szCs w:val="20"/>
                <w:color w:val="auto"/>
              </w:rPr>
            </w:pPr>
            <w:r>
              <w:rPr>
                <w:rFonts w:ascii="Arial" w:cs="Arial" w:eastAsia="Arial" w:hAnsi="Arial"/>
                <w:sz w:val="18"/>
                <w:szCs w:val="18"/>
                <w:color w:val="auto"/>
              </w:rPr>
              <w:t>101.INS</w:t>
            </w:r>
          </w:p>
        </w:tc>
        <w:tc>
          <w:tcPr>
            <w:tcW w:w="10200" w:type="dxa"/>
            <w:vAlign w:val="bottom"/>
          </w:tcPr>
          <w:p>
            <w:pPr>
              <w:ind w:left="180"/>
              <w:spacing w:after="0"/>
              <w:rPr>
                <w:sz w:val="20"/>
                <w:szCs w:val="20"/>
                <w:color w:val="auto"/>
              </w:rPr>
            </w:pPr>
            <w:r>
              <w:rPr>
                <w:rFonts w:ascii="Arial" w:cs="Arial" w:eastAsia="Arial" w:hAnsi="Arial"/>
                <w:sz w:val="18"/>
                <w:szCs w:val="18"/>
                <w:color w:val="auto"/>
                <w:w w:val="90"/>
              </w:rPr>
              <w:t>Inline XBRL Instance Document - the instance document does not appear in the Interactive Data File because its XBRL tags are embedded</w:t>
            </w:r>
          </w:p>
        </w:tc>
      </w:tr>
      <w:tr>
        <w:trPr>
          <w:trHeight w:val="230"/>
        </w:trPr>
        <w:tc>
          <w:tcPr>
            <w:tcW w:w="840" w:type="dxa"/>
            <w:vAlign w:val="bottom"/>
          </w:tcPr>
          <w:p>
            <w:pPr>
              <w:spacing w:after="0"/>
              <w:rPr>
                <w:sz w:val="20"/>
                <w:szCs w:val="20"/>
                <w:color w:val="auto"/>
              </w:rPr>
            </w:pPr>
          </w:p>
        </w:tc>
        <w:tc>
          <w:tcPr>
            <w:tcW w:w="10200" w:type="dxa"/>
            <w:vAlign w:val="bottom"/>
          </w:tcPr>
          <w:p>
            <w:pPr>
              <w:ind w:left="180"/>
              <w:spacing w:after="0"/>
              <w:rPr>
                <w:sz w:val="20"/>
                <w:szCs w:val="20"/>
                <w:color w:val="auto"/>
              </w:rPr>
            </w:pPr>
            <w:r>
              <w:rPr>
                <w:rFonts w:ascii="Arial" w:cs="Arial" w:eastAsia="Arial" w:hAnsi="Arial"/>
                <w:sz w:val="18"/>
                <w:szCs w:val="18"/>
                <w:color w:val="auto"/>
              </w:rPr>
              <w:t>within the Inline XBRL document.</w:t>
            </w:r>
          </w:p>
        </w:tc>
      </w:tr>
      <w:tr>
        <w:trPr>
          <w:trHeight w:val="351"/>
        </w:trPr>
        <w:tc>
          <w:tcPr>
            <w:tcW w:w="840" w:type="dxa"/>
            <w:vAlign w:val="bottom"/>
          </w:tcPr>
          <w:p>
            <w:pPr>
              <w:spacing w:after="0"/>
              <w:rPr>
                <w:sz w:val="20"/>
                <w:szCs w:val="20"/>
                <w:color w:val="auto"/>
              </w:rPr>
            </w:pPr>
            <w:r>
              <w:rPr>
                <w:rFonts w:ascii="Arial" w:cs="Arial" w:eastAsia="Arial" w:hAnsi="Arial"/>
                <w:sz w:val="18"/>
                <w:szCs w:val="18"/>
                <w:color w:val="auto"/>
              </w:rPr>
              <w:t>101.SCH</w:t>
            </w:r>
          </w:p>
        </w:tc>
        <w:tc>
          <w:tcPr>
            <w:tcW w:w="10200" w:type="dxa"/>
            <w:vAlign w:val="bottom"/>
          </w:tcPr>
          <w:p>
            <w:pPr>
              <w:ind w:left="180"/>
              <w:spacing w:after="0"/>
              <w:rPr>
                <w:sz w:val="20"/>
                <w:szCs w:val="20"/>
                <w:color w:val="auto"/>
              </w:rPr>
            </w:pPr>
            <w:r>
              <w:rPr>
                <w:rFonts w:ascii="Arial" w:cs="Arial" w:eastAsia="Arial" w:hAnsi="Arial"/>
                <w:sz w:val="18"/>
                <w:szCs w:val="18"/>
                <w:color w:val="auto"/>
              </w:rPr>
              <w:t>Inline XBRL Taxonomy Extension Schema Document.</w:t>
            </w:r>
          </w:p>
        </w:tc>
      </w:tr>
      <w:tr>
        <w:trPr>
          <w:trHeight w:val="540"/>
        </w:trPr>
        <w:tc>
          <w:tcPr>
            <w:tcW w:w="840" w:type="dxa"/>
            <w:vAlign w:val="bottom"/>
          </w:tcPr>
          <w:p>
            <w:pPr>
              <w:spacing w:after="0"/>
              <w:rPr>
                <w:sz w:val="20"/>
                <w:szCs w:val="20"/>
                <w:color w:val="auto"/>
              </w:rPr>
            </w:pPr>
            <w:r>
              <w:rPr>
                <w:rFonts w:ascii="Arial" w:cs="Arial" w:eastAsia="Arial" w:hAnsi="Arial"/>
                <w:sz w:val="18"/>
                <w:szCs w:val="18"/>
                <w:color w:val="auto"/>
              </w:rPr>
              <w:t>101.CAL</w:t>
            </w:r>
          </w:p>
        </w:tc>
        <w:tc>
          <w:tcPr>
            <w:tcW w:w="10200" w:type="dxa"/>
            <w:vAlign w:val="bottom"/>
          </w:tcPr>
          <w:p>
            <w:pPr>
              <w:ind w:left="180"/>
              <w:spacing w:after="0"/>
              <w:rPr>
                <w:sz w:val="20"/>
                <w:szCs w:val="20"/>
                <w:color w:val="auto"/>
              </w:rPr>
            </w:pPr>
            <w:r>
              <w:rPr>
                <w:rFonts w:ascii="Arial" w:cs="Arial" w:eastAsia="Arial" w:hAnsi="Arial"/>
                <w:sz w:val="18"/>
                <w:szCs w:val="18"/>
                <w:color w:val="auto"/>
              </w:rPr>
              <w:t>Inline XBRL Taxonomy Calculation Linkbase Document.</w:t>
            </w:r>
          </w:p>
        </w:tc>
      </w:tr>
      <w:tr>
        <w:trPr>
          <w:trHeight w:val="540"/>
        </w:trPr>
        <w:tc>
          <w:tcPr>
            <w:tcW w:w="840" w:type="dxa"/>
            <w:vAlign w:val="bottom"/>
          </w:tcPr>
          <w:p>
            <w:pPr>
              <w:spacing w:after="0"/>
              <w:rPr>
                <w:sz w:val="20"/>
                <w:szCs w:val="20"/>
                <w:color w:val="auto"/>
              </w:rPr>
            </w:pPr>
            <w:r>
              <w:rPr>
                <w:rFonts w:ascii="Arial" w:cs="Arial" w:eastAsia="Arial" w:hAnsi="Arial"/>
                <w:sz w:val="18"/>
                <w:szCs w:val="18"/>
                <w:color w:val="auto"/>
              </w:rPr>
              <w:t>101.LAB</w:t>
            </w:r>
          </w:p>
        </w:tc>
        <w:tc>
          <w:tcPr>
            <w:tcW w:w="10200" w:type="dxa"/>
            <w:vAlign w:val="bottom"/>
          </w:tcPr>
          <w:p>
            <w:pPr>
              <w:ind w:left="180"/>
              <w:spacing w:after="0"/>
              <w:rPr>
                <w:sz w:val="20"/>
                <w:szCs w:val="20"/>
                <w:color w:val="auto"/>
              </w:rPr>
            </w:pPr>
            <w:r>
              <w:rPr>
                <w:rFonts w:ascii="Arial" w:cs="Arial" w:eastAsia="Arial" w:hAnsi="Arial"/>
                <w:sz w:val="18"/>
                <w:szCs w:val="18"/>
                <w:color w:val="auto"/>
              </w:rPr>
              <w:t>Inline XBRL Taxonomy Label Linkbase Document.</w:t>
            </w:r>
          </w:p>
        </w:tc>
      </w:tr>
      <w:tr>
        <w:trPr>
          <w:trHeight w:val="540"/>
        </w:trPr>
        <w:tc>
          <w:tcPr>
            <w:tcW w:w="840" w:type="dxa"/>
            <w:vAlign w:val="bottom"/>
          </w:tcPr>
          <w:p>
            <w:pPr>
              <w:spacing w:after="0"/>
              <w:rPr>
                <w:sz w:val="20"/>
                <w:szCs w:val="20"/>
                <w:color w:val="auto"/>
              </w:rPr>
            </w:pPr>
            <w:r>
              <w:rPr>
                <w:rFonts w:ascii="Arial" w:cs="Arial" w:eastAsia="Arial" w:hAnsi="Arial"/>
                <w:sz w:val="18"/>
                <w:szCs w:val="18"/>
                <w:color w:val="auto"/>
              </w:rPr>
              <w:t>101.PRE</w:t>
            </w:r>
          </w:p>
        </w:tc>
        <w:tc>
          <w:tcPr>
            <w:tcW w:w="10200" w:type="dxa"/>
            <w:vAlign w:val="bottom"/>
          </w:tcPr>
          <w:p>
            <w:pPr>
              <w:ind w:left="180"/>
              <w:spacing w:after="0"/>
              <w:rPr>
                <w:sz w:val="20"/>
                <w:szCs w:val="20"/>
                <w:color w:val="auto"/>
              </w:rPr>
            </w:pPr>
            <w:r>
              <w:rPr>
                <w:rFonts w:ascii="Arial" w:cs="Arial" w:eastAsia="Arial" w:hAnsi="Arial"/>
                <w:sz w:val="18"/>
                <w:szCs w:val="18"/>
                <w:color w:val="auto"/>
              </w:rPr>
              <w:t>Inline XBRL Taxonomy Presentation Linkbase Document.</w:t>
            </w:r>
          </w:p>
        </w:tc>
      </w:tr>
      <w:tr>
        <w:trPr>
          <w:trHeight w:val="540"/>
        </w:trPr>
        <w:tc>
          <w:tcPr>
            <w:tcW w:w="840" w:type="dxa"/>
            <w:vAlign w:val="bottom"/>
          </w:tcPr>
          <w:p>
            <w:pPr>
              <w:spacing w:after="0"/>
              <w:rPr>
                <w:sz w:val="20"/>
                <w:szCs w:val="20"/>
                <w:color w:val="auto"/>
              </w:rPr>
            </w:pPr>
            <w:r>
              <w:rPr>
                <w:rFonts w:ascii="Arial" w:cs="Arial" w:eastAsia="Arial" w:hAnsi="Arial"/>
                <w:sz w:val="18"/>
                <w:szCs w:val="18"/>
                <w:color w:val="auto"/>
              </w:rPr>
              <w:t>101.DEF</w:t>
            </w:r>
          </w:p>
        </w:tc>
        <w:tc>
          <w:tcPr>
            <w:tcW w:w="10200" w:type="dxa"/>
            <w:vAlign w:val="bottom"/>
          </w:tcPr>
          <w:p>
            <w:pPr>
              <w:ind w:left="180"/>
              <w:spacing w:after="0"/>
              <w:rPr>
                <w:sz w:val="20"/>
                <w:szCs w:val="20"/>
                <w:color w:val="auto"/>
              </w:rPr>
            </w:pPr>
            <w:r>
              <w:rPr>
                <w:rFonts w:ascii="Arial" w:cs="Arial" w:eastAsia="Arial" w:hAnsi="Arial"/>
                <w:sz w:val="18"/>
                <w:szCs w:val="18"/>
                <w:color w:val="auto"/>
              </w:rPr>
              <w:t>Inline XBRL Taxonomy Extension Definition Linkbase Document.</w:t>
            </w:r>
          </w:p>
        </w:tc>
      </w:tr>
    </w:tbl>
    <w:p>
      <w:pPr>
        <w:spacing w:after="0" w:line="310" w:lineRule="exact"/>
        <w:rPr>
          <w:sz w:val="20"/>
          <w:szCs w:val="20"/>
          <w:color w:val="auto"/>
        </w:rPr>
      </w:pPr>
    </w:p>
    <w:p>
      <w:pPr>
        <w:ind w:left="1040" w:hanging="1019"/>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6" w:lineRule="exact"/>
        <w:rPr>
          <w:rFonts w:ascii="Arial" w:cs="Arial" w:eastAsia="Arial" w:hAnsi="Arial"/>
          <w:sz w:val="18"/>
          <w:szCs w:val="18"/>
          <w:color w:val="auto"/>
        </w:rPr>
      </w:pPr>
    </w:p>
    <w:p>
      <w:pPr>
        <w:ind w:left="5540"/>
        <w:spacing w:after="0"/>
        <w:rPr>
          <w:rFonts w:ascii="Arial" w:cs="Arial" w:eastAsia="Arial" w:hAnsi="Arial"/>
          <w:sz w:val="18"/>
          <w:szCs w:val="18"/>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32" w:name="page33"/>
    <w:bookmarkEnd w:id="32"/>
    <w:p>
      <w:pPr>
        <w:jc w:val="center"/>
        <w:ind w:right="-11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340" w:firstLine="509"/>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1"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SS&amp;C TECHNOLOGIES HOLDINGS, INC.</w:t>
      </w:r>
    </w:p>
    <w:p>
      <w:pPr>
        <w:spacing w:after="0" w:line="266" w:lineRule="exact"/>
        <w:rPr>
          <w:sz w:val="20"/>
          <w:szCs w:val="20"/>
          <w:color w:val="auto"/>
        </w:rPr>
      </w:pPr>
    </w:p>
    <w:p>
      <w:pPr>
        <w:ind w:left="6200"/>
        <w:spacing w:after="0"/>
        <w:tabs>
          <w:tab w:leader="none" w:pos="6640" w:val="left"/>
        </w:tabs>
        <w:rPr>
          <w:sz w:val="20"/>
          <w:szCs w:val="20"/>
          <w:color w:val="auto"/>
        </w:rPr>
      </w:pPr>
      <w:r>
        <w:rPr>
          <w:rFonts w:ascii="Arial" w:cs="Arial" w:eastAsia="Arial" w:hAnsi="Arial"/>
          <w:sz w:val="18"/>
          <w:szCs w:val="18"/>
          <w:color w:val="auto"/>
        </w:rPr>
        <w:t>By:</w:t>
        <w:tab/>
        <w:t>/s/ Patrick J. Pedonti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4222750</wp:posOffset>
            </wp:positionH>
            <wp:positionV relativeFrom="paragraph">
              <wp:posOffset>14605</wp:posOffset>
            </wp:positionV>
            <wp:extent cx="291465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2914650" cy="8255"/>
                    </a:xfrm>
                    <a:prstGeom prst="rect">
                      <a:avLst/>
                    </a:prstGeom>
                    <a:noFill/>
                  </pic:spPr>
                </pic:pic>
              </a:graphicData>
            </a:graphic>
          </wp:anchor>
        </w:drawing>
      </w:r>
    </w:p>
    <w:p>
      <w:pPr>
        <w:spacing w:after="0" w:line="1"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Patrick J. Pedonti</w:t>
      </w:r>
    </w:p>
    <w:p>
      <w:pPr>
        <w:ind w:left="6660"/>
        <w:spacing w:after="0" w:line="219" w:lineRule="auto"/>
        <w:rPr>
          <w:sz w:val="20"/>
          <w:szCs w:val="20"/>
          <w:color w:val="auto"/>
        </w:rPr>
      </w:pPr>
      <w:r>
        <w:rPr>
          <w:rFonts w:ascii="Arial" w:cs="Arial" w:eastAsia="Arial" w:hAnsi="Arial"/>
          <w:sz w:val="18"/>
          <w:szCs w:val="18"/>
          <w:color w:val="auto"/>
        </w:rPr>
        <w:t>Senior Vice President and Chief Financial Officer</w:t>
      </w:r>
    </w:p>
    <w:p>
      <w:pPr>
        <w:ind w:left="6660"/>
        <w:spacing w:after="0"/>
        <w:rPr>
          <w:sz w:val="20"/>
          <w:szCs w:val="20"/>
          <w:color w:val="auto"/>
        </w:rPr>
      </w:pPr>
      <w:r>
        <w:rPr>
          <w:rFonts w:ascii="Arial" w:cs="Arial" w:eastAsia="Arial" w:hAnsi="Arial"/>
          <w:sz w:val="16"/>
          <w:szCs w:val="16"/>
          <w:color w:val="auto"/>
        </w:rPr>
        <w:t>(Duly Authorized Officer, Principal Financial and Accounting</w:t>
      </w:r>
    </w:p>
    <w:p>
      <w:pPr>
        <w:spacing w:after="0" w:line="5"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Officer)</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Date: November 3, 2022</w:t>
      </w:r>
    </w:p>
    <w:p>
      <w:pPr>
        <w:spacing w:after="0" w:line="200" w:lineRule="exact"/>
        <w:rPr>
          <w:sz w:val="20"/>
          <w:szCs w:val="20"/>
          <w:color w:val="auto"/>
        </w:rPr>
      </w:pPr>
    </w:p>
    <w:p>
      <w:pPr>
        <w:spacing w:after="0" w:line="2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324" w:right="4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I, William C. Stone, certify that:</w:t>
      </w:r>
    </w:p>
    <w:p>
      <w:pPr>
        <w:spacing w:after="0" w:line="104" w:lineRule="exact"/>
        <w:rPr>
          <w:sz w:val="20"/>
          <w:szCs w:val="20"/>
          <w:color w:val="auto"/>
        </w:rPr>
      </w:pPr>
    </w:p>
    <w:p>
      <w:pPr>
        <w:ind w:left="360" w:hanging="352"/>
        <w:spacing w:after="0"/>
        <w:tabs>
          <w:tab w:leader="none" w:pos="3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SS&amp;C Technologies Holdings, Inc.;</w:t>
      </w:r>
    </w:p>
    <w:p>
      <w:pPr>
        <w:spacing w:after="0" w:line="117" w:lineRule="exact"/>
        <w:rPr>
          <w:rFonts w:ascii="Arial" w:cs="Arial" w:eastAsia="Arial" w:hAnsi="Arial"/>
          <w:sz w:val="18"/>
          <w:szCs w:val="18"/>
          <w:color w:val="auto"/>
        </w:rPr>
      </w:pPr>
    </w:p>
    <w:p>
      <w:pPr>
        <w:ind w:left="520" w:right="280" w:hanging="512"/>
        <w:spacing w:after="0" w:line="248" w:lineRule="auto"/>
        <w:tabs>
          <w:tab w:leader="none" w:pos="371"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7" w:lineRule="exact"/>
        <w:rPr>
          <w:rFonts w:ascii="Arial" w:cs="Arial" w:eastAsia="Arial" w:hAnsi="Arial"/>
          <w:sz w:val="18"/>
          <w:szCs w:val="18"/>
          <w:color w:val="auto"/>
        </w:rPr>
      </w:pPr>
    </w:p>
    <w:p>
      <w:pPr>
        <w:ind w:left="520" w:right="360" w:hanging="512"/>
        <w:spacing w:after="0" w:line="291" w:lineRule="auto"/>
        <w:tabs>
          <w:tab w:leader="none" w:pos="371" w:val="left"/>
        </w:tabs>
        <w:numPr>
          <w:ilvl w:val="0"/>
          <w:numId w:val="1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520" w:right="260" w:hanging="512"/>
        <w:spacing w:after="0" w:line="256" w:lineRule="auto"/>
        <w:tabs>
          <w:tab w:leader="none" w:pos="371"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6" w:lineRule="exact"/>
        <w:rPr>
          <w:rFonts w:ascii="Arial" w:cs="Arial" w:eastAsia="Arial" w:hAnsi="Arial"/>
          <w:sz w:val="18"/>
          <w:szCs w:val="18"/>
          <w:color w:val="auto"/>
        </w:rPr>
      </w:pPr>
    </w:p>
    <w:p>
      <w:pPr>
        <w:ind w:left="1020" w:right="80" w:hanging="479"/>
        <w:spacing w:after="0" w:line="256" w:lineRule="auto"/>
        <w:tabs>
          <w:tab w:leader="none" w:pos="895"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6" w:lineRule="exact"/>
        <w:rPr>
          <w:rFonts w:ascii="Arial" w:cs="Arial" w:eastAsia="Arial" w:hAnsi="Arial"/>
          <w:sz w:val="18"/>
          <w:szCs w:val="18"/>
          <w:color w:val="auto"/>
        </w:rPr>
      </w:pPr>
    </w:p>
    <w:p>
      <w:pPr>
        <w:ind w:left="1020" w:right="320" w:hanging="479"/>
        <w:spacing w:after="0" w:line="256" w:lineRule="auto"/>
        <w:tabs>
          <w:tab w:leader="none" w:pos="895"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6" w:lineRule="exact"/>
        <w:rPr>
          <w:rFonts w:ascii="Arial" w:cs="Arial" w:eastAsia="Arial" w:hAnsi="Arial"/>
          <w:sz w:val="18"/>
          <w:szCs w:val="18"/>
          <w:color w:val="auto"/>
        </w:rPr>
      </w:pPr>
    </w:p>
    <w:p>
      <w:pPr>
        <w:ind w:left="1020" w:right="480" w:hanging="479"/>
        <w:spacing w:after="0" w:line="324" w:lineRule="auto"/>
        <w:tabs>
          <w:tab w:leader="none" w:pos="895" w:val="left"/>
        </w:tabs>
        <w:numPr>
          <w:ilvl w:val="1"/>
          <w:numId w:val="1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1020" w:right="120" w:hanging="479"/>
        <w:spacing w:after="0" w:line="248" w:lineRule="auto"/>
        <w:tabs>
          <w:tab w:leader="none" w:pos="895" w:val="left"/>
        </w:tabs>
        <w:numPr>
          <w:ilvl w:val="1"/>
          <w:numId w:val="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7" w:lineRule="exact"/>
        <w:rPr>
          <w:rFonts w:ascii="Arial" w:cs="Arial" w:eastAsia="Arial" w:hAnsi="Arial"/>
          <w:sz w:val="18"/>
          <w:szCs w:val="18"/>
          <w:color w:val="auto"/>
        </w:rPr>
      </w:pPr>
    </w:p>
    <w:p>
      <w:pPr>
        <w:ind w:left="520" w:right="100" w:hanging="512"/>
        <w:spacing w:after="0" w:line="291" w:lineRule="auto"/>
        <w:tabs>
          <w:tab w:leader="none" w:pos="371"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020" w:right="40" w:hanging="479"/>
        <w:spacing w:after="0" w:line="291" w:lineRule="auto"/>
        <w:tabs>
          <w:tab w:leader="none" w:pos="895" w:val="left"/>
        </w:tabs>
        <w:numPr>
          <w:ilvl w:val="1"/>
          <w:numId w:val="1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2" w:lineRule="exact"/>
        <w:rPr>
          <w:rFonts w:ascii="Arial" w:cs="Arial" w:eastAsia="Arial" w:hAnsi="Arial"/>
          <w:sz w:val="17"/>
          <w:szCs w:val="17"/>
          <w:color w:val="auto"/>
        </w:rPr>
      </w:pPr>
    </w:p>
    <w:p>
      <w:pPr>
        <w:ind w:left="1020" w:right="540" w:hanging="479"/>
        <w:spacing w:after="0" w:line="261" w:lineRule="auto"/>
        <w:tabs>
          <w:tab w:leader="none" w:pos="895"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1" w:lineRule="exact"/>
        <w:rPr>
          <w:sz w:val="20"/>
          <w:szCs w:val="20"/>
          <w:color w:val="auto"/>
        </w:rPr>
      </w:pPr>
    </w:p>
    <w:p>
      <w:pPr>
        <w:ind w:left="20"/>
        <w:spacing w:after="0"/>
        <w:tabs>
          <w:tab w:leader="none" w:pos="5620" w:val="left"/>
        </w:tabs>
        <w:rPr>
          <w:sz w:val="20"/>
          <w:szCs w:val="20"/>
          <w:color w:val="auto"/>
        </w:rPr>
      </w:pPr>
      <w:r>
        <w:rPr>
          <w:rFonts w:ascii="Arial" w:cs="Arial" w:eastAsia="Arial" w:hAnsi="Arial"/>
          <w:sz w:val="18"/>
          <w:szCs w:val="18"/>
          <w:color w:val="auto"/>
        </w:rPr>
        <w:t>Date: November 3, 2022</w:t>
      </w:r>
      <w:r>
        <w:rPr>
          <w:sz w:val="20"/>
          <w:szCs w:val="20"/>
          <w:color w:val="auto"/>
        </w:rPr>
        <w:tab/>
      </w:r>
      <w:r>
        <w:rPr>
          <w:rFonts w:ascii="Arial" w:cs="Arial" w:eastAsia="Arial" w:hAnsi="Arial"/>
          <w:sz w:val="16"/>
          <w:szCs w:val="16"/>
          <w:color w:val="auto"/>
        </w:rPr>
        <w:t>/s/ William C. Stone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William C. Stone</w:t>
      </w:r>
    </w:p>
    <w:p>
      <w:pPr>
        <w:spacing w:after="0" w:line="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Chairman of the Board and Chief Executive Officer</w:t>
      </w:r>
    </w:p>
    <w:p>
      <w:pPr>
        <w:ind w:left="564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326390</wp:posOffset>
            </wp:positionV>
            <wp:extent cx="7157720"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I, Patrick J. Pedonti, certify that:</w:t>
      </w:r>
    </w:p>
    <w:p>
      <w:pPr>
        <w:spacing w:after="0" w:line="104" w:lineRule="exact"/>
        <w:rPr>
          <w:sz w:val="20"/>
          <w:szCs w:val="20"/>
          <w:color w:val="auto"/>
        </w:rPr>
      </w:pPr>
    </w:p>
    <w:p>
      <w:pPr>
        <w:ind w:left="360" w:hanging="352"/>
        <w:spacing w:after="0"/>
        <w:tabs>
          <w:tab w:leader="none" w:pos="3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SS&amp;C Technologies Holdings, Inc.;</w:t>
      </w:r>
    </w:p>
    <w:p>
      <w:pPr>
        <w:spacing w:after="0" w:line="117" w:lineRule="exact"/>
        <w:rPr>
          <w:rFonts w:ascii="Arial" w:cs="Arial" w:eastAsia="Arial" w:hAnsi="Arial"/>
          <w:sz w:val="18"/>
          <w:szCs w:val="18"/>
          <w:color w:val="auto"/>
        </w:rPr>
      </w:pPr>
    </w:p>
    <w:p>
      <w:pPr>
        <w:ind w:left="520" w:right="280" w:hanging="512"/>
        <w:spacing w:after="0" w:line="248" w:lineRule="auto"/>
        <w:tabs>
          <w:tab w:leader="none" w:pos="371"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7" w:lineRule="exact"/>
        <w:rPr>
          <w:rFonts w:ascii="Arial" w:cs="Arial" w:eastAsia="Arial" w:hAnsi="Arial"/>
          <w:sz w:val="18"/>
          <w:szCs w:val="18"/>
          <w:color w:val="auto"/>
        </w:rPr>
      </w:pPr>
    </w:p>
    <w:p>
      <w:pPr>
        <w:ind w:left="520" w:right="360" w:hanging="512"/>
        <w:spacing w:after="0" w:line="291" w:lineRule="auto"/>
        <w:tabs>
          <w:tab w:leader="none" w:pos="371" w:val="left"/>
        </w:tabs>
        <w:numPr>
          <w:ilvl w:val="0"/>
          <w:numId w:val="1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520" w:right="260" w:hanging="512"/>
        <w:spacing w:after="0" w:line="256" w:lineRule="auto"/>
        <w:tabs>
          <w:tab w:leader="none" w:pos="371"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6" w:lineRule="exact"/>
        <w:rPr>
          <w:rFonts w:ascii="Arial" w:cs="Arial" w:eastAsia="Arial" w:hAnsi="Arial"/>
          <w:sz w:val="18"/>
          <w:szCs w:val="18"/>
          <w:color w:val="auto"/>
        </w:rPr>
      </w:pPr>
    </w:p>
    <w:p>
      <w:pPr>
        <w:ind w:left="1020" w:right="80" w:hanging="479"/>
        <w:spacing w:after="0" w:line="256" w:lineRule="auto"/>
        <w:tabs>
          <w:tab w:leader="none" w:pos="895"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6" w:lineRule="exact"/>
        <w:rPr>
          <w:rFonts w:ascii="Arial" w:cs="Arial" w:eastAsia="Arial" w:hAnsi="Arial"/>
          <w:sz w:val="18"/>
          <w:szCs w:val="18"/>
          <w:color w:val="auto"/>
        </w:rPr>
      </w:pPr>
    </w:p>
    <w:p>
      <w:pPr>
        <w:ind w:left="1020" w:right="320" w:hanging="479"/>
        <w:spacing w:after="0" w:line="256" w:lineRule="auto"/>
        <w:tabs>
          <w:tab w:leader="none" w:pos="895"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6" w:lineRule="exact"/>
        <w:rPr>
          <w:rFonts w:ascii="Arial" w:cs="Arial" w:eastAsia="Arial" w:hAnsi="Arial"/>
          <w:sz w:val="18"/>
          <w:szCs w:val="18"/>
          <w:color w:val="auto"/>
        </w:rPr>
      </w:pPr>
    </w:p>
    <w:p>
      <w:pPr>
        <w:ind w:left="1020" w:right="480" w:hanging="479"/>
        <w:spacing w:after="0" w:line="324" w:lineRule="auto"/>
        <w:tabs>
          <w:tab w:leader="none" w:pos="895" w:val="left"/>
        </w:tabs>
        <w:numPr>
          <w:ilvl w:val="1"/>
          <w:numId w:val="1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1020" w:right="120" w:hanging="479"/>
        <w:spacing w:after="0" w:line="248" w:lineRule="auto"/>
        <w:tabs>
          <w:tab w:leader="none" w:pos="895" w:val="left"/>
        </w:tabs>
        <w:numPr>
          <w:ilvl w:val="1"/>
          <w:numId w:val="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7" w:lineRule="exact"/>
        <w:rPr>
          <w:rFonts w:ascii="Arial" w:cs="Arial" w:eastAsia="Arial" w:hAnsi="Arial"/>
          <w:sz w:val="18"/>
          <w:szCs w:val="18"/>
          <w:color w:val="auto"/>
        </w:rPr>
      </w:pPr>
    </w:p>
    <w:p>
      <w:pPr>
        <w:ind w:left="520" w:right="100" w:hanging="512"/>
        <w:spacing w:after="0" w:line="291" w:lineRule="auto"/>
        <w:tabs>
          <w:tab w:leader="none" w:pos="371"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020" w:right="40" w:hanging="479"/>
        <w:spacing w:after="0" w:line="291" w:lineRule="auto"/>
        <w:tabs>
          <w:tab w:leader="none" w:pos="895" w:val="left"/>
        </w:tabs>
        <w:numPr>
          <w:ilvl w:val="1"/>
          <w:numId w:val="1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2" w:lineRule="exact"/>
        <w:rPr>
          <w:rFonts w:ascii="Arial" w:cs="Arial" w:eastAsia="Arial" w:hAnsi="Arial"/>
          <w:sz w:val="17"/>
          <w:szCs w:val="17"/>
          <w:color w:val="auto"/>
        </w:rPr>
      </w:pPr>
    </w:p>
    <w:p>
      <w:pPr>
        <w:ind w:left="1020" w:right="540" w:hanging="479"/>
        <w:spacing w:after="0" w:line="261" w:lineRule="auto"/>
        <w:tabs>
          <w:tab w:leader="none" w:pos="895"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1" w:lineRule="exact"/>
        <w:rPr>
          <w:sz w:val="20"/>
          <w:szCs w:val="20"/>
          <w:color w:val="auto"/>
        </w:rPr>
      </w:pPr>
    </w:p>
    <w:p>
      <w:pPr>
        <w:ind w:left="20"/>
        <w:spacing w:after="0"/>
        <w:tabs>
          <w:tab w:leader="none" w:pos="5620" w:val="left"/>
        </w:tabs>
        <w:rPr>
          <w:sz w:val="20"/>
          <w:szCs w:val="20"/>
          <w:color w:val="auto"/>
        </w:rPr>
      </w:pPr>
      <w:r>
        <w:rPr>
          <w:rFonts w:ascii="Arial" w:cs="Arial" w:eastAsia="Arial" w:hAnsi="Arial"/>
          <w:sz w:val="18"/>
          <w:szCs w:val="18"/>
          <w:color w:val="auto"/>
        </w:rPr>
        <w:t>Date: November 3, 2022</w:t>
      </w:r>
      <w:r>
        <w:rPr>
          <w:sz w:val="20"/>
          <w:szCs w:val="20"/>
          <w:color w:val="auto"/>
        </w:rPr>
        <w:tab/>
      </w:r>
      <w:r>
        <w:rPr>
          <w:rFonts w:ascii="Arial" w:cs="Arial" w:eastAsia="Arial" w:hAnsi="Arial"/>
          <w:sz w:val="16"/>
          <w:szCs w:val="16"/>
          <w:color w:val="auto"/>
        </w:rPr>
        <w:t>/s/ Patrick J. Pedonti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Patrick J. Pedonti</w:t>
      </w:r>
    </w:p>
    <w:p>
      <w:pPr>
        <w:spacing w:after="0" w:line="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Senior Vice President and Chief Financial Officer</w:t>
      </w:r>
    </w:p>
    <w:p>
      <w:pPr>
        <w:ind w:left="564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326390</wp:posOffset>
            </wp:positionV>
            <wp:extent cx="715772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 18 U.S.C. SECTION 1350,</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09" w:lineRule="exact"/>
        <w:rPr>
          <w:sz w:val="20"/>
          <w:szCs w:val="20"/>
          <w:color w:val="auto"/>
        </w:rPr>
      </w:pPr>
    </w:p>
    <w:p>
      <w:pPr>
        <w:ind w:right="380" w:firstLine="1018"/>
        <w:spacing w:after="0" w:line="248" w:lineRule="auto"/>
        <w:rPr>
          <w:sz w:val="20"/>
          <w:szCs w:val="20"/>
          <w:color w:val="auto"/>
        </w:rPr>
      </w:pPr>
      <w:r>
        <w:rPr>
          <w:rFonts w:ascii="Arial" w:cs="Arial" w:eastAsia="Arial" w:hAnsi="Arial"/>
          <w:sz w:val="18"/>
          <w:szCs w:val="18"/>
          <w:color w:val="auto"/>
        </w:rPr>
        <w:t>In connection with the quarterly report on Form 10-Q of SS&amp;C Technologies Holdings, Inc. (the “Company”) for the period ended September 30, 2022 as filed with the Securities and Exchange Commission on the date hereof (the “Report”), the undersigned officers of the Company hereby certify to their knowledge, pursuant to 18 U.S.C. Section 1350, that:</w:t>
      </w:r>
    </w:p>
    <w:p>
      <w:pPr>
        <w:spacing w:after="0" w:line="87" w:lineRule="exact"/>
        <w:rPr>
          <w:sz w:val="20"/>
          <w:szCs w:val="20"/>
          <w:color w:val="auto"/>
        </w:rPr>
      </w:pPr>
    </w:p>
    <w:p>
      <w:pPr>
        <w:ind w:left="820" w:hanging="363"/>
        <w:spacing w:after="0"/>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03" w:lineRule="exact"/>
        <w:rPr>
          <w:rFonts w:ascii="Arial" w:cs="Arial" w:eastAsia="Arial" w:hAnsi="Arial"/>
          <w:sz w:val="18"/>
          <w:szCs w:val="18"/>
          <w:color w:val="auto"/>
        </w:rPr>
      </w:pPr>
    </w:p>
    <w:p>
      <w:pPr>
        <w:ind w:left="820" w:hanging="363"/>
        <w:spacing w:after="0"/>
        <w:tabs>
          <w:tab w:leader="none" w:pos="8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21" w:lineRule="exact"/>
        <w:rPr>
          <w:sz w:val="20"/>
          <w:szCs w:val="20"/>
          <w:color w:val="auto"/>
        </w:rPr>
      </w:pPr>
    </w:p>
    <w:p>
      <w:pPr>
        <w:ind w:left="20"/>
        <w:spacing w:after="0"/>
        <w:tabs>
          <w:tab w:leader="none" w:pos="5300" w:val="left"/>
          <w:tab w:leader="none" w:pos="5740" w:val="left"/>
        </w:tabs>
        <w:rPr>
          <w:sz w:val="20"/>
          <w:szCs w:val="20"/>
          <w:color w:val="auto"/>
        </w:rPr>
      </w:pPr>
      <w:r>
        <w:rPr>
          <w:rFonts w:ascii="Arial" w:cs="Arial" w:eastAsia="Arial" w:hAnsi="Arial"/>
          <w:sz w:val="18"/>
          <w:szCs w:val="18"/>
          <w:color w:val="auto"/>
        </w:rPr>
        <w:t>Date: November 3,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William C. Stone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14605</wp:posOffset>
            </wp:positionV>
            <wp:extent cx="348869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3488690" cy="8890"/>
                    </a:xfrm>
                    <a:prstGeom prst="rect">
                      <a:avLst/>
                    </a:prstGeom>
                    <a:noFill/>
                  </pic:spPr>
                </pic:pic>
              </a:graphicData>
            </a:graphic>
          </wp:anchor>
        </w:drawing>
      </w:r>
    </w:p>
    <w:p>
      <w:pPr>
        <w:spacing w:after="0" w:line="3"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William C. Stone</w:t>
      </w:r>
    </w:p>
    <w:p>
      <w:pPr>
        <w:spacing w:after="0" w:line="6"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Chairman of the Board and Chief Executive Officer</w:t>
      </w:r>
    </w:p>
    <w:p>
      <w:pPr>
        <w:ind w:left="5760"/>
        <w:spacing w:after="0"/>
        <w:rPr>
          <w:sz w:val="20"/>
          <w:szCs w:val="20"/>
          <w:color w:val="auto"/>
        </w:rPr>
      </w:pPr>
      <w:r>
        <w:rPr>
          <w:rFonts w:ascii="Arial" w:cs="Arial" w:eastAsia="Arial" w:hAnsi="Arial"/>
          <w:sz w:val="18"/>
          <w:szCs w:val="18"/>
          <w:color w:val="auto"/>
        </w:rPr>
        <w:t>(Principal Executive Officer)</w:t>
      </w:r>
    </w:p>
    <w:p>
      <w:pPr>
        <w:spacing w:after="0" w:line="209" w:lineRule="exact"/>
        <w:rPr>
          <w:sz w:val="20"/>
          <w:szCs w:val="20"/>
          <w:color w:val="auto"/>
        </w:rPr>
      </w:pPr>
    </w:p>
    <w:p>
      <w:pPr>
        <w:ind w:left="20"/>
        <w:spacing w:after="0"/>
        <w:tabs>
          <w:tab w:leader="none" w:pos="5300" w:val="left"/>
          <w:tab w:leader="none" w:pos="5740" w:val="left"/>
        </w:tabs>
        <w:rPr>
          <w:sz w:val="20"/>
          <w:szCs w:val="20"/>
          <w:color w:val="auto"/>
        </w:rPr>
      </w:pPr>
      <w:r>
        <w:rPr>
          <w:rFonts w:ascii="Arial" w:cs="Arial" w:eastAsia="Arial" w:hAnsi="Arial"/>
          <w:sz w:val="18"/>
          <w:szCs w:val="18"/>
          <w:color w:val="auto"/>
        </w:rPr>
        <w:t>Date: November 3,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Patrick J. Pedonti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14605</wp:posOffset>
            </wp:positionV>
            <wp:extent cx="348869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3"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Patrick J. Pedonti</w:t>
      </w:r>
    </w:p>
    <w:p>
      <w:pPr>
        <w:spacing w:after="0" w:line="6"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Senior Vice President and Chief Financial Officer</w:t>
      </w:r>
    </w:p>
    <w:p>
      <w:pPr>
        <w:ind w:left="576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326390</wp:posOffset>
            </wp:positionV>
            <wp:extent cx="715772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36" w:name="page37"/>
    <w:bookmarkEnd w:id="3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1)"/>
      <w:numFmt w:val="decimal"/>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1)"/>
      <w:numFmt w:val="decimal"/>
      <w:start w:val="1"/>
    </w:lvl>
  </w:abstractNum>
  <w:abstractNum w:abstractNumId="4">
    <w:nsid w:val="515F007C"/>
    <w:multiLevelType w:val="hybridMultilevel"/>
    <w:lvl w:ilvl="0">
      <w:lvlJc w:val="left"/>
      <w:lvlText w:val="(%1)"/>
      <w:numFmt w:val="decimal"/>
      <w:start w:val="4"/>
    </w:lvl>
  </w:abstractNum>
  <w:abstractNum w:abstractNumId="5">
    <w:nsid w:val="5BD062C2"/>
    <w:multiLevelType w:val="hybridMultilevel"/>
    <w:lvl w:ilvl="0">
      <w:lvlJc w:val="left"/>
      <w:lvlText w:val="(%1)"/>
      <w:numFmt w:val="decimal"/>
      <w:start w:val="1"/>
    </w:lvl>
  </w:abstractNum>
  <w:abstractNum w:abstractNumId="6">
    <w:nsid w:val="12200854"/>
    <w:multiLevelType w:val="hybridMultilevel"/>
    <w:lvl w:ilvl="0">
      <w:lvlJc w:val="left"/>
      <w:lvlText w:val="(%1)"/>
      <w:numFmt w:val="decimal"/>
      <w:start w:val="1"/>
    </w:lvl>
  </w:abstractNum>
  <w:abstractNum w:abstractNumId="7">
    <w:nsid w:val="4DB127F8"/>
    <w:multiLevelType w:val="hybridMultilevel"/>
    <w:lvl w:ilvl="0">
      <w:lvlJc w:val="left"/>
      <w:lvlText w:val="%1"/>
      <w:numFmt w:val="decimal"/>
      <w:start w:val="32"/>
    </w:lvl>
  </w:abstractNum>
  <w:abstractNum w:abstractNumId="8">
    <w:nsid w:val="216231B"/>
    <w:multiLevelType w:val="hybridMultilevel"/>
    <w:lvl w:ilvl="0">
      <w:lvlJc w:val="left"/>
      <w:lvlText w:val="%1"/>
      <w:numFmt w:val="decimal"/>
      <w:start w:val="104"/>
    </w:lvl>
  </w:abstractNum>
  <w:abstractNum w:abstractNumId="9">
    <w:nsid w:val="1F16E9E8"/>
    <w:multiLevelType w:val="hybridMultilevel"/>
    <w:lvl w:ilvl="0">
      <w:lvlJc w:val="left"/>
      <w:lvlText w:val="%1."/>
      <w:numFmt w:val="decimal"/>
      <w:start w:val="1"/>
    </w:lvl>
    <w:lvl w:ilvl="1">
      <w:lvlJc w:val="left"/>
      <w:lvlText w:val="%2)"/>
      <w:numFmt w:val="lowerLetter"/>
      <w:start w:val="1"/>
    </w:lvl>
  </w:abstractNum>
  <w:abstractNum w:abstractNumId="10">
    <w:nsid w:val="1190CDE7"/>
    <w:multiLevelType w:val="hybridMultilevel"/>
    <w:lvl w:ilvl="0">
      <w:lvlJc w:val="left"/>
      <w:lvlText w:val="%1."/>
      <w:numFmt w:val="decimal"/>
      <w:start w:val="1"/>
    </w:lvl>
    <w:lvl w:ilvl="1">
      <w:lvlJc w:val="left"/>
      <w:lvlText w:val="%2)"/>
      <w:numFmt w:val="lowerLetter"/>
      <w:start w:val="1"/>
    </w:lvl>
  </w:abstractNum>
  <w:abstractNum w:abstractNumId="11">
    <w:nsid w:val="66EF438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2022-11-03T16:26:28Z</dcterms:created>
  <dcterms:modified xsi:type="dcterms:W3CDTF">2022-11-03T16:26:28Z</dcterms:modified>
</cp:coreProperties>
</file>