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821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821555"/>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Conjeevaram Smita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SS&amp;C TECHNOLOGIES HOLDINGS,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80 LAMBERTON RD.</w:t>
      </w:r>
    </w:p>
    <w:p>
      <w:pPr>
        <w:spacing w:after="0" w:line="27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WINDSOR</w:t>
      </w:r>
      <w:r>
        <w:rPr>
          <w:sz w:val="20"/>
          <w:szCs w:val="20"/>
          <w:color w:val="auto"/>
        </w:rPr>
        <w:tab/>
      </w:r>
      <w:r>
        <w:rPr>
          <w:rFonts w:ascii="Times New Roman" w:cs="Times New Roman" w:eastAsia="Times New Roman" w:hAnsi="Times New Roman"/>
          <w:sz w:val="16"/>
          <w:szCs w:val="16"/>
          <w:color w:val="0000FF"/>
        </w:rPr>
        <w:t>CT</w:t>
      </w:r>
      <w:r>
        <w:rPr>
          <w:sz w:val="20"/>
          <w:szCs w:val="20"/>
          <w:color w:val="auto"/>
        </w:rPr>
        <w:tab/>
      </w:r>
      <w:r>
        <w:rPr>
          <w:rFonts w:ascii="Times New Roman" w:cs="Times New Roman" w:eastAsia="Times New Roman" w:hAnsi="Times New Roman"/>
          <w:sz w:val="16"/>
          <w:szCs w:val="16"/>
          <w:color w:val="0000FF"/>
        </w:rPr>
        <w:t>06095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SS&amp;C Technologies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SSNC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0" w:type="dxa"/>
            <w:vAlign w:val="bottom"/>
            <w:tcBorders>
              <w:top w:val="single" w:sz="8" w:color="0000EE"/>
            </w:tcBorders>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r>
      <w:tr>
        <w:trPr>
          <w:trHeight w:val="165"/>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1"/>
        </w:trPr>
        <w:tc>
          <w:tcPr>
            <w:tcW w:w="2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05/20/2026</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0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2">
            <w:col w:w="3400" w:space="440"/>
            <w:col w:w="7240"/>
          </w:cols>
          <w:pgMar w:left="460" w:top="214" w:right="359" w:bottom="1440" w:gutter="0" w:footer="0" w:header="0"/>
          <w:type w:val="continuous"/>
        </w:sectPr>
      </w:pP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75"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83"/>
              <w:spacing w:after="0"/>
              <w:rPr>
                <w:sz w:val="20"/>
                <w:szCs w:val="20"/>
                <w:color w:val="auto"/>
              </w:rPr>
            </w:pPr>
            <w:r>
              <w:rPr>
                <w:rFonts w:ascii="Times New Roman" w:cs="Times New Roman" w:eastAsia="Times New Roman" w:hAnsi="Times New Roman"/>
                <w:sz w:val="16"/>
                <w:szCs w:val="16"/>
                <w:color w:val="0000FF"/>
                <w:w w:val="98"/>
              </w:rPr>
              <w:t>05/20/2026</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2,580</w:t>
            </w:r>
            <w:r>
              <w:rPr>
                <w:rFonts w:ascii="Times New Roman" w:cs="Times New Roman" w:eastAsia="Times New Roman" w:hAnsi="Times New Roman"/>
                <w:sz w:val="20"/>
                <w:szCs w:val="20"/>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15,504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M</w:t>
            </w:r>
            <w:r>
              <w:rPr>
                <w:rFonts w:ascii="Times New Roman" w:cs="Times New Roman" w:eastAsia="Times New Roman" w:hAnsi="Times New Roman"/>
                <w:sz w:val="10"/>
                <w:szCs w:val="10"/>
                <w:color w:val="008000"/>
                <w:w w:val="90"/>
              </w:rPr>
              <w:t>(1)</w:t>
            </w:r>
          </w:p>
        </w:tc>
        <w:tc>
          <w:tcPr>
            <w:tcW w:w="58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2,580</w:t>
            </w:r>
            <w:r>
              <w:rPr>
                <w:rFonts w:ascii="Times New Roman" w:cs="Times New Roman" w:eastAsia="Times New Roman" w:hAnsi="Times New Roman"/>
                <w:sz w:val="20"/>
                <w:szCs w:val="20"/>
                <w:color w:val="008000"/>
                <w:vertAlign w:val="superscript"/>
              </w:rPr>
              <w:t>(1)</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2,580</w:t>
            </w:r>
            <w:r>
              <w:rPr>
                <w:rFonts w:ascii="Times New Roman" w:cs="Times New Roman" w:eastAsia="Times New Roman" w:hAnsi="Times New Roman"/>
                <w:sz w:val="20"/>
                <w:szCs w:val="20"/>
                <w:color w:val="008000"/>
                <w:w w:val="93"/>
                <w:vertAlign w:val="superscript"/>
              </w:rPr>
              <w:t>(1)</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05/20/2026</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ind w:left="140"/>
              <w:spacing w:after="0" w:line="125"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3,200</w:t>
            </w:r>
            <w:r>
              <w:rPr>
                <w:rFonts w:ascii="Times New Roman" w:cs="Times New Roman" w:eastAsia="Times New Roman" w:hAnsi="Times New Roman"/>
                <w:sz w:val="20"/>
                <w:szCs w:val="20"/>
                <w:color w:val="008000"/>
                <w:vertAlign w:val="superscript"/>
              </w:rPr>
              <w:t>(3)</w:t>
            </w:r>
          </w:p>
        </w:tc>
        <w:tc>
          <w:tcPr>
            <w:tcW w:w="50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0000FF"/>
              </w:rPr>
              <w:t>3,200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05/20/2026</w:t>
            </w: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323"/>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224"/>
              <w:spacing w:after="0" w:line="138" w:lineRule="exact"/>
              <w:rPr>
                <w:sz w:val="20"/>
                <w:szCs w:val="20"/>
                <w:color w:val="auto"/>
              </w:rPr>
            </w:pPr>
            <w:r>
              <w:rPr>
                <w:rFonts w:ascii="Times New Roman" w:cs="Times New Roman" w:eastAsia="Times New Roman" w:hAnsi="Times New Roman"/>
                <w:sz w:val="13"/>
                <w:szCs w:val="13"/>
                <w:color w:val="0000FF"/>
              </w:rPr>
              <w:t>3,200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-2052955</wp:posOffset>
            </wp:positionV>
            <wp:extent cx="28575" cy="2058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580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vesting of restricted stock units granted to the reporting person on May 21, 2025, together with 33 dividend equivalent rights accrued thereon. The Reporting Person has elected to defer settlement of the shares underlying the RSUs and related dividend equivalents until June 1, 2028.</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38" w:lineRule="exact"/>
        <w:rPr>
          <w:rFonts w:ascii="Times New Roman" w:cs="Times New Roman" w:eastAsia="Times New Roman" w:hAnsi="Times New Roman"/>
          <w:sz w:val="13"/>
          <w:szCs w:val="13"/>
          <w:color w:val="008000"/>
        </w:rPr>
      </w:pPr>
    </w:p>
    <w:p>
      <w:pPr>
        <w:ind w:left="40" w:right="40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100% on the earlier of (i) the first anniversary of the grant date and (ii) the date of the issuer's annual general meeting of stockholders held in fiscal 2027. The Reporting Person has elected to defer settlement of the shares underlying the restricted stock units and related dividend equivalents until June 1, 2029.</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Jason White, Attorney-in-fact</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05/22/2026</w:t>
            </w:r>
          </w:p>
        </w:tc>
        <w:tc>
          <w:tcPr>
            <w:tcW w:w="0" w:type="dxa"/>
            <w:vAlign w:val="bottom"/>
          </w:tcPr>
          <w:p>
            <w:pPr>
              <w:spacing w:after="0"/>
              <w:rPr>
                <w:sz w:val="1"/>
                <w:szCs w:val="1"/>
                <w:color w:val="auto"/>
              </w:rPr>
            </w:pPr>
          </w:p>
        </w:tc>
      </w:tr>
      <w:tr>
        <w:trPr>
          <w:trHeight w:val="80"/>
        </w:trPr>
        <w:tc>
          <w:tcPr>
            <w:tcW w:w="192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for Smita Conjeevaram</w:t>
            </w:r>
          </w:p>
        </w:tc>
        <w:tc>
          <w:tcPr>
            <w:tcW w:w="140" w:type="dxa"/>
            <w:vAlign w:val="bottom"/>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20" w:type="dxa"/>
            <w:vAlign w:val="bottom"/>
            <w:tcBorders>
              <w:top w:val="single" w:sz="8" w:color="auto"/>
            </w:tcBorders>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6600" TargetMode="External"/><Relationship Id="rId14" Type="http://schemas.openxmlformats.org/officeDocument/2006/relationships/hyperlink" Target="http://www.sec.gov/cgi-bin/browse-edgar?action=getcompany&amp;CIK=00014024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2026-05-22T16:13:44Z</dcterms:created>
  <dcterms:modified xsi:type="dcterms:W3CDTF">2026-05-22T16:13:44Z</dcterms:modified>
</cp:coreProperties>
</file>