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5218430</wp:posOffset>
            </wp:positionH>
            <wp:positionV relativeFrom="paragraph">
              <wp:posOffset>-614680</wp:posOffset>
            </wp:positionV>
            <wp:extent cx="57785" cy="6280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3941445</wp:posOffset>
            </wp:positionH>
            <wp:positionV relativeFrom="paragraph">
              <wp:posOffset>-614680</wp:posOffset>
            </wp:positionV>
            <wp:extent cx="57785" cy="628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727710</wp:posOffset>
            </wp:positionV>
            <wp:extent cx="6996430" cy="4827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6430" cy="4827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Walton Debra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77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SS&amp;C Technologies Holdings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SSNC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05/20/2026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80 LAMBERTON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519"/>
        <w:spacing w:after="0"/>
        <w:tabs>
          <w:tab w:leader="none" w:pos="205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19"/>
        <w:spacing w:after="0"/>
        <w:tabs>
          <w:tab w:leader="none" w:pos="205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1"/>
            <w:col w:w="3339"/>
          </w:cols>
          <w:pgMar w:left="460" w:top="215" w:right="359" w:bottom="1440" w:gutter="0" w:footer="0" w:header="0"/>
          <w:type w:val="continuous"/>
        </w:sectPr>
      </w:pPr>
    </w:p>
    <w:p>
      <w:pPr>
        <w:spacing w:after="0" w:line="22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WINDSOR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CT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06095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05/20/2026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2,580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7,600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1"/>
              </w:rPr>
              <w:t>2,580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2,580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2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3,200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3,200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-2156460</wp:posOffset>
            </wp:positionV>
            <wp:extent cx="28575" cy="21615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161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vesting of restricted stock units granted to the reporting person on May 21, 2025, together with 33 dividend equivalent rights accrued thereon.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100% on the earlier of (i) the first anniversary of the grant date and (ii) the date of the issuer's annual general meeting of stockholders held in fiscal 2027.</w:t>
      </w:r>
    </w:p>
    <w:p>
      <w:pPr>
        <w:spacing w:after="0" w:line="5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Jason White, Attorney-in-fact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05/22/2026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6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for Debra Walton-Ruskin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3740" w:hanging="1"/>
        <w:spacing w:after="0" w:line="329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1962" TargetMode="External"/><Relationship Id="rId14" Type="http://schemas.openxmlformats.org/officeDocument/2006/relationships/hyperlink" Target="http://www.sec.gov/cgi-bin/browse-edgar?action=getcompany&amp;CIK=00014024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2026-05-22T15:56:38Z</dcterms:created>
  <dcterms:modified xsi:type="dcterms:W3CDTF">2026-05-22T15:56:38Z</dcterms:modified>
</cp:coreProperties>
</file>