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Schell Brian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SS&amp;C TECHNOLOGIES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 LAMBERTON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WINDSOR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SS&amp;C Technologies Holdings Inc</w:t>
              </w:r>
            </w:hyperlink>
            <w:r>
              <w:rPr/>
              <w:t xml:space="preserve"> [ </w:t>
            </w:r>
            <w:r>
              <w:rPr>
                <w:rFonts w:ascii="Times;serif" w:hAnsi="Times;serif"/>
                <w:color w:val="0000FF"/>
                <w:sz w:val="24"/>
                <w:shd w:fill="FFFFFF" w:val="clear"/>
              </w:rPr>
              <w:t>SSNC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40,170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132,249</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17,937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114,312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15, 2023, the reporting person was granted 115,474 restricted stock units, vesting in three equal annual installments beginning on the first anniversary of the grant date. The number of securities reported in columns 5 and 7 includes 1,679 dividend equivalent rights accrued with respect to the underlying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Jason White, attorney-in-fact for Brian Schell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7240" TargetMode="External"/><Relationship Id="rId5" Type="http://schemas.openxmlformats.org/officeDocument/2006/relationships/hyperlink" Target="http://www.sec.gov/cgi-bin/browse-edgar?action=getcompany&amp;CIK=00014024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3562</Characters>
  <CharactersWithSpaces>4132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