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78"/>
        </w:trPr>
        <w:tc>
          <w:tcPr>
            <w:tcW w:w="1140" w:type="dxa"/>
            <w:vAlign w:val="bottom"/>
          </w:tcPr>
          <w:p>
            <w:pPr>
              <w:spacing w:after="0"/>
              <w:rPr>
                <w:sz w:val="24"/>
                <w:szCs w:val="24"/>
                <w:color w:val="auto"/>
              </w:rPr>
            </w:pPr>
          </w:p>
        </w:tc>
        <w:tc>
          <w:tcPr>
            <w:tcW w:w="9860" w:type="dxa"/>
            <w:vAlign w:val="bottom"/>
            <w:gridSpan w:val="3"/>
          </w:tcPr>
          <w:p>
            <w:pPr>
              <w:jc w:val="center"/>
              <w:ind w:right="920"/>
              <w:spacing w:after="0"/>
              <w:rPr>
                <w:sz w:val="20"/>
                <w:szCs w:val="20"/>
                <w:color w:val="auto"/>
              </w:rPr>
            </w:pPr>
            <w:r>
              <w:rPr>
                <w:rFonts w:ascii="Times New Roman" w:cs="Times New Roman" w:eastAsia="Times New Roman" w:hAnsi="Times New Roman"/>
                <w:sz w:val="32"/>
                <w:szCs w:val="32"/>
                <w:b w:val="1"/>
                <w:bCs w:val="1"/>
                <w:color w:val="auto"/>
                <w:w w:val="99"/>
              </w:rPr>
              <w:t>UNITED STATES</w:t>
            </w: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9860" w:type="dxa"/>
            <w:vAlign w:val="bottom"/>
            <w:gridSpan w:val="3"/>
          </w:tcPr>
          <w:p>
            <w:pPr>
              <w:jc w:val="center"/>
              <w:ind w:right="9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9860" w:type="dxa"/>
            <w:vAlign w:val="bottom"/>
            <w:gridSpan w:val="3"/>
          </w:tcPr>
          <w:p>
            <w:pPr>
              <w:jc w:val="center"/>
              <w:ind w:right="980"/>
              <w:spacing w:after="0"/>
              <w:rPr>
                <w:sz w:val="20"/>
                <w:szCs w:val="20"/>
                <w:color w:val="auto"/>
              </w:rPr>
            </w:pPr>
            <w:r>
              <w:rPr>
                <w:rFonts w:ascii="Times New Roman" w:cs="Times New Roman" w:eastAsia="Times New Roman" w:hAnsi="Times New Roman"/>
                <w:sz w:val="22"/>
                <w:szCs w:val="22"/>
                <w:b w:val="1"/>
                <w:bCs w:val="1"/>
                <w:color w:val="auto"/>
                <w:w w:val="98"/>
              </w:rPr>
              <w:t>Washington, D.C. 20549</w:t>
            </w: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520" w:type="dxa"/>
            <w:vAlign w:val="bottom"/>
            <w:gridSpan w:val="2"/>
          </w:tcPr>
          <w:p>
            <w:pPr>
              <w:jc w:val="center"/>
              <w:ind w:right="4360"/>
              <w:spacing w:after="0"/>
              <w:rPr>
                <w:sz w:val="20"/>
                <w:szCs w:val="20"/>
                <w:color w:val="auto"/>
              </w:rPr>
            </w:pPr>
            <w:r>
              <w:rPr>
                <w:rFonts w:ascii="Times New Roman" w:cs="Times New Roman" w:eastAsia="Times New Roman" w:hAnsi="Times New Roman"/>
                <w:sz w:val="32"/>
                <w:szCs w:val="32"/>
                <w:b w:val="1"/>
                <w:bCs w:val="1"/>
                <w:color w:val="auto"/>
              </w:rPr>
              <w:t>FORM 10-Q</w:t>
            </w:r>
          </w:p>
        </w:tc>
        <w:tc>
          <w:tcPr>
            <w:tcW w:w="0" w:type="dxa"/>
            <w:vAlign w:val="bottom"/>
          </w:tcPr>
          <w:p>
            <w:pPr>
              <w:spacing w:after="0"/>
              <w:rPr>
                <w:sz w:val="1"/>
                <w:szCs w:val="1"/>
                <w:color w:val="auto"/>
              </w:rPr>
            </w:pPr>
          </w:p>
        </w:tc>
      </w:tr>
      <w:tr>
        <w:trPr>
          <w:trHeight w:val="213"/>
        </w:trPr>
        <w:tc>
          <w:tcPr>
            <w:tcW w:w="11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34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3340" w:type="dxa"/>
            <w:vAlign w:val="bottom"/>
          </w:tcPr>
          <w:p>
            <w:pPr>
              <w:spacing w:after="0"/>
              <w:rPr>
                <w:sz w:val="16"/>
                <w:szCs w:val="16"/>
                <w:color w:val="auto"/>
              </w:rPr>
            </w:pPr>
          </w:p>
        </w:tc>
        <w:tc>
          <w:tcPr>
            <w:tcW w:w="6520" w:type="dxa"/>
            <w:vAlign w:val="bottom"/>
            <w:gridSpan w:val="2"/>
          </w:tcPr>
          <w:p>
            <w:pPr>
              <w:ind w:left="400"/>
              <w:spacing w:after="0" w:line="191" w:lineRule="exact"/>
              <w:rPr>
                <w:sz w:val="20"/>
                <w:szCs w:val="20"/>
                <w:color w:val="auto"/>
              </w:rPr>
            </w:pPr>
            <w:r>
              <w:rPr>
                <w:rFonts w:ascii="Times New Roman" w:cs="Times New Roman" w:eastAsia="Times New Roman" w:hAnsi="Times New Roman"/>
                <w:sz w:val="22"/>
                <w:szCs w:val="22"/>
                <w:b w:val="1"/>
                <w:bCs w:val="1"/>
                <w:color w:val="auto"/>
                <w:w w:val="97"/>
              </w:rPr>
              <w:t>QUARTERLY REPORT PURSUANT TO SECTION 13 OR 15(d)</w:t>
            </w: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520" w:type="dxa"/>
            <w:vAlign w:val="bottom"/>
            <w:gridSpan w:val="2"/>
          </w:tcPr>
          <w:p>
            <w:pPr>
              <w:ind w:left="4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tc>
        <w:tc>
          <w:tcPr>
            <w:tcW w:w="0" w:type="dxa"/>
            <w:vAlign w:val="bottom"/>
          </w:tcPr>
          <w:p>
            <w:pPr>
              <w:spacing w:after="0"/>
              <w:rPr>
                <w:sz w:val="1"/>
                <w:szCs w:val="1"/>
                <w:color w:val="auto"/>
              </w:rPr>
            </w:pPr>
          </w:p>
        </w:tc>
      </w:tr>
      <w:tr>
        <w:trPr>
          <w:trHeight w:val="420"/>
        </w:trPr>
        <w:tc>
          <w:tcPr>
            <w:tcW w:w="1140" w:type="dxa"/>
            <w:vAlign w:val="bottom"/>
          </w:tcPr>
          <w:p>
            <w:pPr>
              <w:spacing w:after="0"/>
              <w:rPr>
                <w:sz w:val="24"/>
                <w:szCs w:val="24"/>
                <w:color w:val="auto"/>
              </w:rPr>
            </w:pPr>
          </w:p>
        </w:tc>
        <w:tc>
          <w:tcPr>
            <w:tcW w:w="98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June 30, 2022</w:t>
            </w:r>
          </w:p>
        </w:tc>
        <w:tc>
          <w:tcPr>
            <w:tcW w:w="0" w:type="dxa"/>
            <w:vAlign w:val="bottom"/>
          </w:tcPr>
          <w:p>
            <w:pPr>
              <w:spacing w:after="0"/>
              <w:rPr>
                <w:sz w:val="1"/>
                <w:szCs w:val="1"/>
                <w:color w:val="auto"/>
              </w:rPr>
            </w:pPr>
          </w:p>
        </w:tc>
      </w:tr>
      <w:tr>
        <w:trPr>
          <w:trHeight w:val="401"/>
        </w:trPr>
        <w:tc>
          <w:tcPr>
            <w:tcW w:w="114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340" w:type="dxa"/>
            <w:vAlign w:val="bottom"/>
          </w:tcPr>
          <w:p>
            <w:pPr>
              <w:spacing w:after="0"/>
              <w:rPr>
                <w:sz w:val="24"/>
                <w:szCs w:val="24"/>
                <w:color w:val="auto"/>
              </w:rPr>
            </w:pPr>
          </w:p>
        </w:tc>
        <w:tc>
          <w:tcPr>
            <w:tcW w:w="6520" w:type="dxa"/>
            <w:vAlign w:val="bottom"/>
            <w:gridSpan w:val="2"/>
          </w:tcPr>
          <w:p>
            <w:pPr>
              <w:ind w:left="400"/>
              <w:spacing w:after="0"/>
              <w:rPr>
                <w:sz w:val="20"/>
                <w:szCs w:val="20"/>
                <w:color w:val="auto"/>
              </w:rPr>
            </w:pPr>
            <w:r>
              <w:rPr>
                <w:rFonts w:ascii="Times New Roman" w:cs="Times New Roman" w:eastAsia="Times New Roman" w:hAnsi="Times New Roman"/>
                <w:sz w:val="22"/>
                <w:szCs w:val="22"/>
                <w:b w:val="1"/>
                <w:bCs w:val="1"/>
                <w:color w:val="auto"/>
                <w:w w:val="97"/>
              </w:rPr>
              <w:t>TRANSITION REPORT PURSUANT TO SECTION 13 OR 15(d)</w:t>
            </w: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520" w:type="dxa"/>
            <w:vAlign w:val="bottom"/>
            <w:gridSpan w:val="2"/>
          </w:tcPr>
          <w:p>
            <w:pPr>
              <w:ind w:left="4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4"/>
                <w:szCs w:val="24"/>
                <w:color w:val="auto"/>
              </w:rPr>
            </w:pPr>
          </w:p>
        </w:tc>
        <w:tc>
          <w:tcPr>
            <w:tcW w:w="9860" w:type="dxa"/>
            <w:vAlign w:val="bottom"/>
            <w:gridSpan w:val="3"/>
          </w:tcPr>
          <w:p>
            <w:pPr>
              <w:ind w:left="2860"/>
              <w:spacing w:after="0"/>
              <w:rPr>
                <w:sz w:val="20"/>
                <w:szCs w:val="20"/>
                <w:color w:val="auto"/>
              </w:rPr>
            </w:pPr>
            <w:r>
              <w:rPr>
                <w:rFonts w:ascii="Times New Roman" w:cs="Times New Roman" w:eastAsia="Times New Roman" w:hAnsi="Times New Roman"/>
                <w:sz w:val="18"/>
                <w:szCs w:val="18"/>
                <w:b w:val="1"/>
                <w:bCs w:val="1"/>
                <w:color w:val="auto"/>
                <w:w w:val="93"/>
              </w:rPr>
              <w:t>For the transition period fromto</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98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Commission File Number 001-34675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68580</wp:posOffset>
            </wp:positionV>
            <wp:extent cx="1885950" cy="1020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5950" cy="1020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SS&amp;C TECHNOLOGIES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180"/>
          </w:cols>
          <w:pgMar w:left="320" w:top="605" w:right="39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71-0987913</w:t>
      </w:r>
    </w:p>
    <w:p>
      <w:pPr>
        <w:spacing w:after="0" w:line="23" w:lineRule="exact"/>
        <w:rPr>
          <w:sz w:val="24"/>
          <w:szCs w:val="24"/>
          <w:color w:val="auto"/>
        </w:rPr>
      </w:pPr>
    </w:p>
    <w:p>
      <w:pPr>
        <w:sectPr>
          <w:pgSz w:w="11900" w:h="16838" w:orient="portrait"/>
          <w:cols w:equalWidth="0" w:num="2">
            <w:col w:w="7340" w:space="720"/>
            <w:col w:w="3120"/>
          </w:cols>
          <w:pgMar w:left="320" w:top="605" w:right="39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ind w:left="206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13" w:lineRule="exact"/>
        <w:rPr>
          <w:sz w:val="24"/>
          <w:szCs w:val="24"/>
          <w:color w:val="auto"/>
        </w:rPr>
      </w:pPr>
    </w:p>
    <w:p>
      <w:pPr>
        <w:sectPr>
          <w:pgSz w:w="11900" w:h="16838" w:orient="portrait"/>
          <w:cols w:equalWidth="0" w:num="2">
            <w:col w:w="7340" w:space="720"/>
            <w:col w:w="3120"/>
          </w:cols>
          <w:pgMar w:left="320" w:top="605" w:right="399" w:bottom="1440" w:gutter="0" w:footer="0" w:header="0"/>
          <w:type w:val="continuous"/>
        </w:sectPr>
      </w:pPr>
    </w:p>
    <w:p>
      <w:pPr>
        <w:ind w:left="5000"/>
        <w:spacing w:after="0"/>
        <w:rPr>
          <w:sz w:val="20"/>
          <w:szCs w:val="20"/>
          <w:color w:val="auto"/>
        </w:rPr>
      </w:pPr>
      <w:r>
        <w:rPr>
          <w:rFonts w:ascii="Times New Roman" w:cs="Times New Roman" w:eastAsia="Times New Roman" w:hAnsi="Times New Roman"/>
          <w:sz w:val="14"/>
          <w:szCs w:val="14"/>
          <w:b w:val="1"/>
          <w:bCs w:val="1"/>
          <w:color w:val="auto"/>
        </w:rPr>
        <w:t>80 Lamberton Road</w:t>
      </w:r>
    </w:p>
    <w:p>
      <w:pPr>
        <w:spacing w:after="0" w:line="1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Windsor, CT 06095</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1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860-298-4500</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180"/>
          </w:cols>
          <w:pgMar w:left="320" w:top="605" w:right="399" w:bottom="1440" w:gutter="0" w:footer="0" w:header="0"/>
          <w:type w:val="continuous"/>
        </w:sectPr>
      </w:pPr>
    </w:p>
    <w:p>
      <w:pPr>
        <w:spacing w:after="0" w:line="285" w:lineRule="exact"/>
        <w:rPr>
          <w:sz w:val="24"/>
          <w:szCs w:val="24"/>
          <w:color w:val="auto"/>
        </w:rPr>
      </w:pPr>
    </w:p>
    <w:p>
      <w:pPr>
        <w:ind w:right="2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16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100" w:firstLine="509"/>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00"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4"/>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20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8" w:lineRule="exact"/>
        <w:rPr>
          <w:sz w:val="24"/>
          <w:szCs w:val="24"/>
          <w:color w:val="auto"/>
        </w:rPr>
      </w:pPr>
    </w:p>
    <w:p>
      <w:pPr>
        <w:jc w:val="both"/>
        <w:ind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19"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6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Trading Symbol</w:t>
            </w:r>
          </w:p>
        </w:tc>
        <w:tc>
          <w:tcPr>
            <w:tcW w:w="28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94"/>
        </w:trPr>
        <w:tc>
          <w:tcPr>
            <w:tcW w:w="29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SSNC</w:t>
            </w:r>
          </w:p>
        </w:tc>
        <w:tc>
          <w:tcPr>
            <w:tcW w:w="3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8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255,026,351 shares of the registrant’s common stock outstanding as of July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5"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SS&amp;C TECHNOLOGIES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04"/>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1. FINANCIAL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2022 and December 31,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2022 and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 and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2022 and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6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5660" w:type="dxa"/>
            <w:vAlign w:val="bottom"/>
            <w:tcBorders>
              <w:left w:val="single" w:sz="8" w:color="0000FF"/>
            </w:tcBorders>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60" w:type="dxa"/>
            <w:vAlign w:val="bottom"/>
            <w:gridSpan w:val="7"/>
            <w:shd w:val="clear" w:color="auto" w:fill="0000FF"/>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2021, filed with the Securities and Exchange Commission on February 25, 2022,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 (Unaudited)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2"/>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5"/>
                <w:szCs w:val="15"/>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6"/>
        </w:trPr>
        <w:tc>
          <w:tcPr>
            <w:tcW w:w="7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2022</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Funds receivable and funds held on behalf of clients</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$21.6 and $17.9, respectively</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826.3</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asset</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3,085.9</w:t>
            </w: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 (Note 2)</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(Note 3)</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Unconsolidated affiliates (Note 4)</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 (Note 6)</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8,866.8</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8,045.5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and other assets, net of accumulated amortization of $3,146.7 and $2,890.5, respectively</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4,358.1</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17,500.3</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17,333.0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764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 and Stockholders’ Equity</w:t>
            </w: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portion of long-term debt (Note 7)</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Client funds obligations</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taxes payable</w:t>
            </w:r>
          </w:p>
        </w:tc>
        <w:tc>
          <w:tcPr>
            <w:tcW w:w="320" w:type="dxa"/>
            <w:vAlign w:val="bottom"/>
          </w:tcPr>
          <w:p>
            <w:pPr>
              <w:spacing w:after="0"/>
              <w:rPr>
                <w:sz w:val="15"/>
                <w:szCs w:val="15"/>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employee compensation and benefits</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payable</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accrued expenses</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revenues</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2,775.8</w:t>
            </w: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 (Note 7)</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7,234.5</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871.5</w:t>
            </w:r>
          </w:p>
        </w:tc>
        <w:tc>
          <w:tcPr>
            <w:tcW w:w="3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11,386.1</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 (Note 3)</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 (Note 8):</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Preferred stock, $0.01 par value per share, 5.0 million shares authorized; no shares issued</w:t>
            </w:r>
          </w:p>
        </w:tc>
        <w:tc>
          <w:tcPr>
            <w:tcW w:w="320" w:type="dxa"/>
            <w:vAlign w:val="bottom"/>
          </w:tcPr>
          <w:p>
            <w:pPr>
              <w:spacing w:after="0"/>
              <w:rPr>
                <w:sz w:val="15"/>
                <w:szCs w:val="15"/>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764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non-voting common stock, $0.01 par value per share, 5.0 million shares authorized;</w:t>
            </w:r>
          </w:p>
        </w:tc>
        <w:tc>
          <w:tcPr>
            <w:tcW w:w="32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no shares issued</w:t>
            </w:r>
          </w:p>
        </w:tc>
        <w:tc>
          <w:tcPr>
            <w:tcW w:w="320" w:type="dxa"/>
            <w:vAlign w:val="bottom"/>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$0.01 par value per share, 400.0 million shares authorized; 270.3 million shares</w:t>
            </w: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269.1 million shares issued, respectively, and 255.0 million shares and 256.0 million shares</w:t>
            </w: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outstanding, respectively</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5,039.3</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Pr>
          <w:p>
            <w:pPr>
              <w:spacing w:after="0"/>
              <w:rPr>
                <w:sz w:val="15"/>
                <w:szCs w:val="15"/>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(505.0 )</w:t>
            </w:r>
          </w:p>
        </w:tc>
        <w:tc>
          <w:tcPr>
            <w:tcW w:w="240" w:type="dxa"/>
            <w:vAlign w:val="bottom"/>
          </w:tcPr>
          <w:p>
            <w:pPr>
              <w:spacing w:after="0"/>
              <w:rPr>
                <w:sz w:val="15"/>
                <w:szCs w:val="15"/>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(242.0 )</w:t>
            </w:r>
          </w:p>
        </w:tc>
        <w:tc>
          <w:tcPr>
            <w:tcW w:w="0" w:type="dxa"/>
            <w:vAlign w:val="bottom"/>
          </w:tcPr>
          <w:p>
            <w:pPr>
              <w:spacing w:after="0"/>
              <w:rPr>
                <w:sz w:val="1"/>
                <w:szCs w:val="1"/>
                <w:color w:val="auto"/>
              </w:rPr>
            </w:pPr>
          </w:p>
        </w:tc>
      </w:tr>
      <w:tr>
        <w:trPr>
          <w:trHeight w:val="175"/>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2,473.3</w:t>
            </w:r>
          </w:p>
        </w:tc>
        <w:tc>
          <w:tcPr>
            <w:tcW w:w="3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2,293.0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7,010.3</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Less: cost of common stock in treasury, 15.4 and 13.1 million shares, respectively</w:t>
            </w:r>
          </w:p>
        </w:tc>
        <w:tc>
          <w:tcPr>
            <w:tcW w:w="3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(954.9 )</w:t>
            </w: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(784.0 )</w:t>
            </w:r>
          </w:p>
        </w:tc>
        <w:tc>
          <w:tcPr>
            <w:tcW w:w="0" w:type="dxa"/>
            <w:vAlign w:val="bottom"/>
          </w:tcPr>
          <w:p>
            <w:pPr>
              <w:spacing w:after="0"/>
              <w:rPr>
                <w:sz w:val="1"/>
                <w:szCs w:val="1"/>
                <w:color w:val="auto"/>
              </w:rPr>
            </w:pPr>
          </w:p>
        </w:tc>
      </w:tr>
      <w:tr>
        <w:trPr>
          <w:trHeight w:val="169"/>
        </w:trPr>
        <w:tc>
          <w:tcPr>
            <w:tcW w:w="7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Total SS&amp;C stockholders’ equity</w:t>
            </w:r>
          </w:p>
        </w:tc>
        <w:tc>
          <w:tcPr>
            <w:tcW w:w="3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6,055.4</w:t>
            </w:r>
          </w:p>
        </w:tc>
        <w:tc>
          <w:tcPr>
            <w:tcW w:w="32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6,165.4</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Noncontrolling interest (Note 9)</w:t>
            </w:r>
          </w:p>
        </w:tc>
        <w:tc>
          <w:tcPr>
            <w:tcW w:w="3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3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6,112.1</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liabilities, redeemable noncontrolling interest and stockholders’ equity</w:t>
            </w:r>
          </w:p>
        </w:tc>
        <w:tc>
          <w:tcPr>
            <w:tcW w:w="32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17,500.3</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17,333.0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-3856990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-3839845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-2150745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-728345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-496570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-264795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4600"/>
        <w:spacing w:after="0" w:line="213"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COMPREHENSIVE INCOME </w:t>
      </w:r>
      <w:r>
        <w:rPr>
          <w:rFonts w:ascii="Times New Roman" w:cs="Times New Roman" w:eastAsia="Times New Roman" w:hAnsi="Times New Roman"/>
          <w:sz w:val="14"/>
          <w:szCs w:val="14"/>
          <w:b w:val="1"/>
          <w:bCs w:val="1"/>
          <w:color w:val="auto"/>
        </w:rPr>
        <w:t>(In millions, except per share data) (Unaudited)</w:t>
      </w:r>
    </w:p>
    <w:p>
      <w:pPr>
        <w:spacing w:after="0" w:line="202" w:lineRule="exact"/>
        <w:rPr>
          <w:sz w:val="20"/>
          <w:szCs w:val="20"/>
          <w:color w:val="auto"/>
        </w:rPr>
      </w:pPr>
    </w:p>
    <w:tbl>
      <w:tblPr>
        <w:tblLayout w:type="fixed"/>
        <w:tblInd w:w="5380" w:type="dxa"/>
        <w:tblCellMar>
          <w:top w:w="0" w:type="dxa"/>
          <w:left w:w="0" w:type="dxa"/>
          <w:bottom w:w="0" w:type="dxa"/>
          <w:right w:w="0" w:type="dxa"/>
        </w:tblCellMar>
      </w:tblPr>
      <w:tr>
        <w:trPr>
          <w:trHeight w:val="187"/>
        </w:trPr>
        <w:tc>
          <w:tcPr>
            <w:tcW w:w="2780" w:type="dxa"/>
            <w:vAlign w:val="bottom"/>
            <w:tcBorders>
              <w:bottom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740" w:type="dxa"/>
            <w:vAlign w:val="bottom"/>
            <w:tcBorders>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4"/>
        </w:trPr>
        <w:tc>
          <w:tcPr>
            <w:tcW w:w="14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13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-8890</wp:posOffset>
            </wp:positionV>
            <wp:extent cx="3651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Software-enabled services</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License, maintenance and related</w:t>
      </w:r>
    </w:p>
    <w:p>
      <w:pPr>
        <w:spacing w:after="0" w:line="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Total revenues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Software-enabled services</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License, maintenance and related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1,070.7</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1,057.1</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2,155.9</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2,100.5</w:t>
            </w:r>
          </w:p>
        </w:tc>
      </w:tr>
      <w:tr>
        <w:trPr>
          <w:trHeight w:val="213"/>
        </w:trPr>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391.9</w:t>
            </w:r>
          </w:p>
        </w:tc>
      </w:tr>
      <w:tr>
        <w:trPr>
          <w:trHeight w:val="199"/>
        </w:trPr>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1,328.7</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1,259.0</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2,623.7</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2,492.4</w:t>
            </w:r>
          </w:p>
        </w:tc>
      </w:tr>
      <w:tr>
        <w:trPr>
          <w:trHeight w:val="385"/>
        </w:trPr>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582.8</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1,205.8</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1,178.3</w:t>
            </w:r>
          </w:p>
        </w:tc>
      </w:tr>
      <w:tr>
        <w:trPr>
          <w:trHeight w:val="210"/>
        </w:trPr>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-784225</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-518795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-252730</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4660" w:space="720"/>
            <w:col w:w="586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cost of revenues</w:t>
            </w: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704.4</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1,379.6</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624.3</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1,244.1</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and marketing</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378.7</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4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(67.7 )</w:t>
            </w:r>
          </w:p>
        </w:tc>
        <w:tc>
          <w:tcPr>
            <w:tcW w:w="4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(51.0 )</w:t>
            </w:r>
          </w:p>
        </w:tc>
        <w:tc>
          <w:tcPr>
            <w:tcW w:w="4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(117.0 )</w:t>
            </w:r>
          </w:p>
        </w:tc>
        <w:tc>
          <w:tcPr>
            <w:tcW w:w="4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(102.4 )</w:t>
            </w:r>
          </w:p>
        </w:tc>
        <w:tc>
          <w:tcPr>
            <w:tcW w:w="0" w:type="dxa"/>
            <w:vAlign w:val="bottom"/>
          </w:tcPr>
          <w:p>
            <w:pPr>
              <w:spacing w:after="0"/>
              <w:rPr>
                <w:sz w:val="1"/>
                <w:szCs w:val="1"/>
                <w:color w:val="auto"/>
              </w:rPr>
            </w:pPr>
          </w:p>
        </w:tc>
      </w:tr>
      <w:tr>
        <w:trPr>
          <w:trHeight w:val="203"/>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 income, net</w:t>
            </w:r>
          </w:p>
        </w:tc>
        <w:tc>
          <w:tcPr>
            <w:tcW w:w="460" w:type="dxa"/>
            <w:vAlign w:val="bottom"/>
          </w:tcPr>
          <w:p>
            <w:pPr>
              <w:spacing w:after="0"/>
              <w:rPr>
                <w:sz w:val="17"/>
                <w:szCs w:val="17"/>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(20.4 )</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(29.4 )</w:t>
            </w: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(0.4 )</w:t>
            </w:r>
          </w:p>
        </w:tc>
        <w:tc>
          <w:tcPr>
            <w:tcW w:w="4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3"/>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60" w:type="dxa"/>
            <w:vAlign w:val="bottom"/>
          </w:tcPr>
          <w:p>
            <w:pPr>
              <w:spacing w:after="0"/>
              <w:rPr>
                <w:sz w:val="17"/>
                <w:szCs w:val="17"/>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(3.1 )</w:t>
            </w:r>
          </w:p>
        </w:tc>
        <w:tc>
          <w:tcPr>
            <w:tcW w:w="4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(1.5 )</w:t>
            </w:r>
          </w:p>
        </w:tc>
        <w:tc>
          <w:tcPr>
            <w:tcW w:w="4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(3.1 )</w:t>
            </w:r>
          </w:p>
        </w:tc>
        <w:tc>
          <w:tcPr>
            <w:tcW w:w="4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26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24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22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SS&amp;C common stockholders</w:t>
            </w:r>
          </w:p>
        </w:tc>
        <w:tc>
          <w:tcPr>
            <w:tcW w:w="46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 per share attributable to SS&amp;C common stockholders</w:t>
            </w: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attributable to SS&amp;C common stockholders</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60" w:type="dxa"/>
            <w:vAlign w:val="bottom"/>
          </w:tcPr>
          <w:p>
            <w:pPr>
              <w:spacing w:after="0"/>
              <w:rPr>
                <w:sz w:val="17"/>
                <w:szCs w:val="17"/>
                <w:color w:val="auto"/>
              </w:rPr>
            </w:pP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240" w:type="dxa"/>
            <w:vAlign w:val="bottom"/>
          </w:tcPr>
          <w:p>
            <w:pPr>
              <w:spacing w:after="0"/>
              <w:rPr>
                <w:sz w:val="17"/>
                <w:szCs w:val="17"/>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weighted-average number of common shares outstanding</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38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Diluted weighted-average number of common and common equivalent shares</w:t>
            </w:r>
          </w:p>
        </w:tc>
        <w:tc>
          <w:tcPr>
            <w:tcW w:w="4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w:t>
            </w:r>
          </w:p>
        </w:tc>
        <w:tc>
          <w:tcPr>
            <w:tcW w:w="46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 in unrealized gain on interest rate swaps</w:t>
            </w: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(0.2 )</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460" w:type="dxa"/>
            <w:vAlign w:val="bottom"/>
          </w:tcPr>
          <w:p>
            <w:pPr>
              <w:spacing w:after="0"/>
              <w:rPr>
                <w:sz w:val="18"/>
                <w:szCs w:val="18"/>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(235.1 )</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(263.4 )</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 in defined benefit pension obligation</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(1.1 )</w:t>
            </w: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 income, net of tax</w:t>
            </w:r>
          </w:p>
        </w:tc>
        <w:tc>
          <w:tcPr>
            <w:tcW w:w="460" w:type="dxa"/>
            <w:vAlign w:val="bottom"/>
          </w:tcPr>
          <w:p>
            <w:pPr>
              <w:spacing w:after="0"/>
              <w:rPr>
                <w:sz w:val="17"/>
                <w:szCs w:val="17"/>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(234.8 )</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(263.0 )</w:t>
            </w: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4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2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SS&amp;C common stockholders</w:t>
            </w:r>
          </w:p>
        </w:tc>
        <w:tc>
          <w:tcPr>
            <w:tcW w:w="46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-4388485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-4388485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-4388485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-4388485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-3590925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-3590925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-3590925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-2271395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-2253615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-2271395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-2253615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-2271395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-2253615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-574040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-574040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-574040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2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shd w:val="clear" w:color="auto" w:fill="CFF0FC"/>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06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(2.4 )</w:t>
            </w: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distributions received from unconsolidated affiliates</w:t>
            </w:r>
          </w:p>
        </w:tc>
        <w:tc>
          <w:tcPr>
            <w:tcW w:w="10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on bargain purchase</w:t>
            </w:r>
          </w:p>
        </w:tc>
        <w:tc>
          <w:tcPr>
            <w:tcW w:w="1060" w:type="dxa"/>
            <w:vAlign w:val="bottom"/>
          </w:tcPr>
          <w:p>
            <w:pPr>
              <w:spacing w:after="0"/>
              <w:rPr>
                <w:sz w:val="17"/>
                <w:szCs w:val="17"/>
                <w:color w:val="auto"/>
              </w:rPr>
            </w:pPr>
          </w:p>
        </w:tc>
        <w:tc>
          <w:tcPr>
            <w:tcW w:w="10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losses (gains) on investments</w:t>
            </w:r>
          </w:p>
        </w:tc>
        <w:tc>
          <w:tcPr>
            <w:tcW w:w="10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and write-offs of loan origination costs and original issue discounts</w:t>
            </w:r>
          </w:p>
        </w:tc>
        <w:tc>
          <w:tcPr>
            <w:tcW w:w="10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sale or disposition of property and equipment</w:t>
            </w:r>
          </w:p>
        </w:tc>
        <w:tc>
          <w:tcPr>
            <w:tcW w:w="10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(66.8 )</w:t>
            </w:r>
          </w:p>
        </w:tc>
        <w:tc>
          <w:tcPr>
            <w:tcW w:w="7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(47.2 )</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0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excluding effects from acquisitions:</w:t>
            </w: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0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(82.0 )</w:t>
            </w:r>
          </w:p>
        </w:tc>
        <w:tc>
          <w:tcPr>
            <w:tcW w:w="7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(63.7 )</w:t>
            </w: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Contract assets</w:t>
            </w:r>
          </w:p>
        </w:tc>
        <w:tc>
          <w:tcPr>
            <w:tcW w:w="10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(13.0 )</w:t>
            </w:r>
          </w:p>
        </w:tc>
        <w:tc>
          <w:tcPr>
            <w:tcW w:w="7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0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(149.5 )</w:t>
            </w:r>
          </w:p>
        </w:tc>
        <w:tc>
          <w:tcPr>
            <w:tcW w:w="7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(82.1 )</w:t>
            </w: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prepaid and payable</w:t>
            </w:r>
          </w:p>
        </w:tc>
        <w:tc>
          <w:tcPr>
            <w:tcW w:w="10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0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(21.7 )</w:t>
            </w:r>
          </w:p>
        </w:tc>
        <w:tc>
          <w:tcPr>
            <w:tcW w:w="7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0" w:type="dxa"/>
            <w:vAlign w:val="bottom"/>
          </w:tcPr>
          <w:p>
            <w:pPr>
              <w:spacing w:after="0"/>
              <w:rPr>
                <w:sz w:val="1"/>
                <w:szCs w:val="1"/>
                <w:color w:val="auto"/>
              </w:rPr>
            </w:pPr>
          </w:p>
        </w:tc>
      </w:tr>
      <w:tr>
        <w:trPr>
          <w:trHeight w:val="196"/>
        </w:trPr>
        <w:tc>
          <w:tcPr>
            <w:tcW w:w="728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280" w:type="dxa"/>
            <w:vAlign w:val="bottom"/>
            <w:tcBorders>
              <w:top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0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 and asset acquisitions</w:t>
            </w:r>
          </w:p>
        </w:tc>
        <w:tc>
          <w:tcPr>
            <w:tcW w:w="106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(1,597.1 )</w:t>
            </w: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0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(22.6 )</w:t>
            </w:r>
          </w:p>
        </w:tc>
        <w:tc>
          <w:tcPr>
            <w:tcW w:w="7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Additions to capitalized software</w:t>
            </w:r>
          </w:p>
        </w:tc>
        <w:tc>
          <w:tcPr>
            <w:tcW w:w="10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(63.3 )</w:t>
            </w:r>
          </w:p>
        </w:tc>
        <w:tc>
          <w:tcPr>
            <w:tcW w:w="7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(42.1 )</w:t>
            </w: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Investments in securities</w:t>
            </w:r>
          </w:p>
        </w:tc>
        <w:tc>
          <w:tcPr>
            <w:tcW w:w="106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(10.0 )</w:t>
            </w:r>
          </w:p>
        </w:tc>
        <w:tc>
          <w:tcPr>
            <w:tcW w:w="7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sales / maturities of investments</w:t>
            </w:r>
          </w:p>
        </w:tc>
        <w:tc>
          <w:tcPr>
            <w:tcW w:w="10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Collection of other non-current receivables</w:t>
            </w:r>
          </w:p>
        </w:tc>
        <w:tc>
          <w:tcPr>
            <w:tcW w:w="10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(1,673.6</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received from debt borrowings, net of original issue discount</w:t>
            </w:r>
          </w:p>
        </w:tc>
        <w:tc>
          <w:tcPr>
            <w:tcW w:w="10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1,667.1</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debt</w:t>
            </w:r>
          </w:p>
        </w:tc>
        <w:tc>
          <w:tcPr>
            <w:tcW w:w="106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(317.9 )</w:t>
            </w:r>
          </w:p>
        </w:tc>
        <w:tc>
          <w:tcPr>
            <w:tcW w:w="7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(393.1 )</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Payment of deferred financing fees</w:t>
            </w:r>
          </w:p>
        </w:tc>
        <w:tc>
          <w:tcPr>
            <w:tcW w:w="10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(12.4 )</w:t>
            </w:r>
          </w:p>
        </w:tc>
        <w:tc>
          <w:tcPr>
            <w:tcW w:w="7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(decrease) increase in client funds obligations</w:t>
            </w:r>
          </w:p>
        </w:tc>
        <w:tc>
          <w:tcPr>
            <w:tcW w:w="106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(1,052.0 )</w:t>
            </w: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Withholding taxes paid related to equity award net share settlement</w:t>
            </w:r>
          </w:p>
        </w:tc>
        <w:tc>
          <w:tcPr>
            <w:tcW w:w="106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(0.6 )</w:t>
            </w:r>
          </w:p>
        </w:tc>
        <w:tc>
          <w:tcPr>
            <w:tcW w:w="7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Purchases of common stock for treasury</w:t>
            </w:r>
          </w:p>
        </w:tc>
        <w:tc>
          <w:tcPr>
            <w:tcW w:w="10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(170.9 )</w:t>
            </w:r>
          </w:p>
        </w:tc>
        <w:tc>
          <w:tcPr>
            <w:tcW w:w="7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(325.0 )</w:t>
            </w:r>
          </w:p>
        </w:tc>
        <w:tc>
          <w:tcPr>
            <w:tcW w:w="0" w:type="dxa"/>
            <w:vAlign w:val="bottom"/>
          </w:tcPr>
          <w:p>
            <w:pPr>
              <w:spacing w:after="0"/>
              <w:rPr>
                <w:sz w:val="1"/>
                <w:szCs w:val="1"/>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6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(102.4 )</w:t>
            </w:r>
          </w:p>
        </w:tc>
        <w:tc>
          <w:tcPr>
            <w:tcW w:w="7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(82.1 )</w:t>
            </w:r>
          </w:p>
        </w:tc>
        <w:tc>
          <w:tcPr>
            <w:tcW w:w="0" w:type="dxa"/>
            <w:vAlign w:val="bottom"/>
          </w:tcPr>
          <w:p>
            <w:pPr>
              <w:spacing w:after="0"/>
              <w:rPr>
                <w:sz w:val="1"/>
                <w:szCs w:val="1"/>
                <w:color w:val="auto"/>
              </w:rPr>
            </w:pPr>
          </w:p>
        </w:tc>
      </w:tr>
      <w:tr>
        <w:trPr>
          <w:trHeight w:val="196"/>
        </w:trPr>
        <w:tc>
          <w:tcPr>
            <w:tcW w:w="728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1,175.8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06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(21.7 )</w:t>
            </w:r>
          </w:p>
        </w:tc>
        <w:tc>
          <w:tcPr>
            <w:tcW w:w="7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19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10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0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3,171.4</w:t>
            </w:r>
          </w:p>
        </w:tc>
        <w:tc>
          <w:tcPr>
            <w:tcW w:w="2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and cash equivalents, end of period</w:t>
            </w:r>
          </w:p>
        </w:tc>
        <w:tc>
          <w:tcPr>
            <w:tcW w:w="1060" w:type="dxa"/>
            <w:vAlign w:val="bottom"/>
            <w:tcBorders>
              <w:bottom w:val="single" w:sz="8" w:color="auto"/>
            </w:tcBorders>
            <w:shd w:val="clear" w:color="auto" w:fill="CFF0FC"/>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1,992.8</w:t>
            </w:r>
          </w:p>
        </w:tc>
        <w:tc>
          <w:tcPr>
            <w:tcW w:w="2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3,056.5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and cash equivalents:</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60" w:type="dxa"/>
            <w:vAlign w:val="bottom"/>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280" w:type="dxa"/>
            <w:vAlign w:val="bottom"/>
          </w:tcPr>
          <w:p>
            <w:pPr>
              <w:spacing w:after="0"/>
              <w:rPr>
                <w:sz w:val="20"/>
                <w:szCs w:val="20"/>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 included in funds receivable and funds held on behalf of clients</w:t>
            </w: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1,551.2</w:t>
            </w:r>
          </w:p>
        </w:tc>
        <w:tc>
          <w:tcPr>
            <w:tcW w:w="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1,992.8</w:t>
            </w:r>
          </w:p>
        </w:tc>
        <w:tc>
          <w:tcPr>
            <w:tcW w:w="2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3,056.5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-4045585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-2733675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5744210</wp:posOffset>
            </wp:positionH>
            <wp:positionV relativeFrom="paragraph">
              <wp:posOffset>-1580515</wp:posOffset>
            </wp:positionV>
            <wp:extent cx="10223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235"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-1580515</wp:posOffset>
            </wp:positionV>
            <wp:extent cx="939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-890905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-873760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3520"/>
        <w:spacing w:after="0" w:line="213"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CHANGES IN STOCKHOLDERS’ EQUITY </w:t>
      </w:r>
      <w:r>
        <w:rPr>
          <w:rFonts w:ascii="Times New Roman" w:cs="Times New Roman" w:eastAsia="Times New Roman" w:hAnsi="Times New Roman"/>
          <w:sz w:val="14"/>
          <w:szCs w:val="14"/>
          <w:b w:val="1"/>
          <w:bCs w:val="1"/>
          <w:color w:val="auto"/>
        </w:rPr>
        <w:t>(In millions)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SS&amp;C Stockholders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12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60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Noncontroll</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320" w:type="dxa"/>
            <w:vAlign w:val="bottom"/>
            <w:gridSpan w:val="2"/>
            <w:vMerge w:val="restart"/>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102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3"/>
            <w:vMerge w:val="continue"/>
          </w:tcPr>
          <w:p>
            <w:pPr>
              <w:spacing w:after="0"/>
              <w:rPr>
                <w:sz w:val="11"/>
                <w:szCs w:val="11"/>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ing</w:t>
            </w: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3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6"/>
                <w:szCs w:val="16"/>
                <w:color w:val="auto"/>
              </w:rPr>
            </w:pPr>
          </w:p>
        </w:tc>
        <w:tc>
          <w:tcPr>
            <w:tcW w:w="102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6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7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4,984.1</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2,414.0</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280" w:type="dxa"/>
            <w:vAlign w:val="bottom"/>
            <w:tcBorders>
              <w:left w:val="single" w:sz="8" w:color="CFF0FC"/>
              <w:right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(954.9</w:t>
            </w:r>
          </w:p>
        </w:tc>
        <w:tc>
          <w:tcPr>
            <w:tcW w:w="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lef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00" w:type="dxa"/>
            <w:vAlign w:val="bottom"/>
            <w:tcBorders>
              <w:right w:val="single" w:sz="8" w:color="CFF0FC"/>
            </w:tcBorders>
            <w:shd w:val="clear" w:color="auto" w:fill="CFF0FC"/>
          </w:tcPr>
          <w:p>
            <w:pPr>
              <w:ind w:left="120"/>
              <w:spacing w:after="0" w:line="148" w:lineRule="exact"/>
              <w:rPr>
                <w:sz w:val="20"/>
                <w:szCs w:val="20"/>
                <w:color w:val="auto"/>
              </w:rPr>
            </w:pPr>
            <w:r>
              <w:rPr>
                <w:rFonts w:ascii="Times New Roman" w:cs="Times New Roman" w:eastAsia="Times New Roman" w:hAnsi="Times New Roman"/>
                <w:sz w:val="16"/>
                <w:szCs w:val="16"/>
                <w:color w:val="auto"/>
              </w:rPr>
              <w:t>Foreign exchange translation</w:t>
            </w:r>
          </w:p>
        </w:tc>
        <w:tc>
          <w:tcPr>
            <w:tcW w:w="7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320" w:type="dxa"/>
            <w:vAlign w:val="bottom"/>
            <w:tcBorders>
              <w:right w:val="single" w:sz="8" w:color="CFF0FC"/>
            </w:tcBorders>
            <w:gridSpan w:val="2"/>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(235.1 )</w:t>
            </w:r>
          </w:p>
        </w:tc>
        <w:tc>
          <w:tcPr>
            <w:tcW w:w="140" w:type="dxa"/>
            <w:vAlign w:val="bottom"/>
            <w:shd w:val="clear" w:color="auto" w:fill="CFF0FC"/>
          </w:tcPr>
          <w:p>
            <w:pPr>
              <w:spacing w:after="0"/>
              <w:rPr>
                <w:sz w:val="12"/>
                <w:szCs w:val="12"/>
                <w:color w:val="auto"/>
              </w:rPr>
            </w:pPr>
          </w:p>
        </w:tc>
        <w:tc>
          <w:tcPr>
            <w:tcW w:w="1020" w:type="dxa"/>
            <w:vAlign w:val="bottom"/>
            <w:gridSpan w:val="3"/>
            <w:vMerge w:val="restart"/>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(235.1 )</w:t>
            </w:r>
          </w:p>
        </w:tc>
        <w:tc>
          <w:tcPr>
            <w:tcW w:w="0" w:type="dxa"/>
            <w:vAlign w:val="bottom"/>
          </w:tcPr>
          <w:p>
            <w:pPr>
              <w:spacing w:after="0"/>
              <w:rPr>
                <w:sz w:val="1"/>
                <w:szCs w:val="1"/>
                <w:color w:val="auto"/>
              </w:rPr>
            </w:pPr>
          </w:p>
        </w:tc>
      </w:tr>
      <w:tr>
        <w:trPr>
          <w:trHeight w:val="216"/>
        </w:trPr>
        <w:tc>
          <w:tcPr>
            <w:tcW w:w="2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720" w:type="dxa"/>
            <w:vAlign w:val="bottom"/>
            <w:tcBorders>
              <w:right w:val="single" w:sz="8" w:color="CFF0FC"/>
            </w:tcBorders>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right w:val="single" w:sz="8" w:color="CFF0FC"/>
            </w:tcBorders>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vMerge w:val="continue"/>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320" w:type="dxa"/>
            <w:vAlign w:val="bottom"/>
            <w:tcBorders>
              <w:right w:val="single" w:sz="8" w:color="CFF0FC"/>
            </w:tcBorders>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3"/>
            <w:vMerge w:val="continue"/>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change in interest rate swaps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00" w:type="dxa"/>
            <w:vAlign w:val="bottom"/>
            <w:tcBorders>
              <w:right w:val="single" w:sz="8" w:color="CFF0FC"/>
            </w:tcBorders>
            <w:shd w:val="clear" w:color="auto" w:fill="CFF0FC"/>
          </w:tcPr>
          <w:p>
            <w:pPr>
              <w:ind w:left="120"/>
              <w:spacing w:after="0" w:line="148" w:lineRule="exact"/>
              <w:rPr>
                <w:sz w:val="20"/>
                <w:szCs w:val="20"/>
                <w:color w:val="auto"/>
              </w:rPr>
            </w:pPr>
            <w:r>
              <w:rPr>
                <w:rFonts w:ascii="Times New Roman" w:cs="Times New Roman" w:eastAsia="Times New Roman" w:hAnsi="Times New Roman"/>
                <w:sz w:val="16"/>
                <w:szCs w:val="16"/>
                <w:color w:val="auto"/>
              </w:rPr>
              <w:t>Change in defined benefit plan</w:t>
            </w:r>
          </w:p>
        </w:tc>
        <w:tc>
          <w:tcPr>
            <w:tcW w:w="7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320" w:type="dxa"/>
            <w:vAlign w:val="bottom"/>
            <w:tcBorders>
              <w:right w:val="single" w:sz="8" w:color="CFF0FC"/>
            </w:tcBorders>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3"/>
            <w:vMerge w:val="restart"/>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obligation</w:t>
            </w:r>
          </w:p>
        </w:tc>
        <w:tc>
          <w:tcPr>
            <w:tcW w:w="720" w:type="dxa"/>
            <w:vAlign w:val="bottom"/>
            <w:tcBorders>
              <w:right w:val="single" w:sz="8" w:color="CFF0FC"/>
            </w:tcBorders>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right w:val="single" w:sz="8" w:color="CFF0FC"/>
            </w:tcBorders>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vMerge w:val="continue"/>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320" w:type="dxa"/>
            <w:vAlign w:val="bottom"/>
            <w:tcBorders>
              <w:right w:val="single" w:sz="8" w:color="CFF0FC"/>
            </w:tcBorders>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3"/>
            <w:vMerge w:val="continue"/>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00" w:type="dxa"/>
            <w:vAlign w:val="bottom"/>
            <w:tcBorders>
              <w:right w:val="single" w:sz="8" w:color="CFF0FC"/>
            </w:tcBorders>
            <w:shd w:val="clear" w:color="auto" w:fill="CFF0FC"/>
          </w:tcPr>
          <w:p>
            <w:pPr>
              <w:ind w:left="120"/>
              <w:spacing w:after="0" w:line="148" w:lineRule="exact"/>
              <w:rPr>
                <w:sz w:val="20"/>
                <w:szCs w:val="20"/>
                <w:color w:val="auto"/>
              </w:rPr>
            </w:pPr>
            <w:r>
              <w:rPr>
                <w:rFonts w:ascii="Times New Roman" w:cs="Times New Roman" w:eastAsia="Times New Roman" w:hAnsi="Times New Roman"/>
                <w:sz w:val="16"/>
                <w:szCs w:val="16"/>
                <w:color w:val="auto"/>
              </w:rPr>
              <w:t>Exercise of options, net of</w:t>
            </w:r>
          </w:p>
        </w:tc>
        <w:tc>
          <w:tcPr>
            <w:tcW w:w="7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320" w:type="dxa"/>
            <w:vAlign w:val="bottom"/>
            <w:tcBorders>
              <w:right w:val="single" w:sz="8" w:color="CFF0FC"/>
            </w:tcBorders>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3"/>
            <w:vMerge w:val="restart"/>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720" w:type="dxa"/>
            <w:vAlign w:val="bottom"/>
            <w:tcBorders>
              <w:right w:val="single" w:sz="8" w:color="CFF0FC"/>
            </w:tcBorders>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right w:val="single" w:sz="8" w:color="CFF0FC"/>
            </w:tcBorders>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vMerge w:val="continue"/>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320" w:type="dxa"/>
            <w:vAlign w:val="bottom"/>
            <w:tcBorders>
              <w:right w:val="single" w:sz="8" w:color="CFF0FC"/>
            </w:tcBorders>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3"/>
            <w:vMerge w:val="continue"/>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00" w:type="dxa"/>
            <w:vAlign w:val="bottom"/>
            <w:tcBorders>
              <w:right w:val="single" w:sz="8" w:color="CFF0FC"/>
            </w:tcBorders>
            <w:shd w:val="clear" w:color="auto" w:fill="CFF0FC"/>
          </w:tcPr>
          <w:p>
            <w:pPr>
              <w:ind w:left="120"/>
              <w:spacing w:after="0" w:line="148" w:lineRule="exact"/>
              <w:rPr>
                <w:sz w:val="20"/>
                <w:szCs w:val="20"/>
                <w:color w:val="auto"/>
              </w:rPr>
            </w:pPr>
            <w:r>
              <w:rPr>
                <w:rFonts w:ascii="Times New Roman" w:cs="Times New Roman" w:eastAsia="Times New Roman" w:hAnsi="Times New Roman"/>
                <w:sz w:val="16"/>
                <w:szCs w:val="16"/>
                <w:color w:val="auto"/>
              </w:rPr>
              <w:t>Cash dividends declared - $0.20 per</w:t>
            </w:r>
          </w:p>
        </w:tc>
        <w:tc>
          <w:tcPr>
            <w:tcW w:w="7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(51.3 )</w:t>
            </w:r>
          </w:p>
        </w:tc>
        <w:tc>
          <w:tcPr>
            <w:tcW w:w="160" w:type="dxa"/>
            <w:vAlign w:val="bottom"/>
            <w:tcBorders>
              <w:left w:val="single" w:sz="8" w:color="CFF0FC"/>
            </w:tcBorders>
            <w:shd w:val="clear" w:color="auto" w:fill="CFF0FC"/>
          </w:tcPr>
          <w:p>
            <w:pPr>
              <w:spacing w:after="0"/>
              <w:rPr>
                <w:sz w:val="12"/>
                <w:szCs w:val="12"/>
                <w:color w:val="auto"/>
              </w:rPr>
            </w:pPr>
          </w:p>
        </w:tc>
        <w:tc>
          <w:tcPr>
            <w:tcW w:w="1320" w:type="dxa"/>
            <w:vAlign w:val="bottom"/>
            <w:tcBorders>
              <w:right w:val="single" w:sz="8" w:color="CFF0FC"/>
            </w:tcBorders>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3"/>
            <w:vMerge w:val="restart"/>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(51.3 )</w:t>
            </w:r>
          </w:p>
        </w:tc>
        <w:tc>
          <w:tcPr>
            <w:tcW w:w="0" w:type="dxa"/>
            <w:vAlign w:val="bottom"/>
          </w:tcPr>
          <w:p>
            <w:pPr>
              <w:spacing w:after="0"/>
              <w:rPr>
                <w:sz w:val="1"/>
                <w:szCs w:val="1"/>
                <w:color w:val="auto"/>
              </w:rPr>
            </w:pPr>
          </w:p>
        </w:tc>
      </w:tr>
      <w:tr>
        <w:trPr>
          <w:trHeight w:val="203"/>
        </w:trPr>
        <w:tc>
          <w:tcPr>
            <w:tcW w:w="2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720" w:type="dxa"/>
            <w:vAlign w:val="bottom"/>
            <w:tcBorders>
              <w:right w:val="single" w:sz="8" w:color="CFF0FC"/>
            </w:tcBorders>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tcBorders>
              <w:right w:val="single" w:sz="8" w:color="CFF0FC"/>
            </w:tcBorders>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vMerge w:val="continue"/>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1320" w:type="dxa"/>
            <w:vAlign w:val="bottom"/>
            <w:tcBorders>
              <w:right w:val="single" w:sz="8" w:color="CFF0FC"/>
            </w:tcBorders>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3"/>
            <w:vMerge w:val="continue"/>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Borders>
              <w:right w:val="single" w:sz="8" w:color="CFF0FC"/>
            </w:tcBorders>
            <w:shd w:val="clear" w:color="auto" w:fill="CFF0FC"/>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26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5,039.3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2,473.3</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(505.0 )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(954.9 )</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2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6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vMerge w:val="restart"/>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60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60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80" w:type="dxa"/>
            <w:vAlign w:val="bottom"/>
            <w:gridSpan w:val="3"/>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2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3"/>
            <w:vMerge w:val="continue"/>
          </w:tcPr>
          <w:p>
            <w:pPr>
              <w:spacing w:after="0"/>
              <w:rPr>
                <w:sz w:val="12"/>
                <w:szCs w:val="12"/>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ng</w:t>
            </w: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6"/>
                <w:szCs w:val="16"/>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320" w:type="dxa"/>
            <w:vAlign w:val="bottom"/>
            <w:gridSpan w:val="2"/>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6"/>
                <w:szCs w:val="16"/>
                <w:color w:val="auto"/>
              </w:rPr>
            </w:pPr>
          </w:p>
        </w:tc>
        <w:tc>
          <w:tcPr>
            <w:tcW w:w="102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6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7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4,600.5</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1,800.7</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280" w:type="dxa"/>
            <w:vAlign w:val="bottom"/>
            <w:tcBorders>
              <w:left w:val="single" w:sz="8" w:color="CFF0FC"/>
              <w:right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left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2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120"/>
              <w:spacing w:after="0" w:line="161" w:lineRule="exact"/>
              <w:rPr>
                <w:sz w:val="20"/>
                <w:szCs w:val="20"/>
                <w:color w:val="auto"/>
              </w:rPr>
            </w:pPr>
            <w:r>
              <w:rPr>
                <w:rFonts w:ascii="Times New Roman" w:cs="Times New Roman" w:eastAsia="Times New Roman" w:hAnsi="Times New Roman"/>
                <w:sz w:val="16"/>
                <w:szCs w:val="16"/>
                <w:color w:val="auto"/>
              </w:rPr>
              <w:t>Foreign exchange translation</w:t>
            </w:r>
          </w:p>
        </w:tc>
        <w:tc>
          <w:tcPr>
            <w:tcW w:w="7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3"/>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FF0FC"/>
            </w:tcBorders>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720" w:type="dxa"/>
            <w:vAlign w:val="bottom"/>
            <w:tcBorders>
              <w:right w:val="single" w:sz="8" w:color="CFF0FC"/>
            </w:tcBorders>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tcBorders>
              <w:right w:val="single" w:sz="8" w:color="CFF0FC"/>
            </w:tcBorders>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vMerge w:val="continue"/>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1040" w:type="dxa"/>
            <w:vAlign w:val="bottom"/>
            <w:vMerge w:val="continue"/>
            <w:shd w:val="clear" w:color="auto" w:fill="CFF0FC"/>
          </w:tcPr>
          <w:p>
            <w:pPr>
              <w:spacing w:after="0"/>
              <w:rPr>
                <w:sz w:val="17"/>
                <w:szCs w:val="17"/>
                <w:color w:val="auto"/>
              </w:rPr>
            </w:pPr>
          </w:p>
        </w:tc>
        <w:tc>
          <w:tcPr>
            <w:tcW w:w="28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3"/>
            <w:vMerge w:val="continue"/>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change in interest rate swaps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(0.2 )</w:t>
            </w:r>
          </w:p>
        </w:tc>
        <w:tc>
          <w:tcPr>
            <w:tcW w:w="140" w:type="dxa"/>
            <w:vAlign w:val="bottom"/>
          </w:tcPr>
          <w:p>
            <w:pPr>
              <w:spacing w:after="0"/>
              <w:rPr>
                <w:sz w:val="17"/>
                <w:szCs w:val="17"/>
                <w:color w:val="auto"/>
              </w:rPr>
            </w:pPr>
          </w:p>
        </w:tc>
        <w:tc>
          <w:tcPr>
            <w:tcW w:w="102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120"/>
              <w:spacing w:after="0" w:line="161" w:lineRule="exact"/>
              <w:rPr>
                <w:sz w:val="20"/>
                <w:szCs w:val="20"/>
                <w:color w:val="auto"/>
              </w:rPr>
            </w:pPr>
            <w:r>
              <w:rPr>
                <w:rFonts w:ascii="Times New Roman" w:cs="Times New Roman" w:eastAsia="Times New Roman" w:hAnsi="Times New Roman"/>
                <w:sz w:val="16"/>
                <w:szCs w:val="16"/>
                <w:color w:val="auto"/>
              </w:rPr>
              <w:t>Change in defined benefit plan</w:t>
            </w:r>
          </w:p>
        </w:tc>
        <w:tc>
          <w:tcPr>
            <w:tcW w:w="7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3"/>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FF0FC"/>
            </w:tcBorders>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obligation</w:t>
            </w:r>
          </w:p>
        </w:tc>
        <w:tc>
          <w:tcPr>
            <w:tcW w:w="720" w:type="dxa"/>
            <w:vAlign w:val="bottom"/>
            <w:tcBorders>
              <w:right w:val="single" w:sz="8" w:color="CFF0FC"/>
            </w:tcBorders>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tcBorders>
              <w:right w:val="single" w:sz="8" w:color="CFF0FC"/>
            </w:tcBorders>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vMerge w:val="continue"/>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1040" w:type="dxa"/>
            <w:vAlign w:val="bottom"/>
            <w:vMerge w:val="continue"/>
            <w:shd w:val="clear" w:color="auto" w:fill="CFF0FC"/>
          </w:tcPr>
          <w:p>
            <w:pPr>
              <w:spacing w:after="0"/>
              <w:rPr>
                <w:sz w:val="17"/>
                <w:szCs w:val="17"/>
                <w:color w:val="auto"/>
              </w:rPr>
            </w:pPr>
          </w:p>
        </w:tc>
        <w:tc>
          <w:tcPr>
            <w:tcW w:w="28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3"/>
            <w:vMerge w:val="continue"/>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2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120"/>
              <w:spacing w:after="0" w:line="161" w:lineRule="exact"/>
              <w:rPr>
                <w:sz w:val="20"/>
                <w:szCs w:val="20"/>
                <w:color w:val="auto"/>
              </w:rPr>
            </w:pPr>
            <w:r>
              <w:rPr>
                <w:rFonts w:ascii="Times New Roman" w:cs="Times New Roman" w:eastAsia="Times New Roman" w:hAnsi="Times New Roman"/>
                <w:sz w:val="16"/>
                <w:szCs w:val="16"/>
                <w:color w:val="auto"/>
              </w:rPr>
              <w:t>Exercise of options, net of</w:t>
            </w:r>
          </w:p>
        </w:tc>
        <w:tc>
          <w:tcPr>
            <w:tcW w:w="7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4"/>
                <w:szCs w:val="14"/>
                <w:color w:val="auto"/>
              </w:rPr>
            </w:pPr>
          </w:p>
        </w:tc>
        <w:tc>
          <w:tcPr>
            <w:tcW w:w="1320" w:type="dxa"/>
            <w:vAlign w:val="bottom"/>
            <w:tcBorders>
              <w:right w:val="single" w:sz="8" w:color="CFF0FC"/>
            </w:tcBorders>
            <w:gridSpan w:val="2"/>
            <w:vMerge w:val="restart"/>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3"/>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FF0FC"/>
            </w:tcBorders>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720" w:type="dxa"/>
            <w:vAlign w:val="bottom"/>
            <w:tcBorders>
              <w:right w:val="single" w:sz="8" w:color="CFF0FC"/>
            </w:tcBorders>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tcBorders>
              <w:right w:val="single" w:sz="8" w:color="CFF0FC"/>
            </w:tcBorders>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vMerge w:val="continue"/>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1320" w:type="dxa"/>
            <w:vAlign w:val="bottom"/>
            <w:tcBorders>
              <w:right w:val="single" w:sz="8" w:color="CFF0FC"/>
            </w:tcBorders>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3"/>
            <w:vMerge w:val="continue"/>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(143.6 )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(143.6 )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120"/>
              <w:spacing w:after="0" w:line="161" w:lineRule="exact"/>
              <w:rPr>
                <w:sz w:val="20"/>
                <w:szCs w:val="20"/>
                <w:color w:val="auto"/>
              </w:rPr>
            </w:pPr>
            <w:r>
              <w:rPr>
                <w:rFonts w:ascii="Times New Roman" w:cs="Times New Roman" w:eastAsia="Times New Roman" w:hAnsi="Times New Roman"/>
                <w:sz w:val="16"/>
                <w:szCs w:val="16"/>
                <w:color w:val="auto"/>
              </w:rPr>
              <w:t>Cash dividends declared -</w:t>
            </w:r>
          </w:p>
        </w:tc>
        <w:tc>
          <w:tcPr>
            <w:tcW w:w="7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(40.9 )</w:t>
            </w:r>
          </w:p>
        </w:tc>
        <w:tc>
          <w:tcPr>
            <w:tcW w:w="160" w:type="dxa"/>
            <w:vAlign w:val="bottom"/>
            <w:tcBorders>
              <w:left w:val="single" w:sz="8" w:color="CFF0FC"/>
            </w:tcBorders>
            <w:shd w:val="clear" w:color="auto" w:fill="CFF0FC"/>
          </w:tcPr>
          <w:p>
            <w:pPr>
              <w:spacing w:after="0"/>
              <w:rPr>
                <w:sz w:val="14"/>
                <w:szCs w:val="14"/>
                <w:color w:val="auto"/>
              </w:rPr>
            </w:pPr>
          </w:p>
        </w:tc>
        <w:tc>
          <w:tcPr>
            <w:tcW w:w="1320" w:type="dxa"/>
            <w:vAlign w:val="bottom"/>
            <w:tcBorders>
              <w:right w:val="single" w:sz="8" w:color="CFF0FC"/>
            </w:tcBorders>
            <w:gridSpan w:val="2"/>
            <w:vMerge w:val="restart"/>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3"/>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FF0FC"/>
            </w:tcBorders>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(40.8 )</w:t>
            </w:r>
          </w:p>
        </w:tc>
        <w:tc>
          <w:tcPr>
            <w:tcW w:w="0" w:type="dxa"/>
            <w:vAlign w:val="bottom"/>
          </w:tcPr>
          <w:p>
            <w:pPr>
              <w:spacing w:after="0"/>
              <w:rPr>
                <w:sz w:val="1"/>
                <w:szCs w:val="1"/>
                <w:color w:val="auto"/>
              </w:rPr>
            </w:pPr>
          </w:p>
        </w:tc>
      </w:tr>
      <w:tr>
        <w:trPr>
          <w:trHeight w:val="189"/>
        </w:trPr>
        <w:tc>
          <w:tcPr>
            <w:tcW w:w="2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$0.16 per share</w:t>
            </w:r>
          </w:p>
        </w:tc>
        <w:tc>
          <w:tcPr>
            <w:tcW w:w="720" w:type="dxa"/>
            <w:vAlign w:val="bottom"/>
            <w:tcBorders>
              <w:right w:val="single" w:sz="8" w:color="CFF0FC"/>
            </w:tcBorders>
            <w:vMerge w:val="continue"/>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80" w:type="dxa"/>
            <w:vAlign w:val="bottom"/>
            <w:tcBorders>
              <w:right w:val="single" w:sz="8" w:color="CFF0FC"/>
            </w:tcBorders>
            <w:vMerge w:val="continue"/>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tcBorders>
              <w:right w:val="single" w:sz="8" w:color="CFF0FC"/>
            </w:tcBorders>
            <w:vMerge w:val="continue"/>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60" w:type="dxa"/>
            <w:vAlign w:val="bottom"/>
            <w:tcBorders>
              <w:left w:val="single" w:sz="8" w:color="CFF0FC"/>
            </w:tcBorders>
            <w:shd w:val="clear" w:color="auto" w:fill="CFF0FC"/>
          </w:tcPr>
          <w:p>
            <w:pPr>
              <w:spacing w:after="0"/>
              <w:rPr>
                <w:sz w:val="16"/>
                <w:szCs w:val="16"/>
                <w:color w:val="auto"/>
              </w:rPr>
            </w:pPr>
          </w:p>
        </w:tc>
        <w:tc>
          <w:tcPr>
            <w:tcW w:w="1320" w:type="dxa"/>
            <w:vAlign w:val="bottom"/>
            <w:tcBorders>
              <w:right w:val="single" w:sz="8" w:color="CFF0FC"/>
            </w:tcBorders>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3"/>
            <w:vMerge w:val="continue"/>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26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4,682.8</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1,949.6</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(190.3 )</w:t>
            </w:r>
          </w:p>
        </w:tc>
        <w:tc>
          <w:tcPr>
            <w:tcW w:w="140" w:type="dxa"/>
            <w:vAlign w:val="bottom"/>
          </w:tcPr>
          <w:p>
            <w:pPr>
              <w:jc w:val="right"/>
              <w:ind w:right="47"/>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(621.1 )</w:t>
            </w:r>
          </w:p>
        </w:tc>
        <w:tc>
          <w:tcPr>
            <w:tcW w:w="16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-3076575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-3076575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-3076575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-3076575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-3076575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-3076575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-3076575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-161925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-161925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-161925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-161925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-161925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-161925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-161925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3520"/>
        <w:spacing w:after="0" w:line="213"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CHANGES IN STOCKHOLDERS’ EQUITY </w:t>
      </w:r>
      <w:r>
        <w:rPr>
          <w:rFonts w:ascii="Times New Roman" w:cs="Times New Roman" w:eastAsia="Times New Roman" w:hAnsi="Times New Roman"/>
          <w:sz w:val="14"/>
          <w:szCs w:val="14"/>
          <w:b w:val="1"/>
          <w:bCs w:val="1"/>
          <w:color w:val="auto"/>
        </w:rPr>
        <w:t>(In millions)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ing</w:t>
            </w: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4,895.7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2,293.0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(784.0</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(1.1 )</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6"/>
                <w:szCs w:val="16"/>
                <w:color w:val="auto"/>
              </w:rPr>
              <w:t>Foreign exchange translation</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(263.4 )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(263.4 )</w:t>
            </w:r>
          </w:p>
        </w:tc>
        <w:tc>
          <w:tcPr>
            <w:tcW w:w="0" w:type="dxa"/>
            <w:vAlign w:val="bottom"/>
          </w:tcPr>
          <w:p>
            <w:pPr>
              <w:spacing w:after="0"/>
              <w:rPr>
                <w:sz w:val="1"/>
                <w:szCs w:val="1"/>
                <w:color w:val="auto"/>
              </w:rPr>
            </w:pPr>
          </w:p>
        </w:tc>
      </w:tr>
      <w:tr>
        <w:trPr>
          <w:trHeight w:val="213"/>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change in interest rate swaps</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6"/>
                <w:szCs w:val="16"/>
                <w:color w:val="auto"/>
              </w:rPr>
              <w:t>Change in defined benefit plan</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(1.1 )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3"/>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obligation</w:t>
            </w:r>
          </w:p>
        </w:tc>
        <w:tc>
          <w:tcPr>
            <w:tcW w:w="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0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6"/>
                <w:szCs w:val="16"/>
                <w:color w:val="auto"/>
              </w:rPr>
              <w:t>Exercise of options, net of</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(170.9 )</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(170.9 )</w:t>
            </w:r>
          </w:p>
        </w:tc>
        <w:tc>
          <w:tcPr>
            <w:tcW w:w="0" w:type="dxa"/>
            <w:vAlign w:val="bottom"/>
          </w:tcPr>
          <w:p>
            <w:pPr>
              <w:spacing w:after="0"/>
              <w:rPr>
                <w:sz w:val="1"/>
                <w:szCs w:val="1"/>
                <w:color w:val="auto"/>
              </w:rPr>
            </w:pPr>
          </w:p>
        </w:tc>
      </w:tr>
      <w:tr>
        <w:trPr>
          <w:trHeight w:val="148"/>
        </w:trPr>
        <w:tc>
          <w:tcPr>
            <w:tcW w:w="260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6"/>
                <w:szCs w:val="16"/>
                <w:color w:val="auto"/>
              </w:rPr>
              <w:t>Cash dividends declared - $0.40 per</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(102.4 )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(102.4 )</w:t>
            </w:r>
          </w:p>
        </w:tc>
        <w:tc>
          <w:tcPr>
            <w:tcW w:w="0" w:type="dxa"/>
            <w:vAlign w:val="bottom"/>
          </w:tcPr>
          <w:p>
            <w:pPr>
              <w:spacing w:after="0"/>
              <w:rPr>
                <w:sz w:val="1"/>
                <w:szCs w:val="1"/>
                <w:color w:val="auto"/>
              </w:rPr>
            </w:pPr>
          </w:p>
        </w:tc>
      </w:tr>
      <w:tr>
        <w:trPr>
          <w:trHeight w:val="203"/>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7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5,039.3</w:t>
            </w: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2,473.3</w:t>
            </w:r>
          </w:p>
        </w:tc>
        <w:tc>
          <w:tcPr>
            <w:tcW w:w="1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1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(954.9</w:t>
            </w:r>
          </w:p>
        </w:tc>
        <w:tc>
          <w:tcPr>
            <w:tcW w:w="1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6,112.1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2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restart"/>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1"/>
                <w:szCs w:val="11"/>
                <w:color w:val="auto"/>
              </w:rPr>
            </w:pPr>
          </w:p>
        </w:tc>
        <w:tc>
          <w:tcPr>
            <w:tcW w:w="1380" w:type="dxa"/>
            <w:vAlign w:val="bottom"/>
            <w:gridSpan w:val="4"/>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4"/>
            <w:vMerge w:val="continue"/>
          </w:tcPr>
          <w:p>
            <w:pPr>
              <w:spacing w:after="0"/>
              <w:rPr>
                <w:sz w:val="11"/>
                <w:szCs w:val="11"/>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ng</w:t>
            </w: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4,544.0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1,667.0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2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Borders>
              <w:top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6"/>
                <w:szCs w:val="16"/>
                <w:color w:val="auto"/>
              </w:rPr>
              <w:t>Foreign exchange translation</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change in interest rate swaps</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0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6"/>
                <w:szCs w:val="16"/>
                <w:color w:val="auto"/>
              </w:rPr>
              <w:t>Change in defined benefit plan</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obligation</w:t>
            </w:r>
          </w:p>
        </w:tc>
        <w:tc>
          <w:tcPr>
            <w:tcW w:w="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6"/>
                <w:szCs w:val="16"/>
                <w:color w:val="auto"/>
              </w:rPr>
              <w:t>Exercise of options, net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(325.0 )</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(325.0 )</w:t>
            </w:r>
          </w:p>
        </w:tc>
        <w:tc>
          <w:tcPr>
            <w:tcW w:w="0" w:type="dxa"/>
            <w:vAlign w:val="bottom"/>
          </w:tcPr>
          <w:p>
            <w:pPr>
              <w:spacing w:after="0"/>
              <w:rPr>
                <w:sz w:val="1"/>
                <w:szCs w:val="1"/>
                <w:color w:val="auto"/>
              </w:rPr>
            </w:pPr>
          </w:p>
        </w:tc>
      </w:tr>
      <w:tr>
        <w:trPr>
          <w:trHeight w:val="149"/>
        </w:trPr>
        <w:tc>
          <w:tcPr>
            <w:tcW w:w="260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6"/>
                <w:szCs w:val="16"/>
                <w:color w:val="auto"/>
              </w:rPr>
              <w:t>Cash dividends declared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(82.1 )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(82.0 )</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$0.32 per share</w:t>
            </w: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4,682.8</w:t>
            </w: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1,949.6</w:t>
            </w: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240" w:type="dxa"/>
            <w:vAlign w:val="bottom"/>
            <w:tcBorders>
              <w:bottom w:val="single" w:sz="8" w:color="CFF0FC"/>
            </w:tcBorders>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5,823.7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-3068320</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-3051175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-3068320</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-3051175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-3068320</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-3051175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-3068320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-3051175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-3068320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-3051175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-3068320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-3051175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-3068320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-3051175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-24765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-7620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-24765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9019"/>
          </w:cols>
          <w:pgMar w:left="1440" w:top="43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30" w:right="1440" w:bottom="1440" w:gutter="0" w:footer="0" w:header="0"/>
          <w:type w:val="continuous"/>
        </w:sectPr>
      </w:pPr>
    </w:p>
    <w:bookmarkStart w:id="8" w:name="page9"/>
    <w:bookmarkEnd w:id="8"/>
    <w:p>
      <w:pPr>
        <w:ind w:right="5300"/>
        <w:spacing w:after="0" w:line="260" w:lineRule="auto"/>
        <w:rPr>
          <w:sz w:val="20"/>
          <w:szCs w:val="20"/>
          <w:color w:val="auto"/>
        </w:rPr>
      </w:pPr>
      <w:r>
        <w:rPr>
          <w:rFonts w:ascii="Times New Roman" w:cs="Times New Roman" w:eastAsia="Times New Roman" w:hAnsi="Times New Roman"/>
          <w:sz w:val="18"/>
          <w:szCs w:val="18"/>
          <w:b w:val="1"/>
          <w:bCs w:val="1"/>
          <w:color w:val="auto"/>
        </w:rPr>
        <w:t>SS&amp;C TECHNOLOGIES HOLDINGS, INC. AND SUBSIDIARIES NOTES TO CONDENSED CONSOLIDATED FINANCIAL STATEMENTS (Unaudited)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 and Principles of Consolidation</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2021, filed with the Securities and Exchange Commission (the “SEC”) on February 25, 2022 (the “2021 Form 10-K”). The inputs into our judgments and estimates consider the economic implications of COVID-19 on our critical and significant accounting estimates.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June 30, 2022, the results of our operations for the three and six months ended June 30, 2022 and 2021, and our cash flows for the six months ended June 30, 2022 and 2021.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2021, which were included in the 2021 Form 10-K. The December 31, 2021 Consolidated Balance Sheet data were derived from audited financial statements but do not include all disclosures required by GAAP for annual financial statements. The results of operations for the three and six months ended June 30, 2022 are not necessarily indicative of the expected results for any subsequent quarters or the full year.</w:t>
      </w:r>
    </w:p>
    <w:p>
      <w:pPr>
        <w:spacing w:after="0" w:line="14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22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ASU 2021-08 requires companies to apply ASC 606 to recognize and measure contract assets and contract liabilities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acquired in a business combination on the acquisition date. Generally, this new guidance will result in an acquirer recognizing contract assets and contract liabilities at the same amounts recorded by the acquiree. Under current GAAP, we have historically recognized contract assets and contract liabilities acquired in a business combination at fair value. ASU 2021-08 is effective for fiscal years beginning after December 15, 2022, and interim periods within those fiscal years. Early adoption is permitted, including adoption in an interim period. ASU 2021-08 should be applied prospectively to business combinations that occur after the effective date. We adopted ASU 2021-08 as of January 1, 2022 on a prospective basis. The adoption of this standard did not have a material impact on our financial position,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 Not Yet Effective</w:t>
      </w:r>
    </w:p>
    <w:p>
      <w:pPr>
        <w:spacing w:after="0" w:line="21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ASU 2020-04 provides optional expedients and exceptions for applying GAAP if certain criteria are met to contracts,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relationships and other transactions that reference LIBOR or another reference rate expected to be discontinued. In January 2021, the FASB issued Update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to contract modifications made on or before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on our financial condition and results of operations.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2—Property, Plant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and the related accumulated depreciation are as follows (in millions):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r>
      <w:tr>
        <w:trPr>
          <w:trHeight w:val="21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30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0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(475.1 )</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(450.7 )</w:t>
            </w:r>
          </w:p>
        </w:tc>
      </w:tr>
      <w:tr>
        <w:trPr>
          <w:trHeight w:val="209"/>
        </w:trPr>
        <w:tc>
          <w:tcPr>
            <w:tcW w:w="6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3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300" w:type="dxa"/>
            <w:vAlign w:val="bottom"/>
            <w:tcBorders>
              <w:top w:val="single" w:sz="8" w:color="CFF0FC"/>
            </w:tcBorders>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-454025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-454025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-170815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Depreciation expense for the three and six months ended June 30, 2022 was $19.0 million and $38.2 million, respectively. Depreciation expense for the three and six months ended June 30, 2021 was $19.5 million and $44.4 million, respectively. As of June 30, 2022, property, plant and equipment assets, net of $10.6 million have been reclassified as held for sale and are presented in prepaid expenses and other current assets in our condensed consolidated balance sheet. Unpaid property, plant and equipment additions of $19.2 million are included in accounts payable and other accrued expenses as of June 30, 2022 in our condensed consolidated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3—Investments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are as follows (in millions):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87"/>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Partnership interests in private equity funds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r>
      <w:tr>
        <w:trPr>
          <w:trHeight w:val="250"/>
        </w:trPr>
        <w:tc>
          <w:tcPr>
            <w:tcW w:w="6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Realized and unrealized gains and losses for our equity securities are as follows (in millions):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210"/>
        </w:trPr>
        <w:tc>
          <w:tcPr>
            <w:tcW w:w="5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164"/>
        </w:trPr>
        <w:tc>
          <w:tcPr>
            <w:tcW w:w="524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Unrealized (losses) gains on equity securities held as of the end of the</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20"/>
                <w:szCs w:val="20"/>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 gains for equity securities sold during the period</w:t>
            </w:r>
          </w:p>
        </w:tc>
        <w:tc>
          <w:tcPr>
            <w:tcW w:w="16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(0.5 )</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r>
      <w:tr>
        <w:trPr>
          <w:trHeight w:val="250"/>
        </w:trPr>
        <w:tc>
          <w:tcPr>
            <w:tcW w:w="5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(losses) gains recognized in other income,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06" w:lineRule="exact"/>
        <w:rPr>
          <w:sz w:val="20"/>
          <w:szCs w:val="20"/>
          <w:color w:val="auto"/>
        </w:rPr>
      </w:pPr>
    </w:p>
    <w:p>
      <w:pPr>
        <w:ind w:right="260" w:firstLine="562"/>
        <w:spacing w:after="0" w:line="250" w:lineRule="auto"/>
        <w:rPr>
          <w:sz w:val="20"/>
          <w:szCs w:val="20"/>
          <w:color w:val="auto"/>
        </w:rPr>
      </w:pPr>
      <w:r>
        <w:rPr>
          <w:rFonts w:ascii="Times New Roman" w:cs="Times New Roman" w:eastAsia="Times New Roman" w:hAnsi="Times New Roman"/>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50" w:lineRule="exact"/>
        <w:rPr>
          <w:sz w:val="20"/>
          <w:szCs w:val="20"/>
          <w:color w:val="auto"/>
        </w:rPr>
      </w:pPr>
    </w:p>
    <w:p>
      <w:pPr>
        <w:ind w:right="20" w:firstLine="569"/>
        <w:spacing w:after="0" w:line="244" w:lineRule="auto"/>
        <w:rPr>
          <w:sz w:val="20"/>
          <w:szCs w:val="20"/>
          <w:color w:val="auto"/>
        </w:rPr>
      </w:pPr>
      <w:r>
        <w:rPr>
          <w:rFonts w:ascii="Times New Roman" w:cs="Times New Roman" w:eastAsia="Times New Roman" w:hAnsi="Times New Roman"/>
          <w:sz w:val="18"/>
          <w:szCs w:val="18"/>
          <w:color w:val="auto"/>
        </w:rPr>
        <w:t>As of June 30, 2022 and December 31, 2021,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 w:name="page11"/>
    <w:bookmarkEnd w:id="10"/>
    <w:p>
      <w:pPr>
        <w:ind w:left="560"/>
        <w:spacing w:after="0"/>
        <w:rPr>
          <w:sz w:val="20"/>
          <w:szCs w:val="20"/>
          <w:color w:val="auto"/>
        </w:rPr>
      </w:pPr>
      <w:r>
        <w:rPr>
          <w:rFonts w:ascii="Times New Roman" w:cs="Times New Roman" w:eastAsia="Times New Roman" w:hAnsi="Times New Roman"/>
          <w:sz w:val="18"/>
          <w:szCs w:val="18"/>
          <w:color w:val="auto"/>
        </w:rPr>
        <w:t>The following tables present assets and liabilities measured at fair value on a recurring basis (in millions):</w:t>
      </w:r>
    </w:p>
    <w:p>
      <w:pPr>
        <w:spacing w:after="0" w:line="5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6"/>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360" w:type="dxa"/>
            <w:vAlign w:val="bottom"/>
            <w:vMerge w:val="restart"/>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vMerge w:val="restart"/>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360" w:type="dxa"/>
            <w:vAlign w:val="bottom"/>
          </w:tcPr>
          <w:p>
            <w:pPr>
              <w:jc w:val="center"/>
              <w:ind w:left="101"/>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7"/>
                <w:szCs w:val="17"/>
                <w:color w:val="auto"/>
              </w:rPr>
            </w:pPr>
          </w:p>
        </w:tc>
        <w:tc>
          <w:tcPr>
            <w:tcW w:w="13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1)</w:t>
            </w:r>
          </w:p>
        </w:tc>
        <w:tc>
          <w:tcPr>
            <w:tcW w:w="320" w:type="dxa"/>
            <w:vAlign w:val="bottom"/>
          </w:tcPr>
          <w:p>
            <w:pPr>
              <w:spacing w:after="0"/>
              <w:rPr>
                <w:sz w:val="17"/>
                <w:szCs w:val="17"/>
                <w:color w:val="auto"/>
              </w:rPr>
            </w:pPr>
          </w:p>
        </w:tc>
        <w:tc>
          <w:tcPr>
            <w:tcW w:w="136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3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32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118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 (2)</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 (2)</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 (3)</w:t>
            </w: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(14.2 )</w:t>
            </w:r>
          </w:p>
        </w:tc>
        <w:tc>
          <w:tcPr>
            <w:tcW w:w="13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3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ind w:right="118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ind w:right="10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6"/>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360" w:type="dxa"/>
            <w:vAlign w:val="bottom"/>
            <w:vMerge w:val="restart"/>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vMerge w:val="restart"/>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360" w:type="dxa"/>
            <w:vAlign w:val="bottom"/>
          </w:tcPr>
          <w:p>
            <w:pPr>
              <w:jc w:val="center"/>
              <w:ind w:left="101"/>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rPr>
                <w:sz w:val="17"/>
                <w:szCs w:val="17"/>
                <w:color w:val="auto"/>
              </w:rPr>
            </w:pP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7"/>
                <w:szCs w:val="17"/>
                <w:color w:val="auto"/>
              </w:rPr>
            </w:pP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1)</w:t>
            </w:r>
          </w:p>
        </w:tc>
        <w:tc>
          <w:tcPr>
            <w:tcW w:w="320" w:type="dxa"/>
            <w:vAlign w:val="bottom"/>
          </w:tcPr>
          <w:p>
            <w:pPr>
              <w:spacing w:after="0"/>
              <w:rPr>
                <w:sz w:val="17"/>
                <w:szCs w:val="17"/>
                <w:color w:val="auto"/>
              </w:rPr>
            </w:pPr>
          </w:p>
        </w:tc>
        <w:tc>
          <w:tcPr>
            <w:tcW w:w="136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3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32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118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 (2)</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 (2)</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 (3)</w:t>
            </w: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(21.3 )</w:t>
            </w:r>
          </w:p>
        </w:tc>
        <w:tc>
          <w:tcPr>
            <w:tcW w:w="13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3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ind w:right="118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ind w:right="10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-1456690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-1439545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-1456690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-1439545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-1456690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-1439545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-1456690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-1439545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-25400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6" w:lineRule="auto"/>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1" w:lineRule="exact"/>
        <w:rPr>
          <w:sz w:val="20"/>
          <w:szCs w:val="20"/>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and Funds receivable and funds held on behalf of clients on the Condensed Consolidated Balance Sheet.</w:t>
      </w:r>
    </w:p>
    <w:p>
      <w:pPr>
        <w:spacing w:after="0" w:line="7" w:lineRule="exact"/>
        <w:rPr>
          <w:rFonts w:ascii="Times New Roman" w:cs="Times New Roman" w:eastAsia="Times New Roman" w:hAnsi="Times New Roman"/>
          <w:sz w:val="18"/>
          <w:szCs w:val="18"/>
          <w:color w:val="auto"/>
        </w:rPr>
      </w:pPr>
    </w:p>
    <w:p>
      <w:pPr>
        <w:ind w:left="380" w:hanging="372"/>
        <w:spacing w:after="0" w:line="236"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Investments on the Condensed Consolidated Balance Sheet.</w:t>
      </w: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liabilities on the Condensed Consolidated Balance Sheet.</w:t>
      </w:r>
    </w:p>
    <w:p>
      <w:pPr>
        <w:spacing w:after="0" w:line="165" w:lineRule="exact"/>
        <w:rPr>
          <w:sz w:val="20"/>
          <w:szCs w:val="20"/>
          <w:color w:val="auto"/>
        </w:rPr>
      </w:pPr>
    </w:p>
    <w:p>
      <w:pPr>
        <w:ind w:firstLine="562"/>
        <w:spacing w:after="0" w:line="246" w:lineRule="auto"/>
        <w:rPr>
          <w:sz w:val="20"/>
          <w:szCs w:val="20"/>
          <w:color w:val="auto"/>
        </w:rPr>
      </w:pPr>
      <w:r>
        <w:rPr>
          <w:rFonts w:ascii="Times New Roman" w:cs="Times New Roman" w:eastAsia="Times New Roman" w:hAnsi="Times New Roman"/>
          <w:sz w:val="18"/>
          <w:szCs w:val="18"/>
          <w:color w:val="auto"/>
        </w:rPr>
        <w:t>We have partnership interests in various private equity funds that are not included in the tables above. Our investments in private equity funds were $14.8 million and $15.5 million at June 30, 2022 and December 31, 2021, respectively, of which $12.0 million and $12.7 million, respectively, were measured using net asset value as a practical expedient for fair value and $2.8 million and $2.8 million, respectively, were accounted for under the equity method of accounting. The investments in private equity funds represent underlying investments in domestic and international markets across various industry sectors.</w:t>
      </w:r>
    </w:p>
    <w:p>
      <w:pPr>
        <w:spacing w:after="0" w:line="141" w:lineRule="exact"/>
        <w:rPr>
          <w:sz w:val="20"/>
          <w:szCs w:val="20"/>
          <w:color w:val="auto"/>
        </w:rPr>
      </w:pPr>
    </w:p>
    <w:p>
      <w:pPr>
        <w:jc w:val="both"/>
        <w:ind w:right="340" w:firstLine="562"/>
        <w:spacing w:after="0" w:line="258" w:lineRule="auto"/>
        <w:rPr>
          <w:sz w:val="20"/>
          <w:szCs w:val="20"/>
          <w:color w:val="auto"/>
        </w:rPr>
      </w:pPr>
      <w:r>
        <w:rPr>
          <w:rFonts w:ascii="Times New Roman" w:cs="Times New Roman" w:eastAsia="Times New Roman" w:hAnsi="Times New Roman"/>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spacing w:after="0" w:line="142" w:lineRule="exact"/>
        <w:rPr>
          <w:sz w:val="20"/>
          <w:szCs w:val="20"/>
          <w:color w:val="auto"/>
        </w:rPr>
      </w:pPr>
    </w:p>
    <w:p>
      <w:pPr>
        <w:jc w:val="both"/>
        <w:ind w:right="220" w:firstLine="562"/>
        <w:spacing w:after="0" w:line="250" w:lineRule="auto"/>
        <w:rPr>
          <w:sz w:val="20"/>
          <w:szCs w:val="20"/>
          <w:color w:val="auto"/>
        </w:rPr>
      </w:pPr>
      <w:r>
        <w:rPr>
          <w:rFonts w:ascii="Times New Roman" w:cs="Times New Roman" w:eastAsia="Times New Roman" w:hAnsi="Times New Roman"/>
          <w:sz w:val="18"/>
          <w:szCs w:val="18"/>
          <w:color w:val="auto"/>
        </w:rPr>
        <w:t>We add new investment products such as mutual funds and exchange traded funds, through our subsidiary, ALPS Advisors, from time to time by providing the initial cash investments as seed capital. We consolidate seed capital investments when our ownership percentage exceeds 50%. Shares in those investments not owned by us are reflected as a redeemable noncontrolling interest on the condensed consolidated balance sheet.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4—Unconsolidated Affiliates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Investments in unconsolidated affiliates are as follows (in millions):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Excess carrying</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Excess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over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over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2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proportionate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proportionate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of net assets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of net assets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Financial Data Services L.P.</w:t>
            </w:r>
          </w:p>
        </w:tc>
        <w:tc>
          <w:tcPr>
            <w:tcW w:w="10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Orbit Private Investments L.P.</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Pershing Road Development Company, LLC</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Broadway Square Partners, LLP</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unconsolidated affiliates</w:t>
            </w:r>
          </w:p>
        </w:tc>
        <w:tc>
          <w:tcPr>
            <w:tcW w:w="10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120" w:firstLine="562"/>
        <w:spacing w:after="0" w:line="247" w:lineRule="auto"/>
        <w:rPr>
          <w:sz w:val="20"/>
          <w:szCs w:val="20"/>
          <w:color w:val="auto"/>
        </w:rPr>
      </w:pPr>
      <w:r>
        <w:rPr>
          <w:rFonts w:ascii="Times New Roman" w:cs="Times New Roman" w:eastAsia="Times New Roman" w:hAnsi="Times New Roman"/>
          <w:sz w:val="18"/>
          <w:szCs w:val="18"/>
          <w:color w:val="auto"/>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 of Comprehensive Income. One of the unconsolidated affiliates is a party to an interest rate swap agreement. We record our proportionate share of the change in value of the interest rate swap agreement in Accumulated other comprehensive loss. Amounts reclassified from Accumulated other comprehensive loss to Net income are recorded in Equity in earnings of unconsolidated affiliates, net on the Condensed Consolidated Statement of Comprehensive Income.</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Equity in earnings of unconsolidated affiliates, net are as follows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52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Financial Data Services L.P.</w:t>
            </w:r>
          </w:p>
        </w:tc>
        <w:tc>
          <w:tcPr>
            <w:tcW w:w="90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9"/>
                <w:szCs w:val="19"/>
                <w:color w:val="auto"/>
              </w:rPr>
            </w:pPr>
          </w:p>
        </w:tc>
        <w:tc>
          <w:tcPr>
            <w:tcW w:w="92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Pershing Road Development Company, LLC</w:t>
            </w:r>
          </w:p>
        </w:tc>
        <w:tc>
          <w:tcPr>
            <w:tcW w:w="9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(0.2 )</w:t>
            </w: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Broadway Square Partners, LLP</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unconsolidated affiliates</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r>
      <w:tr>
        <w:trPr>
          <w:trHeight w:val="20"/>
        </w:trPr>
        <w:tc>
          <w:tcPr>
            <w:tcW w:w="5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(0.4 )</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5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-170815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5—Acquisitions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 Prism</w:t>
      </w:r>
    </w:p>
    <w:p>
      <w:pPr>
        <w:spacing w:after="0" w:line="106"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On March 16, 2022, we purchased all of the outstanding stock of Blue Prism Group plc (“Blue Prism”) for approximately $1.6 billion in cash, plus the costs of effecting the transaction pursuant to a Scheme of Arrangement entered into under the U.K. Takeover Code. We financed the acquisition by entering into an Incremental Joinder (the “Incremental Joinder”) to the amended and restated credit agreement. Blue Prism is a global leader in enterprise robotics process automation and intelligent automation.</w:t>
      </w:r>
    </w:p>
    <w:p>
      <w:pPr>
        <w:spacing w:after="0" w:line="150" w:lineRule="exact"/>
        <w:rPr>
          <w:sz w:val="20"/>
          <w:szCs w:val="20"/>
          <w:color w:val="auto"/>
        </w:rPr>
      </w:pPr>
    </w:p>
    <w:p>
      <w:pPr>
        <w:ind w:right="100" w:firstLine="749"/>
        <w:spacing w:after="0" w:line="243" w:lineRule="auto"/>
        <w:rPr>
          <w:sz w:val="20"/>
          <w:szCs w:val="20"/>
          <w:color w:val="auto"/>
        </w:rPr>
      </w:pPr>
      <w:r>
        <w:rPr>
          <w:rFonts w:ascii="Times New Roman" w:cs="Times New Roman" w:eastAsia="Times New Roman" w:hAnsi="Times New Roman"/>
          <w:sz w:val="18"/>
          <w:szCs w:val="18"/>
          <w:color w:val="auto"/>
        </w:rPr>
        <w:t>The net assets and results of operations of Blue Prism have been included in our Condensed Consolidated Financial Statements from March 16, 2022. The preliminary fair value of the intangible assets, consisting of customer relationships, completed technologies and trade names, was determined using the income approach. Specifically, the relief-from-royalty method was utilized for completed technologies and trade names, and the excess earnings method was utilized for customer relationships. Completed technologies and customer relationships are amortized each year based on the ratio that the projected cash flows for the intangible assets bear to the total of current and expected future cash flows for the intangible assets. Trade names are amortized on a straight-line basis. Customer relationships, completed technologies and trade names are expected to be amortized over approximately fifteen, eight and fourteen years, respectively, in each case the estimated life of the assets. The remainder of the purchase price was allocated to goodwill and a portion is tax deductible.</w:t>
      </w:r>
    </w:p>
    <w:p>
      <w:pPr>
        <w:spacing w:after="0" w:line="146"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18"/>
          <w:szCs w:val="18"/>
          <w:color w:val="auto"/>
        </w:rPr>
        <w:t>During three months ended June 30, 2022 measurement period adjustments were recorded which resulted in increases in value of approximately $28.1 million and $4.0 million in customer relationships and completed technologies, respectively, and decreases in value of approximately $15.1 million and 3.0 million in deferred tax liabilities and trade names, respectively. Goodwill was also adjusted as a result of the measurement period adjustments.</w:t>
      </w:r>
    </w:p>
    <w:p>
      <w:pPr>
        <w:spacing w:after="0" w:line="142"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There are $62.8 million and $73.6 million in revenues from Blue Prism’s operations included in the Condensed Consolidated Statements of Comprehensive Income for the three and six months ended June 30, 2022,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Hubwise</w:t>
      </w:r>
    </w:p>
    <w:p>
      <w:pPr>
        <w:spacing w:after="0" w:line="106" w:lineRule="exact"/>
        <w:rPr>
          <w:sz w:val="20"/>
          <w:szCs w:val="20"/>
          <w:color w:val="auto"/>
        </w:rPr>
      </w:pPr>
    </w:p>
    <w:p>
      <w:pPr>
        <w:jc w:val="both"/>
        <w:ind w:right="300" w:firstLine="749"/>
        <w:spacing w:after="0" w:line="258" w:lineRule="auto"/>
        <w:rPr>
          <w:sz w:val="20"/>
          <w:szCs w:val="20"/>
          <w:color w:val="auto"/>
        </w:rPr>
      </w:pPr>
      <w:r>
        <w:rPr>
          <w:rFonts w:ascii="Times New Roman" w:cs="Times New Roman" w:eastAsia="Times New Roman" w:hAnsi="Times New Roman"/>
          <w:sz w:val="18"/>
          <w:szCs w:val="18"/>
          <w:color w:val="auto"/>
        </w:rPr>
        <w:t>On March 25, 2022, we purchased all of the outstanding stock of Hubwise Holdings Limited (“Hubwise”) for approximately $75.0 million in cash, plus the costs of effecting the transaction. Hubwise is a regulated business-to-business investment platform serving advisers, discretionary wealth managers and self-directed direct-to-consumer propositions.</w:t>
      </w:r>
    </w:p>
    <w:p>
      <w:pPr>
        <w:spacing w:after="0" w:line="129" w:lineRule="exact"/>
        <w:rPr>
          <w:sz w:val="20"/>
          <w:szCs w:val="20"/>
          <w:color w:val="auto"/>
        </w:rPr>
      </w:pPr>
    </w:p>
    <w:p>
      <w:pPr>
        <w:ind w:right="100" w:firstLine="749"/>
        <w:spacing w:after="0" w:line="243" w:lineRule="auto"/>
        <w:rPr>
          <w:sz w:val="20"/>
          <w:szCs w:val="20"/>
          <w:color w:val="auto"/>
        </w:rPr>
      </w:pPr>
      <w:r>
        <w:rPr>
          <w:rFonts w:ascii="Times New Roman" w:cs="Times New Roman" w:eastAsia="Times New Roman" w:hAnsi="Times New Roman"/>
          <w:sz w:val="18"/>
          <w:szCs w:val="18"/>
          <w:color w:val="auto"/>
        </w:rPr>
        <w:t>The net assets and results of operations of Hubwise have been included in our Condensed Consolidated Financial Statements from March 25, 2022. The preliminary fair value of the intangible assets, consisting of customer relationships, completed technologies and trade names, was determined using the income approach. Specifically, the relief-from-royalty method was utilized for completed technologies and trade names, and the excess earnings method was utilized for customer relationships. Completed technologies and customer relationships are amortized each year based on the ratio that the projected cash flows for the intangible assets bear to the total of current and expected future cash flows for the intangible assets. Trade names are amortized on a straight-line basis. Customer relationships, completed technologies and trade name are expected to be amortized over approximately twelve, eight and fourteen years, respectively, in each case the estimated life of the assets. The remainder of the purchase price was allocated to goodwill and a portion is tax deductible.</w:t>
      </w:r>
    </w:p>
    <w:p>
      <w:pPr>
        <w:spacing w:after="0" w:line="15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During three months ended June 30, 2022, measurement period adjustments were recorded which resulted in decreases in value of approximately $14.2 million, $2.8 million and $4.0 million in completed technologies, customer relationships and deferred income taxes, respectively. Goodwill was also adjusted as a result of the measurement period adjustments.</w:t>
      </w:r>
    </w:p>
    <w:p>
      <w:pPr>
        <w:spacing w:after="0" w:line="129" w:lineRule="exact"/>
        <w:rPr>
          <w:sz w:val="20"/>
          <w:szCs w:val="20"/>
          <w:color w:val="auto"/>
        </w:rPr>
      </w:pPr>
    </w:p>
    <w:p>
      <w:pPr>
        <w:ind w:right="800" w:firstLine="749"/>
        <w:spacing w:after="0" w:line="282" w:lineRule="auto"/>
        <w:rPr>
          <w:sz w:val="20"/>
          <w:szCs w:val="20"/>
          <w:color w:val="auto"/>
        </w:rPr>
      </w:pPr>
      <w:r>
        <w:rPr>
          <w:rFonts w:ascii="Times New Roman" w:cs="Times New Roman" w:eastAsia="Times New Roman" w:hAnsi="Times New Roman"/>
          <w:sz w:val="18"/>
          <w:szCs w:val="18"/>
          <w:color w:val="auto"/>
        </w:rPr>
        <w:t>There are $1.6 million and $1.7 million in revenues from Hubwise’s operations included in the Condensed Consolidated Statements of Comprehensive Income for the three and six months ended June 30, 2022, respectively.</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summarizes the preliminary allocation of the purchase price for the 2022 acquisitions of Blue Prism and Hubwise (in millions).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acquired intangible assets, and the related evaluation of taxes, are provisional pending receipt of the final valuation for those assets.</w:t>
      </w:r>
    </w:p>
    <w:p>
      <w:pPr>
        <w:spacing w:after="0"/>
        <w:rPr>
          <w:sz w:val="20"/>
          <w:szCs w:val="20"/>
          <w:color w:val="auto"/>
        </w:rPr>
      </w:pPr>
      <w:r>
        <w:rPr>
          <w:rFonts w:ascii="Times New Roman" w:cs="Times New Roman" w:eastAsia="Times New Roman" w:hAnsi="Times New Roman"/>
          <w:sz w:val="18"/>
          <w:szCs w:val="18"/>
          <w:color w:val="auto"/>
        </w:rPr>
        <w:t>The valuation of the acquired liabilities is also preliminary.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Blue Prism</w:t>
            </w:r>
          </w:p>
        </w:tc>
        <w:tc>
          <w:tcPr>
            <w:tcW w:w="360" w:type="dxa"/>
            <w:vAlign w:val="bottom"/>
          </w:tcPr>
          <w:p>
            <w:pPr>
              <w:spacing w:after="0"/>
              <w:rPr>
                <w:sz w:val="16"/>
                <w:szCs w:val="16"/>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Hubwise</w:t>
            </w: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 technologies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(6.6 )</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(23.2 )</w:t>
            </w:r>
          </w:p>
        </w:tc>
        <w:tc>
          <w:tcPr>
            <w:tcW w:w="3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(166.9 )</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(110.7 )</w:t>
            </w:r>
          </w:p>
        </w:tc>
        <w:tc>
          <w:tcPr>
            <w:tcW w:w="3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(35.2 )</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r>
      <w:tr>
        <w:trPr>
          <w:trHeight w:val="210"/>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Consideration paid, net of cash acquired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Additionally, we acquired 5 M’s Minerals Management, LLC (“MineralWare”) in May 2022 for approximately $18.0 million. We acquired assets related to O’Shares exchange traded funds (“O’Shares”) in June 2022 for approximately $28.3 million.</w:t>
      </w:r>
    </w:p>
    <w:p>
      <w:pPr>
        <w:spacing w:after="0" w:line="149"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The following unaudited pro forma information is provided for illustrative purposes only and assumes that the acquisitions of Blue Prism, Hubwise and MineralWare occurred on January 1, 2021 and the acquisition of Capita Life &amp; Pensions Services (Ireland) Limited (“Capita”) occurred on January 1, 2020,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acquisitions had actually occurred on those dates, nor of the results that may be obtained in the future.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30"/>
        </w:trPr>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3" w:name="page14"/>
    <w:bookmarkEnd w:id="13"/>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and 2021, we recorded severance expense related to personnel reductions in several of our businesses. The amount of severance expense recognized in our Condensed Consolidated Statements of Comprehensive Income for the six months ended June 30, 2022 and 2021 was as follows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Classification</w:t>
            </w:r>
          </w:p>
        </w:tc>
        <w:tc>
          <w:tcPr>
            <w:tcW w:w="540" w:type="dxa"/>
            <w:vAlign w:val="bottom"/>
          </w:tcPr>
          <w:p>
            <w:pPr>
              <w:spacing w:after="0"/>
              <w:rPr>
                <w:sz w:val="17"/>
                <w:szCs w:val="17"/>
                <w:color w:val="auto"/>
              </w:rPr>
            </w:pPr>
          </w:p>
        </w:tc>
        <w:tc>
          <w:tcPr>
            <w:tcW w:w="1780" w:type="dxa"/>
            <w:vAlign w:val="bottom"/>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jc w:val="right"/>
              <w:ind w:right="12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3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software-enabled services</w:t>
            </w:r>
          </w:p>
        </w:tc>
        <w:tc>
          <w:tcPr>
            <w:tcW w:w="24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FF0FC"/>
          </w:tcPr>
          <w:p>
            <w:pPr>
              <w:spacing w:after="0"/>
              <w:rPr>
                <w:sz w:val="17"/>
                <w:szCs w:val="17"/>
                <w:color w:val="auto"/>
              </w:rPr>
            </w:pPr>
          </w:p>
        </w:tc>
      </w:tr>
      <w:tr>
        <w:trPr>
          <w:trHeight w:val="202"/>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license, maintenance and other related</w:t>
            </w:r>
          </w:p>
        </w:tc>
        <w:tc>
          <w:tcPr>
            <w:tcW w:w="5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r>
      <w:tr>
        <w:trPr>
          <w:trHeight w:val="196"/>
        </w:trPr>
        <w:tc>
          <w:tcPr>
            <w:tcW w:w="558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cost of revenues</w:t>
            </w:r>
          </w:p>
        </w:tc>
        <w:tc>
          <w:tcPr>
            <w:tcW w:w="54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3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and marketing</w:t>
            </w:r>
          </w:p>
        </w:tc>
        <w:tc>
          <w:tcPr>
            <w:tcW w:w="5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r>
      <w:tr>
        <w:trPr>
          <w:trHeight w:val="203"/>
        </w:trPr>
        <w:tc>
          <w:tcPr>
            <w:tcW w:w="5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4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FF0FC"/>
          </w:tcPr>
          <w:p>
            <w:pPr>
              <w:spacing w:after="0"/>
              <w:rPr>
                <w:sz w:val="17"/>
                <w:szCs w:val="17"/>
                <w:color w:val="auto"/>
              </w:rPr>
            </w:pPr>
          </w:p>
        </w:tc>
      </w:tr>
      <w:tr>
        <w:trPr>
          <w:trHeight w:val="20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7"/>
                <w:szCs w:val="17"/>
                <w:color w:val="auto"/>
              </w:rPr>
            </w:pPr>
          </w:p>
        </w:tc>
      </w:tr>
      <w:tr>
        <w:trPr>
          <w:trHeight w:val="196"/>
        </w:trPr>
        <w:tc>
          <w:tcPr>
            <w:tcW w:w="558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4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severance expense</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520" w:type="dxa"/>
            <w:vAlign w:val="bottom"/>
            <w:gridSpan w:val="2"/>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-693420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-162560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6—Goodwill</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carrying value of goodwill as of and for the six months ended June 30, 2022 is as follows (in millions):</w:t>
      </w:r>
    </w:p>
    <w:p>
      <w:pPr>
        <w:sectPr>
          <w:pgSz w:w="11900" w:h="16838" w:orient="portrait"/>
          <w:cols w:equalWidth="0" w:num="1">
            <w:col w:w="11240"/>
          </w:cols>
          <w:pgMar w:left="320" w:top="324" w:right="339" w:bottom="1440" w:gutter="0" w:footer="0" w:header="0"/>
        </w:sectPr>
      </w:pP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1223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Acquisitions completed in the current year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Adjustments to prior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Effect of foreign currency translation</w:t>
      </w:r>
    </w:p>
    <w:p>
      <w:pPr>
        <w:spacing w:after="0" w:line="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June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7—Debt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At June 30, 2022 and December 31, 2021, debt consisted of the following (in millions):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2800" w:hanging="1170"/>
        <w:spacing w:after="0"/>
        <w:tabs>
          <w:tab w:leader="none" w:pos="2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8,045.5</w:t>
      </w:r>
    </w:p>
    <w:p>
      <w:pPr>
        <w:spacing w:after="0" w:line="27" w:lineRule="exact"/>
        <w:rPr>
          <w:rFonts w:ascii="Times New Roman" w:cs="Times New Roman" w:eastAsia="Times New Roman" w:hAnsi="Times New Roman"/>
          <w:sz w:val="18"/>
          <w:szCs w:val="18"/>
          <w:color w:val="auto"/>
        </w:rPr>
      </w:pPr>
    </w:p>
    <w:p>
      <w:pPr>
        <w:ind w:left="2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1,002.0</w:t>
      </w:r>
    </w:p>
    <w:p>
      <w:pPr>
        <w:spacing w:after="0" w:line="22" w:lineRule="exact"/>
        <w:rPr>
          <w:rFonts w:ascii="Times New Roman" w:cs="Times New Roman" w:eastAsia="Times New Roman" w:hAnsi="Times New Roman"/>
          <w:sz w:val="18"/>
          <w:szCs w:val="18"/>
          <w:color w:val="auto"/>
        </w:rPr>
      </w:pPr>
    </w:p>
    <w:p>
      <w:pPr>
        <w:ind w:left="3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w:t>
      </w:r>
    </w:p>
    <w:p>
      <w:pPr>
        <w:spacing w:after="0" w:line="22" w:lineRule="exact"/>
        <w:rPr>
          <w:rFonts w:ascii="Times New Roman" w:cs="Times New Roman" w:eastAsia="Times New Roman" w:hAnsi="Times New Roman"/>
          <w:sz w:val="18"/>
          <w:szCs w:val="18"/>
          <w:color w:val="auto"/>
        </w:rPr>
      </w:pPr>
    </w:p>
    <w:p>
      <w:pPr>
        <w:ind w:left="2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(181.0 )</w:t>
      </w:r>
    </w:p>
    <w:p>
      <w:pPr>
        <w:spacing w:after="0" w:line="21" w:lineRule="exact"/>
        <w:rPr>
          <w:sz w:val="20"/>
          <w:szCs w:val="20"/>
          <w:color w:val="auto"/>
        </w:rPr>
      </w:pPr>
    </w:p>
    <w:p>
      <w:pPr>
        <w:ind w:left="2800" w:hanging="1170"/>
        <w:spacing w:after="0"/>
        <w:tabs>
          <w:tab w:leader="none" w:pos="2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14605</wp:posOffset>
            </wp:positionV>
            <wp:extent cx="11055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31750</wp:posOffset>
            </wp:positionV>
            <wp:extent cx="11055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ind w:left="12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11" w:lineRule="exact"/>
        <w:rPr>
          <w:sz w:val="20"/>
          <w:szCs w:val="20"/>
          <w:color w:val="auto"/>
        </w:rPr>
      </w:pPr>
    </w:p>
    <w:p>
      <w:pPr>
        <w:sectPr>
          <w:pgSz w:w="11900" w:h="16838" w:orient="portrait"/>
          <w:cols w:equalWidth="0" w:num="2">
            <w:col w:w="6820" w:space="400"/>
            <w:col w:w="4020"/>
          </w:cols>
          <w:pgMar w:left="320" w:top="324" w:right="33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580" w:type="dxa"/>
            <w:vAlign w:val="bottom"/>
          </w:tcPr>
          <w:p>
            <w:pPr>
              <w:spacing w:after="0"/>
              <w:rPr>
                <w:sz w:val="14"/>
                <w:szCs w:val="14"/>
                <w:color w:val="auto"/>
              </w:rPr>
            </w:pPr>
          </w:p>
        </w:tc>
        <w:tc>
          <w:tcPr>
            <w:tcW w:w="6040" w:type="dxa"/>
            <w:vAlign w:val="bottom"/>
            <w:tcBorders>
              <w:top w:val="single" w:sz="8" w:color="CFF0FC"/>
            </w:tcBorders>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Senior secured credit facilities, weighted-average interest rate of 3.54% and</w:t>
            </w:r>
          </w:p>
        </w:tc>
        <w:tc>
          <w:tcPr>
            <w:tcW w:w="64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1.85%, respectively</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5,350.5</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3,974.5</w:t>
            </w:r>
          </w:p>
        </w:tc>
        <w:tc>
          <w:tcPr>
            <w:tcW w:w="34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5.5% senior notes due 2027</w:t>
            </w:r>
          </w:p>
        </w:tc>
        <w:tc>
          <w:tcPr>
            <w:tcW w:w="64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2,000.0</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indebtedness</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original issue discount and debt issuance costs</w:t>
            </w:r>
          </w:p>
        </w:tc>
        <w:tc>
          <w:tcPr>
            <w:tcW w:w="6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(59.4 )</w:t>
            </w:r>
          </w:p>
        </w:tc>
        <w:tc>
          <w:tcPr>
            <w:tcW w:w="6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(30.8 )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040" w:type="dxa"/>
            <w:vAlign w:val="bottom"/>
            <w:tcBorders>
              <w:top w:val="single" w:sz="8" w:color="CFF0F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7,292.3</w:t>
            </w:r>
          </w:p>
        </w:tc>
        <w:tc>
          <w:tcPr>
            <w:tcW w:w="280" w:type="dxa"/>
            <w:vAlign w:val="bottom"/>
            <w:tcBorders>
              <w:top w:val="single" w:sz="8" w:color="CFF0F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5,948.9</w:t>
            </w:r>
          </w:p>
        </w:tc>
        <w:tc>
          <w:tcPr>
            <w:tcW w:w="34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6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4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7,234.5</w:t>
            </w:r>
          </w:p>
        </w:tc>
        <w:tc>
          <w:tcPr>
            <w:tcW w:w="280" w:type="dxa"/>
            <w:vAlign w:val="bottom"/>
          </w:tcPr>
          <w:p>
            <w:pPr>
              <w:spacing w:after="0"/>
              <w:rPr>
                <w:sz w:val="18"/>
                <w:szCs w:val="18"/>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5,901.5</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4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60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-925195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-925195</wp:posOffset>
            </wp:positionV>
            <wp:extent cx="596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-642620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-642620</wp:posOffset>
            </wp:positionV>
            <wp:extent cx="596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06" w:lineRule="exact"/>
        <w:rPr>
          <w:sz w:val="20"/>
          <w:szCs w:val="20"/>
          <w:color w:val="auto"/>
        </w:rPr>
      </w:pPr>
    </w:p>
    <w:p>
      <w:pPr>
        <w:jc w:val="both"/>
        <w:ind w:right="160" w:firstLine="509"/>
        <w:spacing w:after="0" w:line="246" w:lineRule="auto"/>
        <w:rPr>
          <w:sz w:val="20"/>
          <w:szCs w:val="20"/>
          <w:color w:val="auto"/>
        </w:rPr>
      </w:pPr>
      <w:r>
        <w:rPr>
          <w:rFonts w:ascii="Times New Roman" w:cs="Times New Roman" w:eastAsia="Times New Roman" w:hAnsi="Times New Roman"/>
          <w:sz w:val="18"/>
          <w:szCs w:val="18"/>
          <w:color w:val="auto"/>
        </w:rPr>
        <w:t>On March 22, 2022, in connection with our acquisition of Blue Prism, we entered into an Incremental Joinder to the amended and restated credit agreement dated April 16, 2018 (“Credit Agreement”) with certain of our subsidiaries. Pursuant to the Incremental Joinder, a new $650.0 million senior secured incremental term loan B facility (“Term B-6 Loan”) and a new $880.0 million senior secured incremental term loan B facility (“Term B-7 Loan” and, together with the Term B-6 Loan, the “Incremental Term Loans”) was made available to us, the proceeds of which were used to finance substantially all of the consideration for the acquisition of Blue Prism.</w:t>
      </w:r>
    </w:p>
    <w:p>
      <w:pPr>
        <w:spacing w:after="0" w:line="8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Incremental Term Loans mature on March 22, 2029 and bear interest at, at our option, the Base Rate, plus 1.25% per annum or the Term Secured Overnight Financing Rate (“SOFR”), which is subject to a floor of 0.50%, plus a credit spread adjustment set forth in the Credit Agreement, plus 2.25% per annum. The Incremental Term Loans are also subject to a 1.00% repricing premium, which will be payable in connection with certain repricing transactions (if any) completed prior to the six-month anniversary of the incurrence of the Incremental Term Loans. In connection with the Incremental Joinder, we capitalized an aggregate of $37.7 million in financing costs during the six months ended June 30, 2022.</w:t>
      </w:r>
    </w:p>
    <w:p>
      <w:pPr>
        <w:spacing w:after="0" w:line="7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Except as described above, the terms, covenants and events of default applicable to the Incremental Term Loans are materially consistent with the terms, covenants and events of default applicable to the other term loans incurred under the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and fair values of financial instruments are as follows (in millions):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58"/>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416"/>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58"/>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16"/>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5,350.5</w:t>
            </w: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5,112.2</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 senior notes due 2027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facilities, revolving portion</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indebtedness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8—Stockholders’ Equity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In July 2021, our Board of Directors authorized a stock repurchase program, which enabled us to repurchase up to $1 billion in the aggregate of our outstanding common stock on the open market or in privately negotiated transactions until the one-year anniversary of the Board’s authorization, unless earlier terminated by the Board. In July 2022, our Board of Directors authorized a new stock repurchase program, which also enables us to repurchase up to $1 billion in the aggregate of our outstanding common stock on the open market or in privately negotiated transactions. Our authority to repurchase shares under the program will continue until the one-year anniversary of the Board’s authorization, unless earlier terminated by the Board. We did not repurchase any shares during the three months ended June 30, 2022. During the six months ended June 30, 2022, we repurchased 2.3 million shares of common stock for approximately $170.9 million. During the three and six months ended June 30, 2021, we repurchased 2.0 million and 4.7 million shares, respectively, of common stock for approximately $143.6 million and $325.0 million, respectively. We use the cost method to account for treasury stock purchases. Under the cost method, the price paid for the stock is charged to the treasury stock account.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0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paid quarterly cash dividends of $0.20 per share of common stock in each of March and June of 2022 totaling $102.4 million. We paid quarterly cash dividends of $0.16 per share of common stock in each of March and June of 2021 totaling $82.1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 balances, net of tax, consists of the following (in millions):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5" w:name="page16"/>
    <w:bookmarkEnd w:id="15"/>
    <w:tbl>
      <w:tblPr>
        <w:tblLayout w:type="fixed"/>
        <w:tblInd w:w="58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50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00" w:type="dxa"/>
            <w:vAlign w:val="bottom"/>
          </w:tcPr>
          <w:p>
            <w:pPr>
              <w:spacing w:after="0"/>
              <w:rPr>
                <w:sz w:val="14"/>
                <w:szCs w:val="14"/>
                <w:color w:val="auto"/>
              </w:rPr>
            </w:pPr>
          </w:p>
        </w:tc>
        <w:tc>
          <w:tcPr>
            <w:tcW w:w="132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52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73"/>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Swap</w:t>
            </w:r>
          </w:p>
        </w:tc>
        <w:tc>
          <w:tcPr>
            <w:tcW w:w="180" w:type="dxa"/>
            <w:vAlign w:val="bottom"/>
          </w:tcPr>
          <w:p>
            <w:pPr>
              <w:spacing w:after="0"/>
              <w:rPr>
                <w:sz w:val="15"/>
                <w:szCs w:val="15"/>
                <w:color w:val="auto"/>
              </w:rPr>
            </w:pPr>
          </w:p>
        </w:tc>
        <w:tc>
          <w:tcPr>
            <w:tcW w:w="132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5"/>
                <w:szCs w:val="15"/>
                <w:color w:val="auto"/>
              </w:rPr>
            </w:pPr>
          </w:p>
        </w:tc>
        <w:tc>
          <w:tcPr>
            <w:tcW w:w="132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5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Comprehensive Loss</w:t>
            </w:r>
          </w:p>
        </w:tc>
      </w:tr>
      <w:tr>
        <w:trPr>
          <w:trHeight w:val="16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6"/>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(263.4 )</w:t>
            </w:r>
          </w:p>
        </w:tc>
        <w:tc>
          <w:tcPr>
            <w:tcW w:w="100" w:type="dxa"/>
            <w:vAlign w:val="bottom"/>
          </w:tcPr>
          <w:p>
            <w:pPr>
              <w:spacing w:after="0"/>
              <w:rPr>
                <w:sz w:val="15"/>
                <w:szCs w:val="15"/>
                <w:color w:val="auto"/>
              </w:rPr>
            </w:pP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(1.1 )</w:t>
            </w:r>
          </w:p>
        </w:tc>
        <w:tc>
          <w:tcPr>
            <w:tcW w:w="5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(263.0 )</w:t>
            </w:r>
          </w:p>
        </w:tc>
      </w:tr>
      <w:tr>
        <w:trPr>
          <w:trHeight w:val="209"/>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June 30, 2022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(500.8</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560" w:type="dxa"/>
            <w:vAlign w:val="bottom"/>
            <w:tcBorders>
              <w:top w:val="single" w:sz="8" w:color="auto"/>
              <w:bottom w:val="single" w:sz="8" w:color="auto"/>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Adjustments to accumulated other comprehensive loss are as follows (in millions):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8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40" w:type="dxa"/>
            <w:vAlign w:val="bottom"/>
          </w:tcPr>
          <w:p>
            <w:pPr>
              <w:spacing w:after="0"/>
              <w:rPr>
                <w:sz w:val="11"/>
                <w:szCs w:val="11"/>
                <w:color w:val="auto"/>
              </w:rPr>
            </w:pPr>
          </w:p>
        </w:tc>
        <w:tc>
          <w:tcPr>
            <w:tcW w:w="9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80" w:type="dxa"/>
            <w:vAlign w:val="bottom"/>
          </w:tcPr>
          <w:p>
            <w:pPr>
              <w:spacing w:after="0"/>
              <w:rPr>
                <w:sz w:val="11"/>
                <w:szCs w:val="11"/>
                <w:color w:val="auto"/>
              </w:rPr>
            </w:pPr>
          </w:p>
        </w:tc>
        <w:tc>
          <w:tcPr>
            <w:tcW w:w="10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7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520" w:type="dxa"/>
            <w:vAlign w:val="bottom"/>
          </w:tcPr>
          <w:p>
            <w:pPr>
              <w:jc w:val="right"/>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Tax</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0" w:type="dxa"/>
            <w:vAlign w:val="bottom"/>
          </w:tcPr>
          <w:p>
            <w:pPr>
              <w:spacing w:after="0"/>
              <w:rPr>
                <w:sz w:val="1"/>
                <w:szCs w:val="1"/>
                <w:color w:val="auto"/>
              </w:rPr>
            </w:pPr>
          </w:p>
        </w:tc>
      </w:tr>
      <w:tr>
        <w:trPr>
          <w:trHeight w:val="78"/>
        </w:trPr>
        <w:tc>
          <w:tcPr>
            <w:tcW w:w="2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880" w:type="dxa"/>
            <w:vAlign w:val="bottom"/>
            <w:shd w:val="clear" w:color="auto" w:fill="CFF0FC"/>
          </w:tcPr>
          <w:p>
            <w:pPr>
              <w:ind w:left="100"/>
              <w:spacing w:after="0" w:line="139" w:lineRule="exact"/>
              <w:rPr>
                <w:sz w:val="20"/>
                <w:szCs w:val="20"/>
                <w:color w:val="auto"/>
              </w:rPr>
            </w:pPr>
            <w:r>
              <w:rPr>
                <w:rFonts w:ascii="Times New Roman" w:cs="Times New Roman" w:eastAsia="Times New Roman" w:hAnsi="Times New Roman"/>
                <w:sz w:val="14"/>
                <w:szCs w:val="14"/>
                <w:color w:val="auto"/>
              </w:rPr>
              <w:t>Unrealized gains (losses) on interest rate</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(0.3 )</w:t>
            </w:r>
          </w:p>
        </w:tc>
        <w:tc>
          <w:tcPr>
            <w:tcW w:w="40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FF0FC"/>
          </w:tcPr>
          <w:p>
            <w:pPr>
              <w:spacing w:after="0"/>
              <w:rPr>
                <w:sz w:val="12"/>
                <w:szCs w:val="12"/>
                <w:color w:val="auto"/>
              </w:rPr>
            </w:pPr>
          </w:p>
        </w:tc>
        <w:tc>
          <w:tcPr>
            <w:tcW w:w="480" w:type="dxa"/>
            <w:vAlign w:val="bottom"/>
            <w:gridSpan w:val="2"/>
            <w:vMerge w:val="restart"/>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(0.5 )</w:t>
            </w: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85"/>
        </w:trPr>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swaps</w:t>
            </w:r>
          </w:p>
        </w:tc>
        <w:tc>
          <w:tcPr>
            <w:tcW w:w="140" w:type="dxa"/>
            <w:vAlign w:val="bottom"/>
            <w:vMerge w:val="continue"/>
            <w:shd w:val="clear" w:color="auto" w:fill="CFF0FC"/>
          </w:tcPr>
          <w:p>
            <w:pPr>
              <w:spacing w:after="0"/>
              <w:rPr>
                <w:sz w:val="16"/>
                <w:szCs w:val="16"/>
                <w:color w:val="auto"/>
              </w:rPr>
            </w:pPr>
          </w:p>
        </w:tc>
        <w:tc>
          <w:tcPr>
            <w:tcW w:w="740" w:type="dxa"/>
            <w:vAlign w:val="bottom"/>
            <w:gridSpan w:val="2"/>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66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gridSpan w:val="2"/>
            <w:vMerge w:val="continue"/>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8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Reclassification of losses into net earnings on</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(0.7 )</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change in cash flow hedges</w:t>
            </w:r>
          </w:p>
        </w:tc>
        <w:tc>
          <w:tcPr>
            <w:tcW w:w="140" w:type="dxa"/>
            <w:vAlign w:val="bottom"/>
            <w:shd w:val="clear" w:color="auto" w:fill="CFF0FC"/>
          </w:tcPr>
          <w:p>
            <w:pPr>
              <w:spacing w:after="0"/>
              <w:rPr>
                <w:sz w:val="20"/>
                <w:szCs w:val="2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shd w:val="clear" w:color="auto" w:fill="CFF0FC"/>
          </w:tcPr>
          <w:p>
            <w:pPr>
              <w:spacing w:after="0"/>
              <w:rPr>
                <w:sz w:val="20"/>
                <w:szCs w:val="20"/>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FF0FC"/>
          </w:tcPr>
          <w:p>
            <w:pPr>
              <w:spacing w:after="0"/>
              <w:rPr>
                <w:sz w:val="20"/>
                <w:szCs w:val="20"/>
                <w:color w:val="auto"/>
              </w:rPr>
            </w:pPr>
          </w:p>
        </w:tc>
        <w:tc>
          <w:tcPr>
            <w:tcW w:w="9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20"/>
                <w:szCs w:val="2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(0.5 )</w:t>
            </w:r>
          </w:p>
        </w:tc>
        <w:tc>
          <w:tcPr>
            <w:tcW w:w="180" w:type="dxa"/>
            <w:vAlign w:val="bottom"/>
            <w:shd w:val="clear" w:color="auto" w:fill="CFF0FC"/>
          </w:tcPr>
          <w:p>
            <w:pPr>
              <w:spacing w:after="0"/>
              <w:rPr>
                <w:sz w:val="20"/>
                <w:szCs w:val="20"/>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64"/>
        </w:trPr>
        <w:tc>
          <w:tcPr>
            <w:tcW w:w="28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6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660" w:type="dxa"/>
            <w:vAlign w:val="bottom"/>
            <w:gridSpan w:val="2"/>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80" w:type="dxa"/>
            <w:vAlign w:val="bottom"/>
            <w:gridSpan w:val="2"/>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20" w:type="dxa"/>
            <w:vAlign w:val="bottom"/>
            <w:gridSpan w:val="2"/>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680" w:type="dxa"/>
            <w:vAlign w:val="bottom"/>
            <w:gridSpan w:val="2"/>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36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80" w:type="dxa"/>
            <w:vAlign w:val="bottom"/>
            <w:shd w:val="clear" w:color="auto" w:fill="CFF0FC"/>
          </w:tcPr>
          <w:p>
            <w:pPr>
              <w:ind w:left="100"/>
              <w:spacing w:after="0" w:line="139" w:lineRule="exact"/>
              <w:rPr>
                <w:sz w:val="20"/>
                <w:szCs w:val="20"/>
                <w:color w:val="auto"/>
              </w:rPr>
            </w:pPr>
            <w:r>
              <w:rPr>
                <w:rFonts w:ascii="Times New Roman" w:cs="Times New Roman" w:eastAsia="Times New Roman" w:hAnsi="Times New Roman"/>
                <w:sz w:val="14"/>
                <w:szCs w:val="14"/>
                <w:color w:val="auto"/>
              </w:rPr>
              <w:t>Unrealized net losses on defined benefit</w:t>
            </w: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(0.8 )</w:t>
            </w:r>
          </w:p>
        </w:tc>
        <w:tc>
          <w:tcPr>
            <w:tcW w:w="18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pension plan</w:t>
            </w:r>
          </w:p>
        </w:tc>
        <w:tc>
          <w:tcPr>
            <w:tcW w:w="14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defined benefit pension</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(0.8 )</w:t>
            </w: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5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period translation adjustments</w:t>
            </w:r>
          </w:p>
        </w:tc>
        <w:tc>
          <w:tcPr>
            <w:tcW w:w="140" w:type="dxa"/>
            <w:vAlign w:val="bottom"/>
          </w:tcPr>
          <w:p>
            <w:pPr>
              <w:spacing w:after="0"/>
              <w:rPr>
                <w:sz w:val="21"/>
                <w:szCs w:val="2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(246.8 )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21"/>
                <w:szCs w:val="21"/>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(276.5 )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
        </w:trPr>
        <w:tc>
          <w:tcPr>
            <w:tcW w:w="2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cumulative translation adjustments</w:t>
            </w:r>
          </w:p>
        </w:tc>
        <w:tc>
          <w:tcPr>
            <w:tcW w:w="140" w:type="dxa"/>
            <w:vAlign w:val="bottom"/>
            <w:shd w:val="clear" w:color="auto" w:fill="CFF0FC"/>
          </w:tcPr>
          <w:p>
            <w:pPr>
              <w:spacing w:after="0"/>
              <w:rPr>
                <w:sz w:val="20"/>
                <w:szCs w:val="20"/>
                <w:color w:val="auto"/>
              </w:rPr>
            </w:pPr>
          </w:p>
        </w:tc>
        <w:tc>
          <w:tcPr>
            <w:tcW w:w="7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(246.8 )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FF0FC"/>
          </w:tcPr>
          <w:p>
            <w:pPr>
              <w:spacing w:after="0"/>
              <w:rPr>
                <w:sz w:val="20"/>
                <w:szCs w:val="20"/>
                <w:color w:val="auto"/>
              </w:rPr>
            </w:pP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(276.5 )</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8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40" w:type="dxa"/>
            <w:vAlign w:val="bottom"/>
            <w:gridSpan w:val="2"/>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44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20" w:type="dxa"/>
            <w:vAlign w:val="bottom"/>
            <w:gridSpan w:val="2"/>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60" w:type="dxa"/>
            <w:vAlign w:val="bottom"/>
            <w:gridSpan w:val="2"/>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48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36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2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other comprehensive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(246.4 )</w:t>
            </w:r>
          </w:p>
        </w:tc>
        <w:tc>
          <w:tcPr>
            <w:tcW w:w="4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(274.8 )</w:t>
            </w:r>
          </w:p>
        </w:tc>
        <w:tc>
          <w:tcPr>
            <w:tcW w:w="4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0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-1207770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-1207770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-1207770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-1207770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-1207770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-1207770</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-1207770</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-1207770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-890905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-890905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-890905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-890905</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-890905</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-890905</wp:posOffset>
            </wp:positionV>
            <wp:extent cx="596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-890905</wp:posOffset>
            </wp:positionV>
            <wp:extent cx="596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-213995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-213995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-213995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-213995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-213995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-213995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-213995</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-213995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9—Variable Interest Entity</w:t>
      </w:r>
    </w:p>
    <w:p>
      <w:pPr>
        <w:spacing w:after="0" w:line="112" w:lineRule="exact"/>
        <w:rPr>
          <w:sz w:val="20"/>
          <w:szCs w:val="20"/>
          <w:color w:val="auto"/>
        </w:rPr>
      </w:pPr>
    </w:p>
    <w:p>
      <w:pPr>
        <w:ind w:right="120" w:firstLine="569"/>
        <w:spacing w:after="0" w:line="255" w:lineRule="auto"/>
        <w:rPr>
          <w:sz w:val="20"/>
          <w:szCs w:val="20"/>
          <w:color w:val="auto"/>
        </w:rPr>
      </w:pPr>
      <w:r>
        <w:rPr>
          <w:rFonts w:ascii="Times New Roman" w:cs="Times New Roman" w:eastAsia="Times New Roman" w:hAnsi="Times New Roman"/>
          <w:sz w:val="18"/>
          <w:szCs w:val="18"/>
          <w:color w:val="auto"/>
        </w:rPr>
        <w:t>On July 15, 2021, we entered into an agreement whereby we obtained an 80.2% interest in DomaniRx,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DomaniRx</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a variable interest 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spacing w:after="0" w:line="65" w:lineRule="exact"/>
        <w:rPr>
          <w:sz w:val="20"/>
          <w:szCs w:val="20"/>
          <w:color w:val="auto"/>
        </w:rPr>
      </w:pPr>
    </w:p>
    <w:p>
      <w:pPr>
        <w:ind w:right="200" w:firstLine="569"/>
        <w:spacing w:after="0" w:line="266" w:lineRule="auto"/>
        <w:rPr>
          <w:sz w:val="20"/>
          <w:szCs w:val="20"/>
          <w:color w:val="auto"/>
        </w:rPr>
      </w:pPr>
      <w:r>
        <w:rPr>
          <w:rFonts w:ascii="Times New Roman" w:cs="Times New Roman" w:eastAsia="Times New Roman" w:hAnsi="Times New Roman"/>
          <w:sz w:val="18"/>
          <w:szCs w:val="18"/>
          <w:color w:val="auto"/>
        </w:rPr>
        <w:t>The carrying value of the assets and liabilities associated with DomaniRx included in our condensed consolidated balance sheet as of June 30, 2022, which are limited for use in its operations and do not have recourse against our general credit or our senior secured credit facilities, are as follows:</w:t>
      </w:r>
    </w:p>
    <w:p>
      <w:pPr>
        <w:spacing w:after="0" w:line="115"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10—Revenues</w:t>
      </w:r>
    </w:p>
    <w:p>
      <w:pPr>
        <w:spacing w:after="0" w:line="108" w:lineRule="exact"/>
        <w:rPr>
          <w:sz w:val="20"/>
          <w:szCs w:val="20"/>
          <w:color w:val="auto"/>
        </w:rPr>
      </w:pPr>
    </w:p>
    <w:p>
      <w:pPr>
        <w:ind w:firstLine="569"/>
        <w:spacing w:after="0" w:line="245" w:lineRule="auto"/>
        <w:rPr>
          <w:sz w:val="20"/>
          <w:szCs w:val="20"/>
          <w:color w:val="auto"/>
        </w:rPr>
      </w:pPr>
      <w:r>
        <w:rPr>
          <w:rFonts w:ascii="Times New Roman" w:cs="Times New Roman" w:eastAsia="Times New Roman" w:hAnsi="Times New Roman"/>
          <w:sz w:val="18"/>
          <w:szCs w:val="18"/>
          <w:color w:val="auto"/>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level of service the client requires. Revenues from professional services consist mostly of services provided on a time and materials basis.</w:t>
      </w:r>
    </w:p>
    <w:p>
      <w:pPr>
        <w:spacing w:after="0" w:line="154" w:lineRule="exact"/>
        <w:rPr>
          <w:sz w:val="20"/>
          <w:szCs w:val="20"/>
          <w:color w:val="auto"/>
        </w:rPr>
      </w:pPr>
    </w:p>
    <w:p>
      <w:pPr>
        <w:ind w:right="380" w:firstLine="569"/>
        <w:spacing w:after="0" w:line="250" w:lineRule="auto"/>
        <w:rPr>
          <w:sz w:val="20"/>
          <w:szCs w:val="20"/>
          <w:color w:val="auto"/>
        </w:rPr>
      </w:pPr>
      <w:r>
        <w:rPr>
          <w:rFonts w:ascii="Times New Roman" w:cs="Times New Roman" w:eastAsia="Times New Roman" w:hAnsi="Times New Roman"/>
          <w:sz w:val="18"/>
          <w:szCs w:val="18"/>
          <w:color w:val="auto"/>
        </w:rPr>
        <w:t>Deferred revenues primarily represent unrecognized fees billed or collected for maintenance and professional services. Deferred revenues are recognized as (or when) we perform under the contract. Deferred revenues are recorded on a net basis with contract assets at the contract level. Accordingly, as of June 30, 2022 and December 31, 2021, approximately $64.8 million and $61.0</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1" w:right="399" w:bottom="1440" w:gutter="0" w:footer="0" w:header="0"/>
        </w:sectPr>
      </w:pPr>
    </w:p>
    <w:bookmarkStart w:id="16" w:name="page17"/>
    <w:bookmarkEnd w:id="16"/>
    <w:p>
      <w:pPr>
        <w:ind w:right="20" w:firstLine="45"/>
        <w:spacing w:after="0" w:line="250" w:lineRule="auto"/>
        <w:rPr>
          <w:sz w:val="20"/>
          <w:szCs w:val="20"/>
          <w:color w:val="auto"/>
        </w:rPr>
      </w:pPr>
      <w:r>
        <w:rPr>
          <w:rFonts w:ascii="Times New Roman" w:cs="Times New Roman" w:eastAsia="Times New Roman" w:hAnsi="Times New Roman"/>
          <w:sz w:val="18"/>
          <w:szCs w:val="18"/>
          <w:color w:val="auto"/>
        </w:rPr>
        <w:t>million, respectively, of deferred revenue is presented net within contract assets arising from the same contracts. The amount of revenues recognized in the period that was included in the opening deferred revenues balance was $75.2 million and $181.3 million for the three and six months ended June 30, 2022, respectively. The amount of revenues recognized in the period that was included in the opening deferred revenue balance was $78.7 million and $181.8 million for the three and six months ended June 30, 2021, respectively.</w:t>
      </w:r>
    </w:p>
    <w:p>
      <w:pPr>
        <w:spacing w:after="0" w:line="137" w:lineRule="exact"/>
        <w:rPr>
          <w:sz w:val="20"/>
          <w:szCs w:val="20"/>
          <w:color w:val="auto"/>
        </w:rPr>
      </w:pPr>
    </w:p>
    <w:p>
      <w:pPr>
        <w:ind w:right="240" w:firstLine="360"/>
        <w:spacing w:after="0" w:line="282" w:lineRule="auto"/>
        <w:rPr>
          <w:sz w:val="20"/>
          <w:szCs w:val="20"/>
          <w:color w:val="auto"/>
        </w:rPr>
      </w:pPr>
      <w:r>
        <w:rPr>
          <w:rFonts w:ascii="Times New Roman" w:cs="Times New Roman" w:eastAsia="Times New Roman" w:hAnsi="Times New Roman"/>
          <w:sz w:val="18"/>
          <w:szCs w:val="18"/>
          <w:color w:val="auto"/>
        </w:rPr>
        <w:t>As of June 30, 2022, revenue of approximately $933.4 million is expected to be recognized from remaining performance obligations for license, maintenance and related revenues, of which $480.8 million is expected to be recognized over the next twelve months.</w:t>
      </w:r>
    </w:p>
    <w:p>
      <w:pPr>
        <w:spacing w:after="0" w:line="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record revenue net of any taxes assessed by governmental authorities.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Disaggregation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disaggregates our revenues by geography (in millions):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(excluding United Kingdom), Middle East and Africa</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Asia-Pacific and Japan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Americas, excluding United States and Canada</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r>
      <w:tr>
        <w:trPr>
          <w:trHeight w:val="250"/>
        </w:trPr>
        <w:tc>
          <w:tcPr>
            <w:tcW w:w="51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disaggregates our revenues by source (in millions):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2,100.5</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term licenses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r>
      <w:tr>
        <w:trPr>
          <w:trHeight w:val="250"/>
        </w:trPr>
        <w:tc>
          <w:tcPr>
            <w:tcW w:w="48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596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 Based Compensation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tock options, SARs and PSUs</w:t>
      </w:r>
    </w:p>
    <w:p>
      <w:pPr>
        <w:spacing w:after="0" w:line="21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amount of stock-based compensation expense recognized in our Condensed Consolidated Statements of Comprehensive Income for the three and six months ended June 30, 2022 and 2021 was as follows (in millions):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w:t>
            </w:r>
          </w:p>
        </w:tc>
        <w:tc>
          <w:tcPr>
            <w:tcW w:w="270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20" w:type="dxa"/>
            <w:vAlign w:val="bottom"/>
            <w:gridSpan w:val="2"/>
            <w:vMerge w:val="continue"/>
          </w:tcPr>
          <w:p>
            <w:pPr>
              <w:spacing w:after="0"/>
              <w:rPr>
                <w:sz w:val="11"/>
                <w:szCs w:val="11"/>
                <w:color w:val="auto"/>
              </w:rPr>
            </w:pPr>
          </w:p>
        </w:tc>
        <w:tc>
          <w:tcPr>
            <w:tcW w:w="98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1"/>
                <w:szCs w:val="11"/>
                <w:color w:val="auto"/>
              </w:rPr>
            </w:pPr>
          </w:p>
        </w:tc>
        <w:tc>
          <w:tcPr>
            <w:tcW w:w="12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Classification</w:t>
            </w:r>
          </w:p>
        </w:tc>
        <w:tc>
          <w:tcPr>
            <w:tcW w:w="9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software-enabled services</w:t>
            </w:r>
          </w:p>
        </w:tc>
        <w:tc>
          <w:tcPr>
            <w:tcW w:w="14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4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license, maintenance and other related</w:t>
            </w: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cost of revenues</w:t>
            </w:r>
          </w:p>
        </w:tc>
        <w:tc>
          <w:tcPr>
            <w:tcW w:w="9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9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80" w:type="dxa"/>
            <w:vAlign w:val="bottom"/>
            <w:gridSpan w:val="2"/>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5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5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-693420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-693420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-693420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-693420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-162560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-162560</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-162560</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13" w:right="579" w:bottom="1440" w:gutter="0" w:footer="0" w:header="0"/>
        </w:sectPr>
      </w:pPr>
    </w:p>
    <w:bookmarkStart w:id="17" w:name="page18"/>
    <w:bookmarkEnd w:id="17"/>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The following table summarizes stock option and stock appreciation rights (“SARs”) activity, as well as performance stock units (“PSUs”) activity, for the six months ended June 30, 2022 (shares in millions):</w:t>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Stock Options and</w:t>
            </w:r>
          </w:p>
        </w:tc>
        <w:tc>
          <w:tcPr>
            <w:tcW w:w="14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PSUs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SARs</w:t>
            </w:r>
          </w:p>
        </w:tc>
        <w:tc>
          <w:tcPr>
            <w:tcW w:w="1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(1.3 )</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20" w:type="dxa"/>
            <w:vAlign w:val="bottom"/>
            <w:tcBorders>
              <w:top w:val="single" w:sz="8" w:color="CFF0FC"/>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-170815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431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2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effective tax rate was 29.1% and 28.8% for the three months ended June 30, 2022 and 2021, respectively, and 27.9% and 27.4% for the six months ended June 30, 2022 and 2021, respectively. The change in the effective tax rate for the three and six months ended June 30, 2022 compared to the respective prior year periods was primarily due a decrease in recognition of windfall tax benefits from stock awards in the current year, an increase in valuation allowances on deferred tax assets in the current year and a proportionate change in the composition of income before income taxes from foreign and domestic tax jurisdictions. In addition, the effective tax rate for the three and six months ended June 30, 2021 included tax expense related to a law change in the United Kingdom.</w:t>
      </w:r>
    </w:p>
    <w:p>
      <w:pPr>
        <w:spacing w:after="0" w:line="74"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we recorded a net deferred tax liability of $118.9 million related primarily to acquired intangible assets in the allocation of the purchase price for the acquisitions of Blue Prism and Hubwise, which will not be deductible for tax purposes and is partially offset by net operating loss carryforwards.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13—Earnings per Share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(in millions, except per share amounts):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SS&amp;C common stockholders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attributable to SS&amp;C:</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Weighted-average common shares outstanding – used in calculation of</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EPS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48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Weighted-average common stock equivalents – stock options and</w:t>
            </w:r>
          </w:p>
        </w:tc>
        <w:tc>
          <w:tcPr>
            <w:tcW w:w="14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4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Weighted-average common and common equivalent shares outstanding –</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used in calculation of diluted EPS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80" w:type="dxa"/>
            <w:vAlign w:val="bottom"/>
            <w:gridSpan w:val="2"/>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SS&amp;C common stockholders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SS&amp;C common stockholders –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-676275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-676275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-676275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-676275</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Stock options, SARs and PSUs representing 22.7 million and 16.4 million shares were outstanding for the three and six months ended June 30, 2022, respectively, but were not included in the computation of diluted EPS because the effect of including them would be anti-dilutive. Stock options, SARs and PSUs representing 8.7 million and 15.8 million shares were outstanding for the three and six months ended June 30, 2021, respectively, but were not included in the computation of diluted EPS because the effect of including them would be anti-dilutive.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14—Commitments and Contingencies</w:t>
      </w:r>
    </w:p>
    <w:p>
      <w:pPr>
        <w:spacing w:after="0" w:line="10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0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the third quarter of 2021, in connection with the ongoing DST ERISA matters and associated legal proceedings described below, including the arbitration awards, we recorded an accrued liability and expense of $43.4 million to Other (expense)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8" w:name="page19"/>
    <w:bookmarkEnd w:id="18"/>
    <w:p>
      <w:pPr>
        <w:ind w:right="120"/>
        <w:spacing w:after="0" w:line="282" w:lineRule="auto"/>
        <w:rPr>
          <w:sz w:val="20"/>
          <w:szCs w:val="20"/>
          <w:color w:val="auto"/>
        </w:rPr>
      </w:pPr>
      <w:r>
        <w:rPr>
          <w:rFonts w:ascii="Times New Roman" w:cs="Times New Roman" w:eastAsia="Times New Roman" w:hAnsi="Times New Roman"/>
          <w:sz w:val="18"/>
          <w:szCs w:val="18"/>
          <w:color w:val="auto"/>
        </w:rPr>
        <w:t>income, net on the Condensed Consolidated Statement of Comprehensive Income. Due to the inherent uncertainties associated with the resolution of these matters, the ultimate resolution of and any additional potential exposure related to these matters are uncertain at this time.</w:t>
      </w:r>
    </w:p>
    <w:p>
      <w:pPr>
        <w:spacing w:after="0" w:line="40"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7"/>
          <w:szCs w:val="17"/>
          <w:color w:val="auto"/>
        </w:rPr>
        <w:t>On September 1, 2017, a putative representative action was filed on behalf of the DST 401(k) Profit Sharing Plan (the “Plan”) in the United States District Court for the Southern District of New York, captioned Ferguson, et al v. Ruane Cunniff &amp; Goldfarb Inc., et al. (“Ferguson”), naming as defendants DST, the Compensation Committee of DST’s Board of Directors, the Advisory Committee of the Plan and certain of DST’s present and/or former officers and directors (collectively the “DST Defendants”), alleging breach of fiduciary duties and other violations of the Employee Retirement Income Security Act (“ERISA”). The DST Defendants answered the operative complaint and asserted crossclaims for contribution and/or indemnification against Ruane,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Cunniff &amp; Goldfarb Inc.(“Ruane”)‌. On January 9, 2020, Ruane filed an amended answer to the amended complaint and asserted crossclaims for contribution and/or indemnification against DST. Both DST and Ruane have filed answers denying the crossclaims asserted against them. On March 8, 2021, the Court entered an order denying without prejudice the plaintiffs’ (the “Ferguson Plaintiffs”) then-pending motions for leave to file a third amended complaint and for class certification, ordering that the parties address the effect, if any, on the Ferguson Plaintiffs’ motions of the March 4, 2021 decision by the United States Court of Appeals for the Second Circuit Court in Cooper v. Ruane Cunniff &amp; Goldfarb Inc. The Ferguson Plaintiffs renewed their motions for leave to file a third amended complaint and for class certification, which motions were fully briefed on May 10, 2021. On August 17, 2021, the Court entered an order certifying a mandatory, non-opt-out class under Federal Rule of Civil Procedure 23(b)(1) that includes all plan participants other than certain plan fiduciaries. Arbitration Claimants, and the Canfield Plaintiffs and Mendon Plaintiffs, each as defined below, filed petitions under Federal Rule of Civil Procedure 23(f) with the Second Circuit on August 30, 2021 and August 31, 2021, respectively, seeking interlocutory review of the Ferguson class certification order, which the Ferguson Plaintiffs and the DST Defendants opposed. The Second Circuit denied the Rule 23(f) petitions on May 24, 2022 and May 25, 2022, respectively. On August 23, 2021, the DST Defendants moved for a temporary restraining order and preliminary injunction against other proceedings, including the below-described arbitrations, which arise out of or relate to the allegations in Ferguson. Following briefing, on November 18, 2021, the Court granted the DST Defendants’ motion and entered a preliminary injunction enjoining the Ferguson class members, including Arbitration Claimants, from instituting new actions or litigating in arbitration or other proceedings against the DST Defendants matters arising out of or relating to the facts or transactions alleged in the Ferguson amended complaint. On November 18, 2021, the Court also ordered the DST Defendants and Arbitration Claimants to submit briefing regarding how the arbitration awards that have been entered against the DST Defendants should be handled in light of the Court’s class certification order and preliminary injunction.</w:t>
      </w:r>
    </w:p>
    <w:p>
      <w:pPr>
        <w:spacing w:after="0" w:line="8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On December 15, 2021, Arbitration Claimants and the Canfield Plaintiffs and Mendon Plaintiffs filed appeals of the Court’s preliminary injunction. On December 23, 2021, the DST Defendants, Arbitration Claimants, and the Ferguson Plaintiffs submitted briefs concerning the treatment of the arbitration awards that have been entered against the DST Defendants, and further briefing by the DST Defendants and Arbitration Claimants was submitted on January 26, 2022. On December 31, 2021, Arbitration Claimants moved by order to show cause for an immediate stay of the preliminary injunction pending their appeal to the Second Circuit. On January 3, 2022, the Court denied Arbitration Claimants' motion for an immediate stay and ordered the DST Defendants to show cause as to why the Court should not issue a stay of the preliminary injunction pending appeal. The show-cause order was fully briefed on January 10, 2022. On February 3, 2022, the Court denied Arbitration Claimants’ motion to stay the preliminary injunction pending appeal. In the same order, the Court held that it would determine the status of the arbitration awards already entered against DST at final judgment in the Ferguson action, either after trial or after settlement. On February 4, 2022, Arbitration Claimants filed a motion in the Second Circuit to stay the preliminary injunction pending their appeal of the Court’s preliminary injunction. On June 7, 2022, the Second Circuit denied Arbitration Claimants’ motion to stay the preliminary injunction pending appeal. On February 8, 2022, Arbitration Claimants and the Canfield and Mendon Plaintiffs noticed an appeal of the Court’s February 3, 2022 order. The February 8, 2022 appeal was consolidated with the December 15, 2021 appeal of the preliminary injunction. On May 17, 2022, Arbitration Claimants and the Canfield and Mendon Plaintiffs filed their opening brief in the consolidated appeals. The DST Defendants’ answering brief is due on September 15, 2022.</w:t>
      </w:r>
    </w:p>
    <w:p>
      <w:pPr>
        <w:spacing w:after="0" w:line="75" w:lineRule="exact"/>
        <w:rPr>
          <w:sz w:val="20"/>
          <w:szCs w:val="20"/>
          <w:color w:val="auto"/>
        </w:rPr>
      </w:pPr>
    </w:p>
    <w:p>
      <w:pPr>
        <w:ind w:right="60" w:firstLine="509"/>
        <w:spacing w:after="0" w:line="210" w:lineRule="exact"/>
        <w:rPr>
          <w:sz w:val="20"/>
          <w:szCs w:val="20"/>
          <w:color w:val="auto"/>
        </w:rPr>
      </w:pPr>
      <w:r>
        <w:rPr>
          <w:rFonts w:ascii="Times New Roman" w:cs="Times New Roman" w:eastAsia="Times New Roman" w:hAnsi="Times New Roman"/>
          <w:sz w:val="18"/>
          <w:szCs w:val="18"/>
          <w:color w:val="auto"/>
        </w:rPr>
        <w:t>On July 10, 2020, the Ferguson Plaintiffs and the DST Defendants reached an agreement in principle to settle the class claims for $27 million, subject to the occurrence of certain conditions, including: Court certification of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opt-out” class in the case that includes as class members all participants of the Plan, Court approval of the settlement in accordance with applicable law and the satisfactory resolution of claims made by certain other litigants. On September 18, 2020, the parties submitted a letter to the Court disclosing that the Ferguson Plaintiffs and Ruane also had reached a settlement in principle, subject to Court approval. The Ferguson Plaintiffs and the DST Defendants entered into a settlement agreement dated January 8, 2021 memorializing the terms of their proposed settlement, which was filed by the Ferguson Plaintiffs with the Court on the same date. On January 12, 2021, the Ferguson Plaintiffs moved for preliminary approval of the settlement with the DST Defendants, as well as preliminary approval of a separate settlement reached between the Ferguson Plaintiffs and Ruane. Arbitration Claimants and the U.S. Department of Labor (“DOL”) objected to various aspects of those settlements in filings dated January 15, 2021, January 27, 2021, and February 5, 2021. On August 17, 2021, the Court denied the Ferguson Plaintiffs’ motion for preliminary approval of the settlement on the terms proposed.</w:t>
      </w:r>
    </w:p>
    <w:p>
      <w:pPr>
        <w:spacing w:after="0" w:line="7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September 28, 2018, a complaint was filed in the United States District Court for the Southern District of New York captioned Robert Canfield, et al. v. SS&amp;C Technologies Holdings, Inc., et al., on behalf of five individual plaintiffs (the “Canfield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9" w:name="page20"/>
    <w:bookmarkEnd w:id="19"/>
    <w:p>
      <w:pPr>
        <w:ind w:right="20"/>
        <w:spacing w:after="0" w:line="243" w:lineRule="auto"/>
        <w:rPr>
          <w:sz w:val="20"/>
          <w:szCs w:val="20"/>
          <w:color w:val="auto"/>
        </w:rPr>
      </w:pPr>
      <w:r>
        <w:rPr>
          <w:rFonts w:ascii="Times New Roman" w:cs="Times New Roman" w:eastAsia="Times New Roman" w:hAnsi="Times New Roman"/>
          <w:sz w:val="18"/>
          <w:szCs w:val="18"/>
          <w:color w:val="auto"/>
        </w:rPr>
        <w:t>Plaintiffs”). On November 5, 2018, a similar complaint was filed in the United States District Court for the Southern District of New York captioned Mark Mendon, et al. v. SS&amp;C Technologies Holdings, Inc., et al., on behalf of two individual plaintiffs (the “Mendon Plaintiffs”). These complaints name as defendants SS&amp;C, the DST Defendants, and Ruane. The underlying claim in each complaint is the same as in the above-described Ferguson matter, with the exception that these actions purport to be brought as individual actions and not putative class actions. On July 10, 2020, the Court entered an order granting the DST Defendants’ motion to disqualify plaintiffs’ counsel in the Canfield and Mendon actions. On March 17, 2021, the Court issued an opinion and order denying the DST Defendants’ motion to disqualify counsel from the arbitrations described below. On April 12, 2021, the Canfield Plaintiffs and Mendon Plaintiffs filed notices of voluntary dismissal dismissing their claims against Ruane with prejudice, which were entered by the Court on April 13, 2021. On April 22, 2021, the DST Defendants filed motions to dismiss the Canfield and Mendon actions. Those motions were fully briefed on May 28,</w:t>
      </w:r>
    </w:p>
    <w:p>
      <w:pPr>
        <w:spacing w:after="0" w:line="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2021. On November 19, 2021, the Court dismissed the Canfield and Mendon actions. On December 17, 2021, the Canfield Plaintiffs and Mendon Plaintiffs appealed the Court’s November 19, 2021 orders dismissing their respective actions to the Second Circuit. On May 17, 2022, the Canfield Plaintiffs and Mendon Plaintiffs filed their opening briefs in those appeals. The DST Defendants’ answering briefs are due on September 15, 2022.</w:t>
      </w:r>
    </w:p>
    <w:p>
      <w:pPr>
        <w:spacing w:after="0" w:line="9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On October 8, 2019, a substantially similar action to the above-described Ferguson, Canfield, Mendon and below-described arbitration matters captioned Scalia v. Ruane, Cunniff &amp; Goldfarb Inc. was filed by the DOL in the United States District Court for the Southern District of New York naming as defendants DST, the Advisory Committee of the Plan, the Compensation Committee of DST’s Board of Directors and certain of DST’s former officers and directors, and alleging that the DST Defendants breached fiduciary duties in violation of ERISA in connection with the Plan. The complaint also names as defendants Ruane and its former Chairman and Chief Executive Officer Robert D. Goldfarb. In the complaint, the DOL seeks disgorgement, damages and any other appropriate injunctive or equitable relief. The DST Defendants moved to dismiss the complaint on December 4, 2020 on the ground that the DOL’s complaint is time-barred. Other defendants also filed motions to dismiss on the same and other grounds. Briefing on the motions to dismiss was completed on February 5, 2021. On March 28, 2022, the court denied Defendants’ motions to dismiss, and Martin J. Walsh was substituted for Eugene Scalia as the plaintiff. On April 11, 2022, the DST Defendants answered the DOL’s complaint.</w:t>
      </w:r>
    </w:p>
    <w:p>
      <w:pPr>
        <w:spacing w:after="0" w:line="93"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DST, the Advisory Committee of the Plan, and the Compensation Committee of DST’s Board of Directors have been named in 579 substantially similar individual demands for arbitration to date, by former and current DST employees demanding arbitration under the DST Employee Arbitration Program and Agreement (the “Arbitration Claimants”). The underlying claim in each is the same as in the above-described Ferguson matter, with the exception that the arbitrations purport to be brought as individual actions. On November 24, 2021, in light of the preliminary injunction entered in Ferguson discussed above, the American Arbitration Association ceased administration of the arbitrations brought by members of the Ferguson class, which includes all of the Arbitration Claimants with the exception of certain former Plan fiduciaries. As of November 24, 2021, 557 demands for arbitration had been submitted to the American Arbitration Association (the “AAA”). As of the date on which the preliminary injunction was entered, those individual arbitrations were at various stages depending on the particular proceeding. Certain of those arbitrations had resulted in awards against DST and others had resulted in decisions finding no liability as against DST. Many of those decisions were subject to further appeal within the AAA. Certain of the arbitration proceedings had been resolved in whole or in part by settlement. Since November 24, 2021, the AAA has administered only those arbitration proceedings associated with claimants who are not members of the Ferguson class, certain of which have resulted in awards against DST. Between August 20, 2021 and November 17, 2021, counsel for Arbitration Claimants filed 177 motions to confirm certain of the arbitration awards. DST filed responses to those motions. Between October 4 and December 22, 2021, the Western District of Missouri issued orders confirming those 177 arbitration awards and entering judgments against DST. DST has appealed those judgments to the Eighth Circuit. On November 20, 2021, DST requested that the Eighth Circuit stay the pending appeals in light of the preliminary injunction entered in Ferguson. On December 3, 2021, the Eighth Circuit ordered the parties to brief DST’s stay request. On December 17, 2021, Arbitration Claimants and DST filed with the Eighth Circuit their respective briefs addressing the DST’s stay request. On January 3, 2022, the Eighth Circuit declined to stay the briefing schedule on the pending appeals and consolidated those appeals. DST filed its opening brief in the Eighth Circuit on March 24, 2022. Arbitration Claimants filed their opposition brief on April 26, 2022, and DST filed its reply brief on May 18, 2022. The Eighth Circuit heard oral argument on June 14, 2022, and those appeals remain pending. On November 9, 2021, counsel for Arbitration Claimants filed in the Western District of Missouri a petition to compel arbitration captioned Addison v. DST Systems, Inc. (the “Addison Petition”) on behalf of 155 Arbitration Claimants, which DST opposed. On February 14, 2022, the Western District of Missouri stayed the Addison Petition pending resolution of DST’s appeals of the confirmation of the 177 arbitration awards to the Eighth Circuit.</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vigorously defend these matters.</w:t>
      </w:r>
    </w:p>
    <w:p>
      <w:pPr>
        <w:spacing w:after="0" w:line="117"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On November 11, 2020, DST, the Compensation Committee of DST’s Board of Directors, and the Advisory Committee of the Plan as plaintiffs filed a complaint in the United States District Court for the Southern District of New York against Ruane, certain of its related entities, and certain of its current and former employees. The complaint asserts claims for contribution, indemnification, and breach of contract arising out of Ruane’s management of the Plan’s investments and claims for actual and constructive fraudulent conveyances. On May 24, 2021, Defendant Robert Goldfarb filed an answer to the complaint. On September 17, 2021, the remaining defendants filed a pre-motion letter requesting permission to file a motion to dismiss the complaint. On September 22, 2021, the DST plaintiffs responded to the remaining defendants’ pre-motion letter. On November 5, 2021, the Court denied the remaining defendants’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ind w:right="200"/>
        <w:spacing w:after="0" w:line="258" w:lineRule="auto"/>
        <w:rPr>
          <w:sz w:val="20"/>
          <w:szCs w:val="20"/>
          <w:color w:val="auto"/>
        </w:rPr>
      </w:pPr>
      <w:r>
        <w:rPr>
          <w:rFonts w:ascii="Times New Roman" w:cs="Times New Roman" w:eastAsia="Times New Roman" w:hAnsi="Times New Roman"/>
          <w:sz w:val="18"/>
          <w:szCs w:val="18"/>
          <w:color w:val="auto"/>
        </w:rPr>
        <w:t>request for a pre-motion conference and granted the remaining defendants leave to file a motion to dismiss. On December 17, 2021, the remaining defendants filed a motion to dismiss the DST plaintiffs’ complaint. On July 27, 2022, the Court denied without prejudice the pending motion to dismiss, and ordered the parties to submit by October 3, 2022 a joint status report with a new briefing schedule on the motion.</w:t>
      </w:r>
    </w:p>
    <w:p>
      <w:pPr>
        <w:spacing w:after="0" w:line="2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2021 Form 10-K and the Condensed Consolidated Financial Statements included in 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spacing w:after="0" w:line="15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impacts of COVID-19 and related economic conditions on our results are uncertain and, in many respects, outside our control. While we have experienced some client delays in committing to services and products, to date we have experienced no direct material negative effects on our business and results of operations as a result of the COVID-19 pandemic. The situation remains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2021 Form 10-K. Our critical accounting policies are described in the 2021 Form 10-K and include:</w:t>
      </w:r>
    </w:p>
    <w:p>
      <w:pPr>
        <w:spacing w:after="0" w:line="73"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Intangible Assets and Goodwill</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Capitalization</w:t>
      </w:r>
    </w:p>
    <w:p>
      <w:pPr>
        <w:ind w:left="1020" w:hanging="503"/>
        <w:spacing w:after="0" w:line="23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0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15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results of operations below include the results of our recent acquisitions from the date which they were acquired, including Capita in March 2021, Blue Prism and Hubwise in March 2022, MineralWare in May 2022 and O’Shares in June 2022.</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21" w:name="page22"/>
    <w:bookmarkEnd w:id="21"/>
    <w:p>
      <w:pPr>
        <w:ind w:right="7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percentage of our total revenues represented by each of the following sources of revenues for the periods indicated:</w:t>
      </w:r>
    </w:p>
    <w:p>
      <w:pPr>
        <w:spacing w:after="0" w:line="10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22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0" w:type="dxa"/>
            <w:vAlign w:val="bottom"/>
            <w:gridSpan w:val="5"/>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88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16.0 %</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17.8 %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09"/>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-445135</wp:posOffset>
            </wp:positionV>
            <wp:extent cx="4989195"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-162560</wp:posOffset>
            </wp:positionV>
            <wp:extent cx="4989195"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revenues (dollars in millions) and percent change in revenues for the periods indicated: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3760" w:type="dxa"/>
            <w:vAlign w:val="bottom"/>
            <w:vMerge w:val="continue"/>
          </w:tcPr>
          <w:p>
            <w:pPr>
              <w:spacing w:after="0"/>
              <w:rPr>
                <w:sz w:val="16"/>
                <w:szCs w:val="16"/>
                <w:color w:val="auto"/>
              </w:rPr>
            </w:pPr>
          </w:p>
        </w:tc>
        <w:tc>
          <w:tcPr>
            <w:tcW w:w="20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1,070.7</w:t>
            </w:r>
          </w:p>
        </w:tc>
        <w:tc>
          <w:tcPr>
            <w:tcW w:w="200" w:type="dxa"/>
            <w:vAlign w:val="bottom"/>
          </w:tcPr>
          <w:p>
            <w:pPr>
              <w:spacing w:after="0"/>
              <w:rPr>
                <w:sz w:val="16"/>
                <w:szCs w:val="16"/>
                <w:color w:val="auto"/>
              </w:rPr>
            </w:pPr>
          </w:p>
        </w:tc>
        <w:tc>
          <w:tcPr>
            <w:tcW w:w="2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1,057.1</w:t>
            </w:r>
          </w:p>
        </w:tc>
        <w:tc>
          <w:tcPr>
            <w:tcW w:w="1300" w:type="dxa"/>
            <w:vAlign w:val="bottom"/>
            <w:gridSpan w:val="3"/>
            <w:vMerge w:val="continue"/>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2,155.9</w:t>
            </w:r>
          </w:p>
        </w:tc>
        <w:tc>
          <w:tcPr>
            <w:tcW w:w="200" w:type="dxa"/>
            <w:vAlign w:val="bottom"/>
          </w:tcPr>
          <w:p>
            <w:pPr>
              <w:spacing w:after="0"/>
              <w:rPr>
                <w:sz w:val="16"/>
                <w:szCs w:val="16"/>
                <w:color w:val="auto"/>
              </w:rPr>
            </w:pP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2,100.5</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27.8 %</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21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-161925</wp:posOffset>
            </wp:positionV>
            <wp:extent cx="6412230"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Percent</w:t>
      </w:r>
    </w:p>
    <w:p>
      <w:pPr>
        <w:jc w:val="center"/>
        <w:ind w:right="700"/>
        <w:spacing w:after="0" w:line="229" w:lineRule="auto"/>
        <w:rPr>
          <w:sz w:val="20"/>
          <w:szCs w:val="20"/>
          <w:color w:val="auto"/>
        </w:rPr>
      </w:pPr>
      <w:r>
        <w:rPr>
          <w:rFonts w:ascii="Times New Roman" w:cs="Times New Roman" w:eastAsia="Times New Roman" w:hAnsi="Times New Roman"/>
          <w:sz w:val="14"/>
          <w:szCs w:val="14"/>
          <w:b w:val="1"/>
          <w:bCs w:val="1"/>
          <w:color w:val="auto"/>
        </w:rPr>
        <w:t>Change from</w:t>
      </w:r>
    </w:p>
    <w:p>
      <w:pPr>
        <w:jc w:val="center"/>
        <w:ind w:right="700"/>
        <w:spacing w:after="0" w:line="221" w:lineRule="auto"/>
        <w:rPr>
          <w:sz w:val="20"/>
          <w:szCs w:val="20"/>
          <w:color w:val="auto"/>
        </w:rPr>
      </w:pPr>
      <w:r>
        <w:rPr>
          <w:rFonts w:ascii="Times New Roman" w:cs="Times New Roman" w:eastAsia="Times New Roman" w:hAnsi="Times New Roman"/>
          <w:sz w:val="14"/>
          <w:szCs w:val="14"/>
          <w:b w:val="1"/>
          <w:bCs w:val="1"/>
          <w:color w:val="auto"/>
        </w:rPr>
        <w:t>Prior</w:t>
      </w:r>
    </w:p>
    <w:p>
      <w:pPr>
        <w:spacing w:after="0" w:line="1"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13335</wp:posOffset>
            </wp:positionV>
            <wp:extent cx="5657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12"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2.6 %</w:t>
      </w:r>
    </w:p>
    <w:p>
      <w:pPr>
        <w:spacing w:after="0" w:line="2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19.4 %</w:t>
      </w:r>
    </w:p>
    <w:p>
      <w:pPr>
        <w:spacing w:after="0" w:line="45"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5.3 %</w:t>
      </w:r>
    </w:p>
    <w:p>
      <w:pPr>
        <w:spacing w:after="0" w:line="227" w:lineRule="exact"/>
        <w:rPr>
          <w:sz w:val="20"/>
          <w:szCs w:val="20"/>
          <w:color w:val="auto"/>
        </w:rPr>
      </w:pPr>
    </w:p>
    <w:p>
      <w:pPr>
        <w:sectPr>
          <w:pgSz w:w="11900" w:h="16838" w:orient="portrait"/>
          <w:cols w:equalWidth="0" w:num="2">
            <w:col w:w="9500" w:space="220"/>
            <w:col w:w="1520"/>
          </w:cols>
          <w:pgMar w:left="320" w:top="513" w:right="339" w:bottom="1440" w:gutter="0" w:footer="0" w:header="0"/>
          <w:type w:val="continuous"/>
        </w:sectPr>
      </w:pPr>
    </w:p>
    <w:p>
      <w:pPr>
        <w:spacing w:after="0" w:line="23"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Three Months Ended June 30, 2022 and 2021</w:t>
      </w:r>
      <w:r>
        <w:rPr>
          <w:rFonts w:ascii="Times New Roman" w:cs="Times New Roman" w:eastAsia="Times New Roman" w:hAnsi="Times New Roman"/>
          <w:sz w:val="18"/>
          <w:szCs w:val="18"/>
          <w:color w:val="auto"/>
        </w:rPr>
        <w:t>. Our revenues increased $69.7 million, or 5.5%, primarily due to revenues associated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of Blue Prism and Hubwise in March 2022, MineralWare in May 2022 and O’Shares in June 2022, which contributed $65.6 million in revenues. An increase in organic revenues of $27.9 million driven by strength in the SS&amp;C GlobeOp fund administration, Eze, Geneva and virtual data room services businesses was partially offset by the unfavorable impact from foreign currency translation of $23.8 million. Software-enabled services revenues increased $13.6 million, or 1.3%, primarily due to an increase in organic revenues of $25.3 million, and acquisitions, which added $7.1 million in revenues, partially offset by the unfavorable impact from foreign currency translation of $18.8 million. License, maintenance and related revenues increased $56.1 million, or 27.8%, primarily due to acquisitions, which added $58.5 million in revenues and an increase in organic revenues of $2.6 million, partially offset by the unfavorable impact from foreign currency translation of $5.0 million.</w:t>
      </w:r>
    </w:p>
    <w:p>
      <w:pPr>
        <w:spacing w:after="0" w:line="7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Six Months Ended June 30, 2022 and 2021. </w:t>
      </w:r>
      <w:r>
        <w:rPr>
          <w:rFonts w:ascii="Times New Roman" w:cs="Times New Roman" w:eastAsia="Times New Roman" w:hAnsi="Times New Roman"/>
          <w:sz w:val="18"/>
          <w:szCs w:val="18"/>
          <w:color w:val="auto"/>
        </w:rPr>
        <w:t>Our revenues increased $131.3 million, or 5.3%, due to revenues associated with our acquisitions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Blue Prism and Hubwise in March 2022, MineralWare in May 2022, O’Shares in June 2022 and Capita in March 2021, which contributed $83.0 million in revenues and an increase in organic revenues of $80.7 million driven by strength in the SS&amp;C GlobeOp fund administration, Eze, Black Diamond, Geneva and virtual data room services businesses. Those increases were partially offset by the unfavorable impact from foreign currency translation of $32.4 million. Software-enabled services revenues increased $55.4 million, or 2.6%, primarily due to an increase in organic revenues of $66.2 million, and acquisitions, which added $14.5 million in revenues, partially offset by the unfavorable impact from foreign currency translation of $25.3 million. License, maintenance and related revenues increased $75.9 million, or 19.4%, primarily due to acquisitions, which added $68.5 million in revenues and an increase in organic revenues of $14.5 million, partially offset by the unfavorable impact from foreign currency translation of $7.1 million.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06"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each of the following cost of revenues as a percentage of their respective revenue source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software-enabled services</w:t>
            </w:r>
          </w:p>
        </w:tc>
        <w:tc>
          <w:tcPr>
            <w:tcW w:w="9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76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80" w:type="dxa"/>
            <w:vAlign w:val="bottom"/>
            <w:vMerge w:val="continue"/>
          </w:tcPr>
          <w:p>
            <w:pPr>
              <w:spacing w:after="0"/>
              <w:rPr>
                <w:sz w:val="18"/>
                <w:szCs w:val="18"/>
                <w:color w:val="auto"/>
              </w:rPr>
            </w:pPr>
          </w:p>
        </w:tc>
        <w:tc>
          <w:tcPr>
            <w:tcW w:w="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5"/>
              </w:rPr>
              <w:t>55.1</w:t>
            </w:r>
          </w:p>
        </w:tc>
        <w:tc>
          <w:tcPr>
            <w:tcW w:w="1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license, maintenance and related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1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40.2 %</w:t>
            </w: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37.2 %</w:t>
            </w:r>
          </w:p>
        </w:tc>
        <w:tc>
          <w:tcPr>
            <w:tcW w:w="250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1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52.7 %</w:t>
            </w: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52.6 %</w:t>
            </w:r>
          </w:p>
        </w:tc>
        <w:tc>
          <w:tcPr>
            <w:tcW w:w="250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53.7 %</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1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47.3 %</w:t>
            </w: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47.4 %</w:t>
            </w:r>
          </w:p>
        </w:tc>
        <w:tc>
          <w:tcPr>
            <w:tcW w:w="250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46.3 %</w:t>
            </w:r>
          </w:p>
        </w:tc>
        <w:tc>
          <w:tcPr>
            <w:tcW w:w="0" w:type="dxa"/>
            <w:vAlign w:val="bottom"/>
          </w:tcPr>
          <w:p>
            <w:pPr>
              <w:spacing w:after="0"/>
              <w:rPr>
                <w:sz w:val="1"/>
                <w:szCs w:val="1"/>
                <w:color w:val="auto"/>
              </w:rPr>
            </w:pPr>
          </w:p>
        </w:tc>
      </w:tr>
      <w:tr>
        <w:trPr>
          <w:trHeight w:val="616"/>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0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-1036320</wp:posOffset>
            </wp:positionV>
            <wp:extent cx="4989195"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-762635</wp:posOffset>
            </wp:positionV>
            <wp:extent cx="4989195"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The following table sets forth cost of revenues (dollars in millions) and percent change in cost of revenues for the periods indicated: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7"/>
                <w:szCs w:val="17"/>
                <w:color w:val="auto"/>
              </w:rPr>
            </w:pPr>
          </w:p>
        </w:tc>
        <w:tc>
          <w:tcPr>
            <w:tcW w:w="1880" w:type="dxa"/>
            <w:vAlign w:val="bottom"/>
            <w:tcBorders>
              <w:bottom w:val="single" w:sz="8" w:color="auto"/>
            </w:tcBorders>
            <w:gridSpan w:val="5"/>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software-enabled services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9"/>
        </w:trPr>
        <w:tc>
          <w:tcPr>
            <w:tcW w:w="3760" w:type="dxa"/>
            <w:vAlign w:val="bottom"/>
            <w:vMerge w:val="continue"/>
          </w:tcPr>
          <w:p>
            <w:pPr>
              <w:spacing w:after="0"/>
              <w:rPr>
                <w:sz w:val="18"/>
                <w:szCs w:val="18"/>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300" w:type="dxa"/>
            <w:vAlign w:val="bottom"/>
            <w:gridSpan w:val="3"/>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2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license, maintenance and related</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15.9 %</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1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-162560</wp:posOffset>
            </wp:positionV>
            <wp:extent cx="6412230" cy="1631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62"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Three Months Ended June 30, 2022 and 2021</w:t>
      </w:r>
      <w:r>
        <w:rPr>
          <w:rFonts w:ascii="Times New Roman" w:cs="Times New Roman" w:eastAsia="Times New Roman" w:hAnsi="Times New Roman"/>
          <w:sz w:val="18"/>
          <w:szCs w:val="18"/>
          <w:color w:val="auto"/>
        </w:rPr>
        <w:t>. Our total cost of revenues increased by $40.4 million, or 6.1%, primarily due to an increase of $37.9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organic costs and acquisitions, which added $17.8 million in costs. These increases were partially offset by the favorable impact from foreign currency translation which decreased costs by $15.3 million. Organic cost increases are primarily due to personnel costs, including the impact of wage inflation, stock-based compensation and recruiting costs. Cost of software-enabled services revenues increased $27.5 million, or 4.7%, primarily due to an increase of $37.0 million in organic costs and acquisitions, which added $3.8 million in costs. These costs were partially offset by the favorable impact from foreign currency translation which decreased costs by $13.3 million. Cost of license, maintenance and related revenues increased $12.9 million, or 15.9%, primarily due to acquisitions, which added $14.0 million in costs, as well as an increase in organic costs of $0.9 million, partially offset by the favorable impact from foreign currency translation of $2.0 million.</w:t>
      </w:r>
    </w:p>
    <w:p>
      <w:pPr>
        <w:spacing w:after="0" w:line="72"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i w:val="1"/>
          <w:iCs w:val="1"/>
          <w:color w:val="auto"/>
        </w:rPr>
        <w:t>Six Months Ended June 30, 2022 and 2021</w:t>
      </w:r>
      <w:r>
        <w:rPr>
          <w:rFonts w:ascii="Times New Roman" w:cs="Times New Roman" w:eastAsia="Times New Roman" w:hAnsi="Times New Roman"/>
          <w:sz w:val="18"/>
          <w:szCs w:val="18"/>
          <w:color w:val="auto"/>
        </w:rPr>
        <w:t>. Our total cost of revenues increased by $41.3 million, or 3.1%, primarily due to an increase of $35.0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organic costs and acquisitions, which added $27.1 million in costs. These costs were partially offset by the favorable impact from foreign currency translation which decreased costs by $20.8 million. Organic cost increases are primarily due to personnel costs, including the impact of wage inflation, stock-based compensation and recruiting costs. Cost of software-enabled services revenues increased $27.5 million, or 2.3%, primarily due to an increase of $35.5 million in organic costs, and acquisitions, which added $9.7 million in costs. These increases were partially offset by the favorable impact from foreign currency translation, which decreased costs by $17.7 million. Cost of license, maintenance and related revenues increased $13.8 million, or 8.6%, primarily due to acquisitions, which added $17.4 million in costs, partially offset by the favorable impact from foreign currency translation of $3.1 million and a decrease in organic costs of $0.5 million.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0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percentage of our total revenues represented by each of the following operating expenses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76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8.0 %</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8.5 %</w:t>
            </w:r>
          </w:p>
        </w:tc>
        <w:tc>
          <w:tcPr>
            <w:tcW w:w="250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6.6 %</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8.9 %</w:t>
            </w:r>
          </w:p>
        </w:tc>
        <w:tc>
          <w:tcPr>
            <w:tcW w:w="250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22.4 %</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26.9 %</w:t>
            </w:r>
          </w:p>
        </w:tc>
        <w:tc>
          <w:tcPr>
            <w:tcW w:w="250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8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-1070610</wp:posOffset>
            </wp:positionV>
            <wp:extent cx="4989195"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-796290</wp:posOffset>
            </wp:positionV>
            <wp:extent cx="4989195" cy="146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222222"/>
        </w:rPr>
        <w:t>The following table sets forth operating expenses (dollars in millions) and percent change in operating expenses for the periods indicated: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42.6 %</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30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44.7 %</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1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420" w:type="dxa"/>
            <w:vAlign w:val="bottom"/>
            <w:gridSpan w:val="4"/>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34.2 % </w:t>
            </w:r>
            <w:r>
              <w:rPr>
                <w:rFonts w:ascii="Times New Roman" w:cs="Times New Roman" w:eastAsia="Times New Roman" w:hAnsi="Times New Roman"/>
                <w:sz w:val="24"/>
                <w:szCs w:val="24"/>
                <w:color w:val="auto"/>
                <w:vertAlign w:val="superscript"/>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-591185</wp:posOffset>
            </wp:positionV>
            <wp:extent cx="641223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45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203" w:lineRule="exact"/>
        <w:rPr>
          <w:sz w:val="20"/>
          <w:szCs w:val="20"/>
          <w:color w:val="auto"/>
        </w:rPr>
      </w:pPr>
    </w:p>
    <w:p>
      <w:pPr>
        <w:ind w:right="28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Three Months Ended June 30, 2022 and 2021</w:t>
      </w:r>
      <w:r>
        <w:rPr>
          <w:rFonts w:ascii="Times New Roman" w:cs="Times New Roman" w:eastAsia="Times New Roman" w:hAnsi="Times New Roman"/>
          <w:sz w:val="18"/>
          <w:szCs w:val="18"/>
          <w:color w:val="auto"/>
        </w:rPr>
        <w:t>. Operating expenses increased $96.6 million, or 34.2%, primarily due to our acquisitions,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added expenses of $55.6 million, and an increase of $49.2 million in organic operating expenses. These increases were partially offset by the favorable impact from foreign currency translation which decreased expenses by $8.2 million. Total operating expenses, excluding the impact of acquisitions and foreign currency translation, primarily increased due to an increase in personnel-related costs, including the impact of wage inflation, stock-based compensation and travel-related expenses, information technology related expenses and professional fees.</w:t>
      </w:r>
    </w:p>
    <w:p>
      <w:pPr>
        <w:spacing w:after="0" w:line="69" w:lineRule="exact"/>
        <w:rPr>
          <w:sz w:val="20"/>
          <w:szCs w:val="20"/>
          <w:color w:val="auto"/>
        </w:rPr>
      </w:pPr>
    </w:p>
    <w:p>
      <w:pPr>
        <w:jc w:val="both"/>
        <w:ind w:right="16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Six Months Ended June 30, 2022 and 2021</w:t>
      </w:r>
      <w:r>
        <w:rPr>
          <w:rFonts w:ascii="Times New Roman" w:cs="Times New Roman" w:eastAsia="Times New Roman" w:hAnsi="Times New Roman"/>
          <w:sz w:val="18"/>
          <w:szCs w:val="18"/>
          <w:color w:val="auto"/>
        </w:rPr>
        <w:t>. Operating expenses increased $134.6 million, or 23.5%, primarily due our acquisitions, which added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of $78.9 million and an increase of $67.5 million in organic operating expenses. These increases were partially offset by the favorable impact from foreign currency translation which decreased expenses by $11.8 million. Total operating expenses, excluding the impact of acquisitions and foreign currency translation, primarily increased due to an increase in personnel-related costs, including the impact of wage inflation, stock-based compensation and travel-related expenses and information technology related expenses.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and Six Months Ended June 30, 2022 and 2021 for Interest, Taxes and Other</w:t>
      </w:r>
    </w:p>
    <w:p>
      <w:pPr>
        <w:spacing w:after="0" w:line="185" w:lineRule="exact"/>
        <w:rPr>
          <w:sz w:val="20"/>
          <w:szCs w:val="20"/>
          <w:color w:val="auto"/>
        </w:rPr>
      </w:pPr>
    </w:p>
    <w:p>
      <w:pPr>
        <w:ind w:right="18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We had net interest expense of $67.7 million and $117.0 million for the three and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$51.0 million and $102.4 million for the three and six months ended June 30, 2021, respectively. The increase in interest expense, net for 2022 as compared to 2021, is due to higher average interest rate on debt and higher average debt balances. Our total debt balance as of June 30, 2022 was higher compared to the prior year due to us entering into the Incremental Joinder in conjunction with the acquisition of Blue Prism on March 22, 2022. These facilities are discussed further in “Liquidity and Capital Resources”.</w:t>
      </w:r>
    </w:p>
    <w:p>
      <w:pPr>
        <w:spacing w:after="0" w:line="15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We had other expense, net of $20.4 million and $29.4 million for the three and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other income, net of $6.5 million and $24.5 million for the three and six months ended June 30, 2021, respectively. For the three and six months ended June 30, 2022, other expense, net consisted primarily of foreign currency translation losses of $12.2 million and $21.9 million, respectively, and investment losses due to mark-to-market adjustments of $8.4 million and $12.2 million, respectively. For the three and six months ended June 30, 2021, other income, net included investment gains of $3.6 million and $17.3 million, respectively, and dividend income of $0.4 million and $8.9 million, respectively. The remaining portion of other income, net consisted primarily of foreign currency transaction gains and losses.</w:t>
      </w:r>
    </w:p>
    <w:p>
      <w:pPr>
        <w:spacing w:after="0" w:line="15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Equity in earnings of unconsolidated affiliates, net. </w:t>
      </w:r>
      <w:r>
        <w:rPr>
          <w:rFonts w:ascii="Times New Roman" w:cs="Times New Roman" w:eastAsia="Times New Roman" w:hAnsi="Times New Roman"/>
          <w:sz w:val="18"/>
          <w:szCs w:val="18"/>
          <w:color w:val="auto"/>
        </w:rPr>
        <w:t>We had equity in earnings of unconsolidated affiliates, net of $1.1 million and $2.4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and six months ended June 30, 2022, respectively, compared to $(0.4) million and $(0.1) million in the three and six months ended June 30, 2021, respectively.</w:t>
      </w:r>
    </w:p>
    <w:p>
      <w:pPr>
        <w:spacing w:after="0" w:line="12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following table sets forth the provision for income taxes (dollars in millions) and effective tax rates for the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indicated:</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84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9"/>
        </w:trPr>
        <w:tc>
          <w:tcPr>
            <w:tcW w:w="48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5"/>
              </w:rPr>
              <w:t>45.2</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76.7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740" w:type="dxa"/>
            <w:vAlign w:val="bottom"/>
          </w:tcPr>
          <w:p>
            <w:pPr>
              <w:spacing w:after="0"/>
              <w:rPr>
                <w:sz w:val="20"/>
                <w:szCs w:val="20"/>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29.1 %</w:t>
            </w:r>
          </w:p>
        </w:tc>
        <w:tc>
          <w:tcPr>
            <w:tcW w:w="8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28.8 %</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27.9 %</w:t>
            </w: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27.4 %</w:t>
            </w: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Our effective tax rates for the three and six months ended June 30, 2022 and 2021 differ from the statutory rate of 21.0% primarily due to the</w:t>
      </w:r>
    </w:p>
    <w:p>
      <w:pPr>
        <w:spacing w:after="0" w:line="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composition of income before income taxes from foreign and domestic tax jurisdictions, foreign income that is being taxed in the U.S. offset by foreign tax credits that are being limited and the recognition of windfall tax benefits from stock</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24" w:name="page25"/>
    <w:bookmarkEnd w:id="24"/>
    <w:p>
      <w:pPr>
        <w:ind w:right="40"/>
        <w:spacing w:after="0" w:line="243" w:lineRule="auto"/>
        <w:rPr>
          <w:sz w:val="20"/>
          <w:szCs w:val="20"/>
          <w:color w:val="auto"/>
        </w:rPr>
      </w:pPr>
      <w:r>
        <w:rPr>
          <w:rFonts w:ascii="Times New Roman" w:cs="Times New Roman" w:eastAsia="Times New Roman" w:hAnsi="Times New Roman"/>
          <w:sz w:val="18"/>
          <w:szCs w:val="18"/>
          <w:color w:val="auto"/>
        </w:rPr>
        <w:t>awards. The change in the effective tax rate for the three months ended June 30, 2022 compared to the prior year was primarily due to a decrease in recognition of windfall tax benefits from stock awards in the current year, an increase in valuation allowances on deferred tax assets in the current year and a proportionate change in the composition of income before income taxes from foreign and domestic tax jurisdictions. The change in the effective tax rate for the six months ended June 30, 2022 compared to the prior year was primarily due to a decrease in recognition of windfall tax benefits from stock awards in the current year, an increase in valuation allowances on deferred tax assets in the current year and a proportionate change in the composition of income taxes from foreign and domestic tax jurisdictions. In addition, the effective tax rate for the three and six months ended June 30, 2021 included tax expense related to a law change in the United Kingdom. While we have income from multiple foreign sources, the majority of our non-U.S. operations are in the United Kingdom and India, where we anticipate the statutory tax rates to be 19.0% and, on a blended basis, approximately 29.0%, respectively, in 2022. A future change in the composition of income before income taxes from foreign and domestic tax jurisdictions could impact our periodic effective tax rate.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w:t>
      </w:r>
    </w:p>
    <w:p>
      <w:pPr>
        <w:spacing w:after="0" w:line="137" w:lineRule="exact"/>
        <w:rPr>
          <w:sz w:val="20"/>
          <w:szCs w:val="20"/>
          <w:color w:val="auto"/>
        </w:rPr>
      </w:pPr>
    </w:p>
    <w:p>
      <w:pPr>
        <w:ind w:right="280" w:firstLine="509"/>
        <w:spacing w:after="0" w:line="312" w:lineRule="auto"/>
        <w:rPr>
          <w:sz w:val="20"/>
          <w:szCs w:val="20"/>
          <w:color w:val="auto"/>
        </w:rPr>
      </w:pPr>
      <w:r>
        <w:rPr>
          <w:rFonts w:ascii="Times New Roman" w:cs="Times New Roman" w:eastAsia="Times New Roman" w:hAnsi="Times New Roman"/>
          <w:sz w:val="17"/>
          <w:szCs w:val="17"/>
          <w:color w:val="auto"/>
        </w:rPr>
        <w:t>During the six months ended June 30, 2022, we paid a quarterly cash dividend of $0.20 per share of common stock totaling $102.4 million in the aggregate. During the six months ended June 30, 2021, we paid a quarterly cash dividend of $0.16 per share of common stock totaling $82.1 million.</w:t>
      </w:r>
    </w:p>
    <w:p>
      <w:pPr>
        <w:spacing w:after="0" w:line="8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Client funds obligations include our transfer agency client balances invested overnight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$1,620.3 million of client funds obligations at June 30, 2022.</w:t>
      </w:r>
    </w:p>
    <w:p>
      <w:pPr>
        <w:spacing w:after="0" w:line="150" w:lineRule="exact"/>
        <w:rPr>
          <w:sz w:val="20"/>
          <w:szCs w:val="20"/>
          <w:color w:val="auto"/>
        </w:rPr>
      </w:pPr>
    </w:p>
    <w:p>
      <w:pPr>
        <w:ind w:right="860" w:firstLine="509"/>
        <w:spacing w:after="0" w:line="266"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our Condensed Consolidated Statements of Cash Flows, are summarized in the following table (in millions):</w:t>
      </w:r>
    </w:p>
    <w:p>
      <w:pPr>
        <w:spacing w:after="0" w:line="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cash, cash equivalents and restricted cash (used in) provided by:</w:t>
            </w:r>
          </w:p>
        </w:tc>
        <w:tc>
          <w:tcPr>
            <w:tcW w:w="320" w:type="dxa"/>
            <w:vAlign w:val="bottom"/>
          </w:tcPr>
          <w:p>
            <w:pPr>
              <w:spacing w:after="0"/>
              <w:rPr>
                <w:sz w:val="12"/>
                <w:szCs w:val="12"/>
                <w:color w:val="auto"/>
              </w:rPr>
            </w:pPr>
          </w:p>
        </w:tc>
        <w:tc>
          <w:tcPr>
            <w:tcW w:w="1020" w:type="dxa"/>
            <w:vAlign w:val="bottom"/>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82"/>
              <w:spacing w:after="0" w:line="145"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2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Prior Year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(114.8 )</w:t>
            </w:r>
          </w:p>
        </w:tc>
        <w:tc>
          <w:tcPr>
            <w:tcW w:w="0" w:type="dxa"/>
            <w:vAlign w:val="bottom"/>
          </w:tcPr>
          <w:p>
            <w:pPr>
              <w:spacing w:after="0"/>
              <w:rPr>
                <w:sz w:val="1"/>
                <w:szCs w:val="1"/>
                <w:color w:val="auto"/>
              </w:rPr>
            </w:pPr>
          </w:p>
        </w:tc>
      </w:tr>
      <w:tr>
        <w:trPr>
          <w:trHeight w:val="226"/>
        </w:trPr>
        <w:tc>
          <w:tcPr>
            <w:tcW w:w="5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tcPr>
          <w:p>
            <w:pPr>
              <w:spacing w:after="0"/>
              <w:rPr>
                <w:sz w:val="19"/>
                <w:szCs w:val="19"/>
                <w:color w:val="auto"/>
              </w:rPr>
            </w:pPr>
          </w:p>
        </w:tc>
        <w:tc>
          <w:tcPr>
            <w:tcW w:w="12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(1,673.6 )</w:t>
            </w:r>
          </w:p>
        </w:tc>
        <w:tc>
          <w:tcPr>
            <w:tcW w:w="8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(17.9 )</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(1,655.7 )</w:t>
            </w:r>
          </w:p>
        </w:tc>
        <w:tc>
          <w:tcPr>
            <w:tcW w:w="0" w:type="dxa"/>
            <w:vAlign w:val="bottom"/>
          </w:tcPr>
          <w:p>
            <w:pPr>
              <w:spacing w:after="0"/>
              <w:rPr>
                <w:sz w:val="1"/>
                <w:szCs w:val="1"/>
                <w:color w:val="auto"/>
              </w:rPr>
            </w:pPr>
          </w:p>
        </w:tc>
      </w:tr>
      <w:tr>
        <w:trPr>
          <w:trHeight w:val="233"/>
        </w:trPr>
        <w:tc>
          <w:tcPr>
            <w:tcW w:w="5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1,175.8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(1,106.6 )</w:t>
            </w: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20" w:type="dxa"/>
            <w:vAlign w:val="bottom"/>
          </w:tcPr>
          <w:p>
            <w:pPr>
              <w:spacing w:after="0"/>
              <w:rPr>
                <w:sz w:val="18"/>
                <w:szCs w:val="18"/>
                <w:color w:val="auto"/>
              </w:rPr>
            </w:pPr>
          </w:p>
        </w:tc>
        <w:tc>
          <w:tcPr>
            <w:tcW w:w="12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(21.7 )</w:t>
            </w:r>
          </w:p>
        </w:tc>
        <w:tc>
          <w:tcPr>
            <w:tcW w:w="8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FF0FC"/>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1,718.6</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(2,897.2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versus 2021</w:t>
      </w:r>
    </w:p>
    <w:p>
      <w:pPr>
        <w:spacing w:after="0" w:line="119"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Net cash provided by operating activities was $447.5 million for the six months ended June 30, 2022. Cash provided by operating activities primarily resulted from net income of $281.6 million adjusted for non-cash items of $376.3 million, partially offset by changes in our working capital accounts (excluding the effect of acquisitions) totaling $210.4 million. The changes in our working capital accounts were driven by decreases in accrued expenses and deferred revenue and an increase in accounts receivable, partially offset by a decrease in prepaid expenses. Cash provided by operating activities was negatively affected by approximately $68.0 million of transaction costs related to the Blue Prism acquisition. The decrease in accrued expenses was primarily due to the payment of annual employee bonuses in the first quarter of 2022 and the payment of transaction costs related to the Blue Prism acquisition that were recorded as liabilities at the time of acquisition.</w:t>
      </w:r>
    </w:p>
    <w:p>
      <w:pPr>
        <w:spacing w:after="0" w:line="14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Investing activities used net cash of $1,673.6 million for the six months ended June 30, 2022, primarily related to $1,597.1 million paid for business acquisitions, net of cash acquired, $63.3 million in capitalized software development costs, $22.6 million in capital expenditures and seed capital investments of $10.0 million, partially offset by proceeds from the sale of property of $8.7 million, proceeds from sales and maturities of investments of $5.6 million and collection of other non-current receivables of $5.1 million.</w:t>
      </w:r>
    </w:p>
    <w:p>
      <w:pPr>
        <w:spacing w:after="0" w:line="15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Financing activities provided net cash of $69.2 million for the six months ended June 30, 2022, primarily representing net borrowings of $1,349.2 million and proceeds of $58.3 million from stock option exercises. These proceeds were partially offset by a</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5" w:name="page26"/>
    <w:bookmarkEnd w:id="25"/>
    <w:p>
      <w:pPr>
        <w:ind w:right="80"/>
        <w:spacing w:after="0" w:line="266" w:lineRule="auto"/>
        <w:rPr>
          <w:sz w:val="20"/>
          <w:szCs w:val="20"/>
          <w:color w:val="auto"/>
        </w:rPr>
      </w:pPr>
      <w:r>
        <w:rPr>
          <w:rFonts w:ascii="Times New Roman" w:cs="Times New Roman" w:eastAsia="Times New Roman" w:hAnsi="Times New Roman"/>
          <w:sz w:val="18"/>
          <w:szCs w:val="18"/>
          <w:color w:val="auto"/>
        </w:rPr>
        <w:t>net decrease in client funds obligations of $1,052.0 million, $170.9 million of purchases of common stock for treasury, $102.4 million in quarterly dividends paid, $12.4 million of deferred financing fees payments and $0.6 million in withholding taxes paid related to equity award net share settlements.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versus 2020</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cash, cash equivalents and restricted cash and cash equivalents, including amounts held on behalf of clients, were $3,056.5 million at June 30, 2021, an increase of $1,718.6 million from $1,337.9 million at December 31, 2020.</w:t>
      </w:r>
    </w:p>
    <w:p>
      <w:pPr>
        <w:spacing w:after="0" w:line="135"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Net cash provided by operating activities was $562.3 million for the six months ended June 30, 2021. Cash provided by operating activities primarily resulted from net income of $364.7 million adjusted for non-cash items of $346.4 million, partially offset by changes in our working capital accounts (excluding the effect of acquisitions) totaling $148.8 million. The changes in our working capital accounts were driven by decreases in accrued expenses, an increase in accounts receivable, an increase in prepaid expenses and other assets, a decrease in deferred revenue, an increase in contract assets and a decrease in accounts payable, partially offset by changes in income taxes prepaid and payable. The decrease in accrued expenses was primarily due to the payment of annual employee bonuses in the first quarter of 2021. The increase in accounts receivable was primarily due to an increase in days' sales outstanding. The increase in prepaid expenses and other assets was primarily due to the timing of payments. The decrease in deferred revenue was primarily due to the recognition of revenue associated with multi-year license agreements where we received payment in 2020 as well as the revenue associated with annual maintenance fees. The change in income taxes prepaid and payable is primarily driven by the timing of tax payments.</w:t>
      </w:r>
    </w:p>
    <w:p>
      <w:pPr>
        <w:spacing w:after="0" w:line="160"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Investing activities used net cash of $17.9 million for the six months ended June 30, 2021, primarily related to $42.1 million in capitalized software development costs, $17.6 million in capital expenditures and $10.0 million in investments in securities, partially offset by proceeds from sales and maturities of investments of $38.9 million, net cash acquired for business acquisitions of $7.3 million and the collection of other non-current receivables of $5.6 million.</w:t>
      </w:r>
    </w:p>
    <w:p>
      <w:pPr>
        <w:spacing w:after="0" w:line="13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Financing activities provided net cash of $1,175.8 million for the six months ended June 30, 2021, primarily representing a net increase in client funds obligations of $1,682.7 million and proceeds of $88.9 million from stock option exercises. These proceeds were partially offset by $325.0 million of purchases of common stock for treasury, net repayments of debt of $183.1 million, $82.1 million in quarterly dividends paid and $5.6 million in withholding taxes paid related to equity award net share settlements.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have made a permanent reinvestment determination in certain non-U.S. operations that have historically generated positive operating cash flows.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we held approximately $207.0 million in cash and cash equivalents at non-U.S. subsidiaries where we had made such a determination</w:t>
      </w:r>
    </w:p>
    <w:p>
      <w:pPr>
        <w:spacing w:after="0"/>
        <w:rPr>
          <w:sz w:val="20"/>
          <w:szCs w:val="20"/>
          <w:color w:val="auto"/>
        </w:rPr>
      </w:pPr>
      <w:r>
        <w:rPr>
          <w:rFonts w:ascii="Times New Roman" w:cs="Times New Roman" w:eastAsia="Times New Roman" w:hAnsi="Times New Roman"/>
          <w:sz w:val="18"/>
          <w:szCs w:val="18"/>
          <w:color w:val="auto"/>
        </w:rPr>
        <w:t>and in turn, no provision for foreign withholding, foreign local, or U.S. state income taxes had been made. At June 30, 2022, we held approximately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$128.6 million in cash that was available to our foreign borrowers under our senior secured credit facility and will be used to facilitate debt servicing of</w:t>
      </w:r>
    </w:p>
    <w:p>
      <w:pPr>
        <w:spacing w:after="0"/>
        <w:rPr>
          <w:sz w:val="20"/>
          <w:szCs w:val="20"/>
          <w:color w:val="auto"/>
        </w:rPr>
      </w:pPr>
      <w:r>
        <w:rPr>
          <w:rFonts w:ascii="Times New Roman" w:cs="Times New Roman" w:eastAsia="Times New Roman" w:hAnsi="Times New Roman"/>
          <w:sz w:val="18"/>
          <w:szCs w:val="18"/>
          <w:color w:val="auto"/>
        </w:rPr>
        <w:t>those entities.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121"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As of June 30, 2022, there was $1,237.4 million in principal amount outstanding under the Term B-3 Loan, $1,004.5 million in principal amount outstanding under the Term B-4 Loan, $1,710.8 million in principal amount outstanding under the Term B-5 Loan, $576.0 million in principal amount outstanding under the Term B-6 Loan and $821.8 million in principal amount outstanding under the Term B-7 Loan. In addition, the amended senior secured credit facility has a revolving credit facility with a five-year term available for borrowings by SS&amp;C with $250 million in available commitments (“Revolving Credit Facility”), of which $247.5 million was available as of June 30, 2022. The Revolving Credit Facility also contains a $25 million letter of credit sub-facility, of which $2.5 million was utilized as of June 30, 2022.</w:t>
      </w:r>
    </w:p>
    <w:p>
      <w:pPr>
        <w:spacing w:after="0" w:line="15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required to make scheduled quarterly payments of 0.25% of the original principal amount of the Term B-3 Loan, Term B-4 Loan and Term B-5 Loan, with the balance due and payable on April 16, 2025. We are required to make scheduled quarterly payments of 0.25% of the original principal amount of the Term B-6 Loan and Term B-7 Loan commencing with the fiscal quarter ending September 30, 2022, with the balance due and payable on March 22, 2029. No amortization is required under the Revolving Credit Facility. We may also, from time to time in our sole discretion, purchase, redeem, or retire our existing term loans, through tender offers, in privately negotiated or open market transactions, or otherwise.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6" w:name="page27"/>
    <w:bookmarkEnd w:id="26"/>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Our obligations under the Term Loans are guaranteed by (i) our existing and future U.S. wholly-owned restricted subsidiaries, in the case of the Term B-3 Loan, Term B-5 Loan, Term B-6 Loan and the Revolving Credit Facility and (ii) our existing and future wholly-owned restricted subsidiaries, in the case of the Term B-4 Loan and Term B-7 Loan.</w:t>
      </w:r>
    </w:p>
    <w:p>
      <w:pPr>
        <w:spacing w:after="0" w:line="150"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obligations of the U.S.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amended senior secured credit facility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55"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minimum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June 30, 2022, we were in compliance with all financial and non-financial covenants.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ind w:right="20" w:firstLine="584"/>
        <w:spacing w:after="0" w:line="246" w:lineRule="auto"/>
        <w:rPr>
          <w:sz w:val="20"/>
          <w:szCs w:val="20"/>
          <w:color w:val="auto"/>
        </w:rPr>
      </w:pPr>
      <w:r>
        <w:rPr>
          <w:rFonts w:ascii="Times New Roman" w:cs="Times New Roman" w:eastAsia="Times New Roman" w:hAnsi="Times New Roman"/>
          <w:sz w:val="18"/>
          <w:szCs w:val="18"/>
          <w:color w:val="auto"/>
        </w:rPr>
        <w:t>On March 28, 2019, we issued $2,000.0 million aggregate principal amount of 5.5% Senior Notes due 2027 (“Senior Notes”), the proceeds of which were used to repay a portion of the outstanding Term B-3 Loan under our existing senior secured credit facilities. The Senior Notes are guaranteed, jointly and severally, by SS&amp;C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spacing w:after="0" w:line="141" w:lineRule="exact"/>
        <w:rPr>
          <w:sz w:val="20"/>
          <w:szCs w:val="20"/>
          <w:color w:val="auto"/>
        </w:rPr>
      </w:pPr>
    </w:p>
    <w:p>
      <w:pPr>
        <w:ind w:right="120" w:firstLine="584"/>
        <w:spacing w:after="0" w:line="270" w:lineRule="auto"/>
        <w:rPr>
          <w:sz w:val="20"/>
          <w:szCs w:val="20"/>
          <w:color w:val="auto"/>
        </w:rPr>
      </w:pPr>
      <w:r>
        <w:rPr>
          <w:rFonts w:ascii="Times New Roman" w:cs="Times New Roman" w:eastAsia="Times New Roman" w:hAnsi="Times New Roman"/>
          <w:sz w:val="18"/>
          <w:szCs w:val="18"/>
          <w:color w:val="auto"/>
        </w:rPr>
        <w:t>At any time and from time to time, we may, at our option, redeem some or all of the Senior Notes, in whole or in part, at the redemption prices set forth in the following table, expressed as a percentage of the principal amount, plus accrued and unpaid interest to the redemption date:</w:t>
      </w:r>
    </w:p>
    <w:tbl>
      <w:tblPr>
        <w:tblLayout w:type="fixed"/>
        <w:tblInd w:w="1880" w:type="dxa"/>
        <w:tblCellMar>
          <w:top w:w="0" w:type="dxa"/>
          <w:left w:w="0" w:type="dxa"/>
          <w:bottom w:w="0" w:type="dxa"/>
          <w:right w:w="0" w:type="dxa"/>
        </w:tblCellMar>
      </w:tblPr>
      <w:tr>
        <w:trPr>
          <w:trHeight w:val="19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3880" w:type="dxa"/>
            <w:vAlign w:val="bottom"/>
          </w:tcPr>
          <w:p>
            <w:pPr>
              <w:spacing w:after="0"/>
              <w:rPr>
                <w:sz w:val="16"/>
                <w:szCs w:val="16"/>
                <w:color w:val="auto"/>
              </w:rPr>
            </w:pPr>
          </w:p>
        </w:tc>
        <w:tc>
          <w:tcPr>
            <w:tcW w:w="2640" w:type="dxa"/>
            <w:vAlign w:val="bottom"/>
            <w:gridSpan w:val="2"/>
          </w:tcPr>
          <w:p>
            <w:pPr>
              <w:jc w:val="right"/>
              <w:ind w:right="115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03"/>
        </w:trPr>
        <w:tc>
          <w:tcPr>
            <w:tcW w:w="496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8"/>
                <w:szCs w:val="18"/>
                <w:color w:val="auto"/>
              </w:rPr>
              <w:t>On or after March 30, 2022</w:t>
            </w:r>
          </w:p>
        </w:tc>
        <w:tc>
          <w:tcPr>
            <w:tcW w:w="2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104.125</w:t>
            </w: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On or after March 30, 2023</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102.750 %</w:t>
            </w:r>
          </w:p>
        </w:tc>
      </w:tr>
      <w:tr>
        <w:trPr>
          <w:trHeight w:val="216"/>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On or after March 30, 2024</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101.375 %</w:t>
            </w: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30, 2025 and thereafter</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-559435</wp:posOffset>
            </wp:positionV>
            <wp:extent cx="4774565"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74565" cy="13716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-285115</wp:posOffset>
            </wp:positionV>
            <wp:extent cx="4774565"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74565" cy="137160"/>
                    </a:xfrm>
                    <a:prstGeom prst="rect">
                      <a:avLst/>
                    </a:prstGeom>
                    <a:noFill/>
                  </pic:spPr>
                </pic:pic>
              </a:graphicData>
            </a:graphic>
          </wp:anchor>
        </w:drawing>
      </w:r>
    </w:p>
    <w:p>
      <w:pPr>
        <w:spacing w:after="0" w:line="132" w:lineRule="exact"/>
        <w:rPr>
          <w:sz w:val="20"/>
          <w:szCs w:val="20"/>
          <w:color w:val="auto"/>
        </w:rPr>
      </w:pPr>
    </w:p>
    <w:p>
      <w:pPr>
        <w:ind w:right="80" w:firstLine="584"/>
        <w:spacing w:after="0" w:line="282" w:lineRule="auto"/>
        <w:rPr>
          <w:sz w:val="20"/>
          <w:szCs w:val="20"/>
          <w:color w:val="auto"/>
        </w:rPr>
      </w:pPr>
      <w:r>
        <w:rPr>
          <w:rFonts w:ascii="Times New Roman" w:cs="Times New Roman" w:eastAsia="Times New Roman" w:hAnsi="Times New Roman"/>
          <w:sz w:val="18"/>
          <w:szCs w:val="18"/>
          <w:color w:val="auto"/>
        </w:rPr>
        <w:t>We may also, from time to time in our sole discretion, purchase, redeem, or retire any outstanding Senior Notes, through tender offers, in privately negotiated or open market transactions, or otherwise.</w:t>
      </w:r>
    </w:p>
    <w:p>
      <w:pPr>
        <w:spacing w:after="0" w:line="108" w:lineRule="exact"/>
        <w:rPr>
          <w:sz w:val="20"/>
          <w:szCs w:val="20"/>
          <w:color w:val="auto"/>
        </w:rPr>
      </w:pPr>
    </w:p>
    <w:p>
      <w:pPr>
        <w:ind w:right="60" w:firstLine="584"/>
        <w:spacing w:after="0" w:line="250" w:lineRule="auto"/>
        <w:rPr>
          <w:sz w:val="20"/>
          <w:szCs w:val="20"/>
          <w:color w:val="auto"/>
        </w:rPr>
      </w:pPr>
      <w:r>
        <w:rPr>
          <w:rFonts w:ascii="Times New Roman" w:cs="Times New Roman" w:eastAsia="Times New Roman" w:hAnsi="Times New Roman"/>
          <w:sz w:val="18"/>
          <w:szCs w:val="18"/>
          <w:color w:val="auto"/>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the Senior Notes.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June 30, 2022, there was $2,000.0 million in principal amount of Senior Notes outstanding.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121"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7" w:name="page28"/>
    <w:bookmarkEnd w:id="27"/>
    <w:p>
      <w:pPr>
        <w:spacing w:after="0" w:line="246" w:lineRule="auto"/>
        <w:rPr>
          <w:sz w:val="20"/>
          <w:szCs w:val="20"/>
          <w:color w:val="auto"/>
        </w:rPr>
      </w:pPr>
      <w:r>
        <w:rPr>
          <w:rFonts w:ascii="Times New Roman" w:cs="Times New Roman" w:eastAsia="Times New Roman" w:hAnsi="Times New Roman"/>
          <w:sz w:val="18"/>
          <w:szCs w:val="18"/>
          <w:color w:val="auto"/>
        </w:rPr>
        <w:t>$20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spacing w:after="0" w:line="139"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spacing w:after="0" w:line="139"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4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54"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73" w:lineRule="exact"/>
        <w:rPr>
          <w:sz w:val="20"/>
          <w:szCs w:val="20"/>
          <w:color w:val="auto"/>
        </w:rPr>
      </w:pPr>
    </w:p>
    <w:p>
      <w:pPr>
        <w:ind w:left="720" w:hanging="37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significant interest expense we incur as a result of our debt leverage;</w:t>
      </w:r>
    </w:p>
    <w:p>
      <w:pPr>
        <w:spacing w:after="0" w:line="103"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provision of income tax expense in our various jurisdictions;</w:t>
      </w:r>
    </w:p>
    <w:p>
      <w:pPr>
        <w:spacing w:after="0" w:line="117" w:lineRule="exact"/>
        <w:rPr>
          <w:rFonts w:ascii="Times New Roman" w:cs="Times New Roman" w:eastAsia="Times New Roman" w:hAnsi="Times New Roman"/>
          <w:sz w:val="18"/>
          <w:szCs w:val="18"/>
          <w:color w:val="auto"/>
        </w:rPr>
      </w:pPr>
    </w:p>
    <w:p>
      <w:pPr>
        <w:ind w:left="720" w:right="420" w:hanging="377"/>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any attribution of costs to our operations related to our investments and capital expenditures through depreciation and amortization charges;</w:t>
      </w:r>
    </w:p>
    <w:p>
      <w:pPr>
        <w:spacing w:after="0" w:line="54"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cost of compensation we provide to our employees in the form of stock-based awards;</w:t>
      </w:r>
    </w:p>
    <w:p>
      <w:pPr>
        <w:spacing w:after="0" w:line="117"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equity in earnings of unconsolidated affiliates; and</w:t>
      </w:r>
    </w:p>
    <w:p>
      <w:pPr>
        <w:spacing w:after="0" w:line="103" w:lineRule="exact"/>
        <w:rPr>
          <w:rFonts w:ascii="Times New Roman" w:cs="Times New Roman" w:eastAsia="Times New Roman" w:hAnsi="Times New Roman"/>
          <w:sz w:val="18"/>
          <w:szCs w:val="18"/>
          <w:color w:val="auto"/>
        </w:rPr>
      </w:pPr>
    </w:p>
    <w:p>
      <w:pPr>
        <w:ind w:left="720" w:right="500" w:hanging="377"/>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excludes expenses and income that are permitted to be excluded per the terms of our amended senior secured credit facility, but which others may believe are normal expenses for the operation of a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8" w:name="page29"/>
    <w:bookmarkEnd w:id="28"/>
    <w:p>
      <w:pPr>
        <w:ind w:right="300" w:firstLine="509"/>
        <w:spacing w:after="0" w:line="257" w:lineRule="auto"/>
        <w:rPr>
          <w:sz w:val="20"/>
          <w:szCs w:val="20"/>
          <w:color w:val="auto"/>
        </w:rPr>
      </w:pPr>
      <w:r>
        <w:rPr>
          <w:rFonts w:ascii="Times New Roman" w:cs="Times New Roman" w:eastAsia="Times New Roman" w:hAnsi="Times New Roman"/>
          <w:sz w:val="18"/>
          <w:szCs w:val="18"/>
          <w:color w:val="auto"/>
        </w:rPr>
        <w:t>The following is a reconciliation of net income to Consolidated EBITDA attributable to SS&amp;C common stockholders as defined in our amended senior secured credit facility.</w:t>
      </w:r>
    </w:p>
    <w:p>
      <w:pPr>
        <w:sectPr>
          <w:pgSz w:w="11900" w:h="16838" w:orient="portrait"/>
          <w:cols w:equalWidth="0" w:num="1">
            <w:col w:w="11220"/>
          </w:cols>
          <w:pgMar w:left="320" w:top="5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(in millions)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Net income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Provision for income taxes</w:t>
      </w:r>
    </w:p>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EBITDA</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Acquired EBITDA and cost savings (1)</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Non-cash portion of straight-line rent expense</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Loss on extinguishment of debt</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Purchase accounting adjustments (2)</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ASC 606 adoption impact</w:t>
      </w:r>
    </w:p>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Other (3)</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Consolidated EBITDA</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Consolidated EBITDA attributable to noncontrolling interest (4)</w:t>
      </w:r>
    </w:p>
    <w:p>
      <w:pPr>
        <w:spacing w:after="0" w:line="26" w:lineRule="exact"/>
        <w:rPr>
          <w:sz w:val="20"/>
          <w:szCs w:val="20"/>
          <w:color w:val="auto"/>
        </w:rPr>
      </w:pPr>
    </w:p>
    <w:p>
      <w:pPr>
        <w:ind w:left="760" w:right="500"/>
        <w:spacing w:after="0" w:line="253" w:lineRule="auto"/>
        <w:rPr>
          <w:sz w:val="20"/>
          <w:szCs w:val="20"/>
          <w:color w:val="auto"/>
        </w:rPr>
      </w:pPr>
      <w:r>
        <w:rPr>
          <w:rFonts w:ascii="Times New Roman" w:cs="Times New Roman" w:eastAsia="Times New Roman" w:hAnsi="Times New Roman"/>
          <w:sz w:val="16"/>
          <w:szCs w:val="16"/>
          <w:color w:val="auto"/>
        </w:rPr>
        <w:t>Consolidated EBITDA attributable to SS&amp;C common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w w:val="98"/>
              </w:rPr>
              <w:t>Twelve</w:t>
            </w:r>
          </w:p>
        </w:tc>
      </w:tr>
      <w:tr>
        <w:trPr>
          <w:trHeight w:val="148"/>
        </w:trPr>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62"/>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Ended June</w:t>
            </w:r>
          </w:p>
        </w:tc>
      </w:tr>
      <w:tr>
        <w:trPr>
          <w:trHeight w:val="187"/>
        </w:trPr>
        <w:tc>
          <w:tcPr>
            <w:tcW w:w="120" w:type="dxa"/>
            <w:vAlign w:val="bottom"/>
          </w:tcPr>
          <w:p>
            <w:pPr>
              <w:spacing w:after="0"/>
              <w:rPr>
                <w:sz w:val="16"/>
                <w:szCs w:val="16"/>
                <w:color w:val="auto"/>
              </w:rPr>
            </w:pPr>
          </w:p>
        </w:tc>
        <w:tc>
          <w:tcPr>
            <w:tcW w:w="22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1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7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30,</w:t>
            </w:r>
          </w:p>
        </w:tc>
        <w:tc>
          <w:tcPr>
            <w:tcW w:w="60" w:type="dxa"/>
            <w:vAlign w:val="bottom"/>
          </w:tcPr>
          <w:p>
            <w:pPr>
              <w:spacing w:after="0"/>
              <w:rPr>
                <w:sz w:val="16"/>
                <w:szCs w:val="16"/>
                <w:color w:val="auto"/>
              </w:rPr>
            </w:pPr>
          </w:p>
        </w:tc>
      </w:tr>
      <w:tr>
        <w:trPr>
          <w:trHeight w:val="169"/>
        </w:trPr>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182"/>
        </w:trPr>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110.3</w:t>
            </w:r>
          </w:p>
        </w:tc>
        <w:tc>
          <w:tcPr>
            <w:tcW w:w="280" w:type="dxa"/>
            <w:vAlign w:val="bottom"/>
          </w:tcPr>
          <w:p>
            <w:pPr>
              <w:spacing w:after="0"/>
              <w:rPr>
                <w:sz w:val="15"/>
                <w:szCs w:val="15"/>
                <w:color w:val="auto"/>
              </w:rPr>
            </w:pPr>
          </w:p>
        </w:tc>
        <w:tc>
          <w:tcPr>
            <w:tcW w:w="2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189.8</w:t>
            </w:r>
          </w:p>
        </w:tc>
        <w:tc>
          <w:tcPr>
            <w:tcW w:w="24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281.6</w:t>
            </w:r>
          </w:p>
        </w:tc>
        <w:tc>
          <w:tcPr>
            <w:tcW w:w="200" w:type="dxa"/>
            <w:vAlign w:val="bottom"/>
          </w:tcPr>
          <w:p>
            <w:pPr>
              <w:spacing w:after="0"/>
              <w:rPr>
                <w:sz w:val="15"/>
                <w:szCs w:val="15"/>
                <w:color w:val="auto"/>
              </w:rPr>
            </w:pPr>
          </w:p>
        </w:tc>
        <w:tc>
          <w:tcPr>
            <w:tcW w:w="2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364.7</w:t>
            </w:r>
          </w:p>
        </w:tc>
        <w:tc>
          <w:tcPr>
            <w:tcW w:w="22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717.5</w:t>
            </w:r>
          </w:p>
        </w:tc>
        <w:tc>
          <w:tcPr>
            <w:tcW w:w="60" w:type="dxa"/>
            <w:vAlign w:val="bottom"/>
          </w:tcPr>
          <w:p>
            <w:pPr>
              <w:spacing w:after="0"/>
              <w:rPr>
                <w:sz w:val="15"/>
                <w:szCs w:val="15"/>
                <w:color w:val="auto"/>
              </w:rPr>
            </w:pPr>
          </w:p>
        </w:tc>
      </w:tr>
      <w:tr>
        <w:trPr>
          <w:trHeight w:val="203"/>
        </w:trPr>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60" w:type="dxa"/>
            <w:vAlign w:val="bottom"/>
          </w:tcPr>
          <w:p>
            <w:pPr>
              <w:spacing w:after="0"/>
              <w:rPr>
                <w:sz w:val="17"/>
                <w:szCs w:val="17"/>
                <w:color w:val="auto"/>
              </w:rPr>
            </w:pPr>
          </w:p>
        </w:tc>
      </w:tr>
      <w:tr>
        <w:trPr>
          <w:trHeight w:val="213"/>
        </w:trPr>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661.7</w:t>
            </w:r>
          </w:p>
        </w:tc>
        <w:tc>
          <w:tcPr>
            <w:tcW w:w="60" w:type="dxa"/>
            <w:vAlign w:val="bottom"/>
          </w:tcPr>
          <w:p>
            <w:pPr>
              <w:spacing w:after="0"/>
              <w:rPr>
                <w:sz w:val="18"/>
                <w:szCs w:val="18"/>
                <w:color w:val="auto"/>
              </w:rPr>
            </w:pPr>
          </w:p>
        </w:tc>
      </w:tr>
      <w:tr>
        <w:trPr>
          <w:trHeight w:val="185"/>
        </w:trPr>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60" w:type="dxa"/>
            <w:vAlign w:val="bottom"/>
          </w:tcPr>
          <w:p>
            <w:pPr>
              <w:spacing w:after="0"/>
              <w:rPr>
                <w:sz w:val="16"/>
                <w:szCs w:val="16"/>
                <w:color w:val="auto"/>
              </w:rPr>
            </w:pPr>
          </w:p>
        </w:tc>
      </w:tr>
      <w:tr>
        <w:trPr>
          <w:trHeight w:val="203"/>
        </w:trPr>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(1.2 )</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03"/>
        </w:trPr>
        <w:tc>
          <w:tcPr>
            <w:tcW w:w="12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(0.3 )</w:t>
            </w:r>
          </w:p>
        </w:tc>
        <w:tc>
          <w:tcPr>
            <w:tcW w:w="2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(0.9 )</w:t>
            </w: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(0.7 )</w:t>
            </w:r>
          </w:p>
        </w:tc>
        <w:tc>
          <w:tcPr>
            <w:tcW w:w="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03"/>
        </w:trPr>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(1.1 )</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(2.4 )</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(27.9 )</w:t>
            </w:r>
          </w:p>
        </w:tc>
      </w:tr>
      <w:tr>
        <w:trPr>
          <w:trHeight w:val="203"/>
        </w:trPr>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(0.4 )</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(0.8 )</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3"/>
        </w:trPr>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60" w:type="dxa"/>
            <w:vAlign w:val="bottom"/>
          </w:tcPr>
          <w:p>
            <w:pPr>
              <w:spacing w:after="0"/>
              <w:rPr>
                <w:sz w:val="18"/>
                <w:szCs w:val="18"/>
                <w:color w:val="auto"/>
              </w:rPr>
            </w:pPr>
          </w:p>
        </w:tc>
      </w:tr>
      <w:tr>
        <w:trPr>
          <w:trHeight w:val="199"/>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985.0</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1,004.3</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2,047.9</w:t>
            </w:r>
          </w:p>
        </w:tc>
        <w:tc>
          <w:tcPr>
            <w:tcW w:w="60" w:type="dxa"/>
            <w:vAlign w:val="bottom"/>
          </w:tcPr>
          <w:p>
            <w:pPr>
              <w:spacing w:after="0"/>
              <w:rPr>
                <w:sz w:val="17"/>
                <w:szCs w:val="17"/>
                <w:color w:val="auto"/>
              </w:rPr>
            </w:pPr>
          </w:p>
        </w:tc>
      </w:tr>
      <w:tr>
        <w:trPr>
          <w:trHeight w:val="196"/>
        </w:trPr>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15"/>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280" w:type="dxa"/>
            <w:vAlign w:val="bottom"/>
          </w:tcPr>
          <w:p>
            <w:pPr>
              <w:spacing w:after="0"/>
              <w:rPr>
                <w:sz w:val="24"/>
                <w:szCs w:val="24"/>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w:t>
            </w:r>
          </w:p>
        </w:tc>
        <w:tc>
          <w:tcPr>
            <w:tcW w:w="2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984.7</w:t>
            </w:r>
          </w:p>
        </w:tc>
        <w:tc>
          <w:tcPr>
            <w:tcW w:w="200" w:type="dxa"/>
            <w:vAlign w:val="bottom"/>
          </w:tcPr>
          <w:p>
            <w:pPr>
              <w:spacing w:after="0"/>
              <w:rPr>
                <w:sz w:val="24"/>
                <w:szCs w:val="24"/>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1,004.3</w:t>
            </w:r>
          </w:p>
        </w:tc>
        <w:tc>
          <w:tcPr>
            <w:tcW w:w="2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2,045.6</w:t>
            </w:r>
          </w:p>
        </w:tc>
        <w:tc>
          <w:tcPr>
            <w:tcW w:w="60" w:type="dxa"/>
            <w:vAlign w:val="bottom"/>
          </w:tcPr>
          <w:p>
            <w:pPr>
              <w:spacing w:after="0"/>
              <w:rPr>
                <w:sz w:val="24"/>
                <w:szCs w:val="24"/>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-2065020</wp:posOffset>
            </wp:positionV>
            <wp:extent cx="6412230"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-1807845</wp:posOffset>
            </wp:positionV>
            <wp:extent cx="641223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-1542415</wp:posOffset>
            </wp:positionV>
            <wp:extent cx="6412230"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-1285240</wp:posOffset>
            </wp:positionV>
            <wp:extent cx="6412230"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-1028065</wp:posOffset>
            </wp:positionV>
            <wp:extent cx="6412230"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-770890</wp:posOffset>
            </wp:positionV>
            <wp:extent cx="6412230"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-504825</wp:posOffset>
            </wp:positionV>
            <wp:extent cx="641223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-230505</wp:posOffset>
            </wp:positionV>
            <wp:extent cx="6412230" cy="2311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12230" cy="231140"/>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4760" w:space="360"/>
            <w:col w:w="6100"/>
          </w:cols>
          <w:pgMar w:left="320" w:top="5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6" w:lineRule="exact"/>
        <w:rPr>
          <w:sz w:val="20"/>
          <w:szCs w:val="20"/>
          <w:color w:val="auto"/>
        </w:rPr>
      </w:pPr>
    </w:p>
    <w:p>
      <w:pPr>
        <w:ind w:left="520" w:right="220" w:hanging="512"/>
        <w:spacing w:after="0" w:line="24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spacing w:after="0" w:line="1" w:lineRule="exact"/>
        <w:rPr>
          <w:rFonts w:ascii="Times New Roman" w:cs="Times New Roman" w:eastAsia="Times New Roman" w:hAnsi="Times New Roman"/>
          <w:sz w:val="18"/>
          <w:szCs w:val="18"/>
          <w:color w:val="auto"/>
        </w:rPr>
      </w:pPr>
    </w:p>
    <w:p>
      <w:pPr>
        <w:ind w:left="520" w:right="40" w:hanging="512"/>
        <w:spacing w:after="0" w:line="249" w:lineRule="auto"/>
        <w:tabs>
          <w:tab w:leader="none" w:pos="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an adjustment to increase or decrease rent expense by the amount that would have been recognized if lease obligations were not adjusted to fair</w: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value at the date of acquisitions.</w:t>
      </w:r>
    </w:p>
    <w:p>
      <w:pPr>
        <w:ind w:left="520" w:right="4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expenses and income that are permitted to be excluded per the terms of our amended senior secured credit facility from Consolidated EBITDA, a financial measure used in calculating our covenant compliance. These include expenses and income related to foreign currency transactions, investment gains and losses, facilities and workforce restructuring, legal settlements, business combinations and other items.</w:t>
      </w:r>
    </w:p>
    <w:p>
      <w:pPr>
        <w:ind w:left="520" w:right="420" w:hanging="512"/>
        <w:spacing w:after="0" w:line="243"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attributable to noncontrolling interest represents Consolidated EBITDA based on the ownership interest retained by the noncontrolling parties of DomaniRx.</w:t>
      </w:r>
    </w:p>
    <w:p>
      <w:pPr>
        <w:spacing w:after="0" w:line="18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covenant requirement for consolidated net secured leverage ratio and the actual ratio as of June 30, 2022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87"/>
        </w:trPr>
        <w:tc>
          <w:tcPr>
            <w:tcW w:w="58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55"/>
        </w:trPr>
        <w:tc>
          <w:tcPr>
            <w:tcW w:w="580" w:type="dxa"/>
            <w:vAlign w:val="bottom"/>
          </w:tcPr>
          <w:p>
            <w:pPr>
              <w:spacing w:after="0"/>
              <w:rPr>
                <w:sz w:val="13"/>
                <w:szCs w:val="13"/>
                <w:color w:val="auto"/>
              </w:rPr>
            </w:pPr>
          </w:p>
        </w:tc>
        <w:tc>
          <w:tcPr>
            <w:tcW w:w="6940" w:type="dxa"/>
            <w:vAlign w:val="bottom"/>
            <w:shd w:val="clear" w:color="auto" w:fill="CFF0FC"/>
          </w:tcPr>
          <w:p>
            <w:pPr>
              <w:jc w:val="right"/>
              <w:ind w:right="3430"/>
              <w:spacing w:after="0" w:line="156" w:lineRule="exact"/>
              <w:rPr>
                <w:sz w:val="20"/>
                <w:szCs w:val="20"/>
                <w:color w:val="auto"/>
              </w:rPr>
            </w:pPr>
            <w:r>
              <w:rPr>
                <w:rFonts w:ascii="Times New Roman" w:cs="Times New Roman" w:eastAsia="Times New Roman" w:hAnsi="Times New Roman"/>
                <w:sz w:val="18"/>
                <w:szCs w:val="18"/>
                <w:color w:val="auto"/>
                <w:w w:val="99"/>
              </w:rPr>
              <w:t>Maximum consolidated net secured leverage to</w:t>
            </w:r>
          </w:p>
        </w:tc>
        <w:tc>
          <w:tcPr>
            <w:tcW w:w="1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243"/>
        </w:trPr>
        <w:tc>
          <w:tcPr>
            <w:tcW w:w="580" w:type="dxa"/>
            <w:vAlign w:val="bottom"/>
          </w:tcPr>
          <w:p>
            <w:pPr>
              <w:spacing w:after="0"/>
              <w:rPr>
                <w:sz w:val="21"/>
                <w:szCs w:val="21"/>
                <w:color w:val="auto"/>
              </w:rPr>
            </w:pPr>
          </w:p>
        </w:tc>
        <w:tc>
          <w:tcPr>
            <w:tcW w:w="6940" w:type="dxa"/>
            <w:vAlign w:val="bottom"/>
            <w:shd w:val="clear" w:color="auto" w:fill="CFF0FC"/>
          </w:tcPr>
          <w:p>
            <w:pPr>
              <w:jc w:val="right"/>
              <w:ind w:right="4530"/>
              <w:spacing w:after="0" w:line="243" w:lineRule="exact"/>
              <w:rPr>
                <w:sz w:val="20"/>
                <w:szCs w:val="20"/>
                <w:color w:val="auto"/>
              </w:rPr>
            </w:pPr>
            <w:r>
              <w:rPr>
                <w:rFonts w:ascii="Times New Roman" w:cs="Times New Roman" w:eastAsia="Times New Roman" w:hAnsi="Times New Roman"/>
                <w:sz w:val="18"/>
                <w:szCs w:val="18"/>
                <w:color w:val="auto"/>
              </w:rPr>
              <w:t>Consolidated EBITDA ratio</w:t>
            </w:r>
            <w:r>
              <w:rPr>
                <w:rFonts w:ascii="Times New Roman" w:cs="Times New Roman" w:eastAsia="Times New Roman" w:hAnsi="Times New Roman"/>
                <w:sz w:val="24"/>
                <w:szCs w:val="24"/>
                <w:color w:val="auto"/>
                <w:vertAlign w:val="superscript"/>
              </w:rPr>
              <w:t>(1)</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6.25x</w:t>
            </w:r>
          </w:p>
        </w:tc>
        <w:tc>
          <w:tcPr>
            <w:tcW w:w="16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2.48</w:t>
            </w:r>
          </w:p>
        </w:tc>
      </w:tr>
      <w:tr>
        <w:trPr>
          <w:trHeight w:val="134"/>
        </w:trPr>
        <w:tc>
          <w:tcPr>
            <w:tcW w:w="7520" w:type="dxa"/>
            <w:vAlign w:val="bottom"/>
            <w:gridSpan w:val="2"/>
          </w:tcPr>
          <w:p>
            <w:pPr>
              <w:jc w:val="right"/>
              <w:ind w:right="5050"/>
              <w:spacing w:after="0"/>
              <w:rPr>
                <w:sz w:val="20"/>
                <w:szCs w:val="20"/>
                <w:color w:val="auto"/>
              </w:rPr>
            </w:pPr>
            <w:r>
              <w:rPr>
                <w:rFonts w:ascii="Times New Roman" w:cs="Times New Roman" w:eastAsia="Times New Roman" w:hAnsi="Times New Roman"/>
                <w:sz w:val="9"/>
                <w:szCs w:val="9"/>
                <w:color w:val="auto"/>
                <w:w w:val="98"/>
              </w:rPr>
              <w:t>_____________________________________________________</w:t>
            </w: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r>
    </w:tbl>
    <w:p>
      <w:pPr>
        <w:ind w:left="520" w:hanging="512"/>
        <w:spacing w:after="0" w:line="243"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ratio of consolidated net secured funded indebtedness, net of cash and cash equivalents, excluding $148.3 million of cash and cash equivalents held at DomaniRx,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p>
    <w:p>
      <w:pPr>
        <w:spacing w:after="0" w:line="2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ASU 2021-08 requires companies to apply ASC 606 to recognize and measure contract assets and contract liabilities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acquired in a business combination on the acquisition date. Generally, this new guidance with result in an acquirer recognizing contract assets and contract liabilities at the same amounts recorded by the acquiree. Under current GAAP, we have historically recognized contract assets and contract liabilities acquired in a business combination at fair value. ASU 2021-08 is effective for fiscal years beginning after December 15, 2022, and interim periods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type w:val="continuous"/>
        </w:sectPr>
      </w:pPr>
    </w:p>
    <w:bookmarkStart w:id="29" w:name="page30"/>
    <w:bookmarkEnd w:id="29"/>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within those fiscal years. Early adoption is permitted, including adoption in an interim period. ASU 2021-08 should be applied prospectively to business combinations that occur after the effective date. We adopted ASU 2021-08 as of January 1, 2022 on a prospective basis. The adoption of this standard did not have a material impact on our financial position, results of operations or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 Not Yet Effective</w:t>
      </w:r>
    </w:p>
    <w:p>
      <w:pPr>
        <w:spacing w:after="0" w:line="212"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ASU 2020-04 provides optional expedients and exceptions for applying GAAP if certain criteria are met to contracts,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relationships and other transactions that reference LIBOR or another reference rate expected to be discontinued. In January 2021, the FASB issued Update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to contract modifications made on or before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on our financial condition and results of operations.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0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We derive service revenues from investment earnings related to cash balances maintained in bank accounts on which we are the agent for clients. The balances maintained in the bank accounts will fluctuate. For the six months ended June 30, 2022, we had average daily cash balances of approximately $2,494.7 million maintained in such accounts. We estimate that a 100 basis point change in the interest earnings rate would equal approximately $9.2 million of net income, net of income taxes, on an annual basis. The effect of changes in interest rates attributable to earnings derived from cash balances we hold for clients is offset by changes in interest rates on our variable debt.</w:t>
      </w:r>
    </w:p>
    <w:p>
      <w:pPr>
        <w:spacing w:after="0" w:line="144"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At June 30, 2022, we had total variable interest rate debt of approximately $5,350.5 million. As of June 30, 2022, a 100 basis point increase in interest rates would result in an increase in interest expense of approximately $53.5 million per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have exposure to equity price risk as a result of our investments in equity securities. Equity price risk results from changes in the level or</w:t>
      </w:r>
    </w:p>
    <w:p>
      <w:pPr>
        <w:spacing w:after="0" w:line="1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volatility of equity prices which affect the value of equity securities or instruments that derive their value from such securities or indexes. The fair value of our investments that are subject to equity price risk as of June 30, 2022 was approximately $61.4 million. The impact of a 10% change in fair value of these investments would have been approximately $4.6 million to net income, net of income taxes. Changes in equity values of our investments could have a material effect on our results of operations and our financial position.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16"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During the six months ended June 30, 2022, approximately 29% of our revenues were from clients located outside the United States.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(expense) income. These amounts were not material for the six months ended June 30, 2022.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because of our acquisitions and changes in our operations. We do not enter into any market risk sensitive instruments for trading purposes.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1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2022.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defined in Rules 13a-15(f) and 15d-15(f) under the Exchange Act) that occurred during the fiscal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1" w:name="page32"/>
    <w:bookmarkEnd w:id="3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information regarding certain legal proceedings in which we are involved as set forth in Note 14 – Commitments and Contingencies of the Notes to the Condensed Consolidated Financial Statements (Part I, Item 1 of this Quarterly Report on Form 10-Q) is incorporated by reference into this Item 1.</w:t>
      </w:r>
    </w:p>
    <w:p>
      <w:pPr>
        <w:spacing w:after="0" w:line="129"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spacing w:after="0" w:line="17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report, there have been no material changes to the risk factors we previously disclosed in our Annual Report on Form 10-K for the year ended December 31, 2021.</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repurchases of our common stock in the second quarter of 2022.</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24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The exhibits listed in the Exhibit Index immediately preceding such exhibits are filed as part of this Report.</w:t>
            </w: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4"/>
          </w:tcPr>
          <w:p>
            <w:pPr>
              <w:ind w:left="38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7"/>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the Registrant’s Chief Executive Officer pursuant to Section 302 of the Sarbanes-Oxley Act of 2002</w:t>
            </w:r>
          </w:p>
        </w:tc>
        <w:tc>
          <w:tcPr>
            <w:tcW w:w="0" w:type="dxa"/>
            <w:vAlign w:val="bottom"/>
          </w:tcPr>
          <w:p>
            <w:pPr>
              <w:spacing w:after="0"/>
              <w:rPr>
                <w:sz w:val="1"/>
                <w:szCs w:val="1"/>
                <w:color w:val="auto"/>
              </w:rPr>
            </w:pPr>
          </w:p>
        </w:tc>
      </w:tr>
      <w:tr>
        <w:trPr>
          <w:trHeight w:val="52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the Registrant’s Chief Financial Officer pursuant to Section 302 of the Sarbanes-Oxley Act of 2002</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040" w:right="20" w:hanging="1019"/>
        <w:spacing w:after="0" w:line="23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-264160</wp:posOffset>
            </wp:positionV>
            <wp:extent cx="64719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-144145</wp:posOffset>
            </wp:positionV>
            <wp:extent cx="64496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4969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-24130</wp:posOffset>
            </wp:positionV>
            <wp:extent cx="11169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840" w:type="dxa"/>
            <w:vAlign w:val="bottom"/>
          </w:tcPr>
          <w:p>
            <w:pPr>
              <w:spacing w:after="0"/>
              <w:rPr>
                <w:sz w:val="20"/>
                <w:szCs w:val="20"/>
                <w:color w:val="auto"/>
              </w:rPr>
            </w:pP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54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54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54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54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306" w:lineRule="exact"/>
        <w:rPr>
          <w:sz w:val="20"/>
          <w:szCs w:val="20"/>
          <w:color w:val="auto"/>
        </w:rPr>
      </w:pPr>
    </w:p>
    <w:p>
      <w:pPr>
        <w:ind w:left="1040" w:hanging="10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SS&amp;C TECHNOLOGIES HOLDINGS, INC.</w:t>
      </w:r>
    </w:p>
    <w:p>
      <w:pPr>
        <w:spacing w:after="0" w:line="266" w:lineRule="exact"/>
        <w:rPr>
          <w:sz w:val="20"/>
          <w:szCs w:val="20"/>
          <w:color w:val="auto"/>
        </w:rPr>
      </w:pPr>
    </w:p>
    <w:p>
      <w:pPr>
        <w:ind w:left="620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Patrick J. Pedonti</w:t>
      </w:r>
    </w:p>
    <w:p>
      <w:pPr>
        <w:ind w:left="6660"/>
        <w:spacing w:after="0" w:line="219" w:lineRule="auto"/>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6660"/>
        <w:spacing w:after="0" w:line="232" w:lineRule="auto"/>
        <w:rPr>
          <w:sz w:val="20"/>
          <w:szCs w:val="20"/>
          <w:color w:val="auto"/>
        </w:rPr>
      </w:pPr>
      <w:r>
        <w:rPr>
          <w:rFonts w:ascii="Times New Roman" w:cs="Times New Roman" w:eastAsia="Times New Roman" w:hAnsi="Times New Roman"/>
          <w:sz w:val="17"/>
          <w:szCs w:val="17"/>
          <w:color w:val="auto"/>
        </w:rPr>
        <w:t>(Duly Authorized Officer, Principal Financial and Accounting</w:t>
      </w:r>
    </w:p>
    <w:p>
      <w:pPr>
        <w:ind w:left="6660"/>
        <w:spacing w:after="0"/>
        <w:rPr>
          <w:sz w:val="20"/>
          <w:szCs w:val="20"/>
          <w:color w:val="auto"/>
        </w:rPr>
      </w:pPr>
      <w:r>
        <w:rPr>
          <w:rFonts w:ascii="Times New Roman" w:cs="Times New Roman" w:eastAsia="Times New Roman" w:hAnsi="Times New Roman"/>
          <w:sz w:val="18"/>
          <w:szCs w:val="18"/>
          <w:color w:val="auto"/>
        </w:rPr>
        <w:t>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0"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 Stone, certify that:</w:t>
      </w:r>
    </w:p>
    <w:p>
      <w:pPr>
        <w:spacing w:after="0" w:line="104"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SS&amp;C Technologies Holdings,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100" w:hanging="512"/>
        <w:spacing w:after="0" w:line="266"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7"/>
          <w:szCs w:val="17"/>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C. Stone</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J. Pedonti, certify that:</w:t>
      </w:r>
    </w:p>
    <w:p>
      <w:pPr>
        <w:spacing w:after="0" w:line="104"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SS&amp;C Technologies Holdings,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100" w:hanging="512"/>
        <w:spacing w:after="0" w:line="266"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7"/>
          <w:szCs w:val="17"/>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Patrick J. Pedonti</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5" w:lineRule="exact"/>
        <w:rPr>
          <w:sz w:val="20"/>
          <w:szCs w:val="20"/>
          <w:color w:val="auto"/>
        </w:rPr>
      </w:pPr>
    </w:p>
    <w:p>
      <w:pPr>
        <w:jc w:val="both"/>
        <w:ind w:right="160" w:firstLine="1018"/>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SS&amp;C Technologies Holdings, Inc. (the “Company”) for the period ended June 30, 2022 as filed with the Securities and Exchange Commission on the date hereof (the “Report”), the undersigned officers of the Company hereby certify to their knowledge, pursuant to 18 U.S.C. Section 1350, that:</w:t>
      </w:r>
    </w:p>
    <w:p>
      <w:pPr>
        <w:spacing w:after="0" w:line="82" w:lineRule="exact"/>
        <w:rPr>
          <w:sz w:val="20"/>
          <w:szCs w:val="20"/>
          <w:color w:val="auto"/>
        </w:rPr>
      </w:pPr>
    </w:p>
    <w:p>
      <w:pPr>
        <w:ind w:left="820" w:hanging="363"/>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820" w:hanging="363"/>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20"/>
        <w:spacing w:after="0"/>
        <w:tabs>
          <w:tab w:leader="none" w:pos="5300" w:val="left"/>
          <w:tab w:leader="none" w:pos="574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William C. Stone</w:t>
      </w:r>
    </w:p>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20"/>
        <w:spacing w:after="0"/>
        <w:tabs>
          <w:tab w:leader="none" w:pos="5300" w:val="left"/>
          <w:tab w:leader="none" w:pos="574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Patrick J. Pedonti</w:t>
      </w:r>
    </w:p>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32"/>
    </w:lvl>
  </w:abstractNum>
  <w:abstractNum w:abstractNumId="9">
    <w:nsid w:val="1190CDE7"/>
    <w:multiLevelType w:val="hybridMultilevel"/>
    <w:lvl w:ilvl="0">
      <w:lvlJc w:val="left"/>
      <w:lvlText w:val="%1"/>
      <w:numFmt w:val="decimal"/>
      <w:start w:val="104"/>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2022-08-04T16:52:13Z</dcterms:created>
  <dcterms:modified xsi:type="dcterms:W3CDTF">2022-08-04T16:52:13Z</dcterms:modified>
</cp:coreProperties>
</file>