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2" w:lineRule="exact"/>
        <w:rPr>
          <w:sz w:val="24"/>
          <w:szCs w:val="24"/>
          <w:color w:val="auto"/>
        </w:rPr>
      </w:pPr>
    </w:p>
    <w:p>
      <w:pPr>
        <w:ind w:left="2480" w:hanging="211"/>
        <w:spacing w:after="0"/>
        <w:tabs>
          <w:tab w:leader="none" w:pos="2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QUARTERLY REPORT PURSUANT TO SECTION 13 OR 15(d) OF THE</w:t>
      </w:r>
    </w:p>
    <w:p>
      <w:pPr>
        <w:spacing w:after="0" w:line="25"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-307975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40" w:lineRule="exact"/>
        <w:rPr>
          <w:sz w:val="24"/>
          <w:szCs w:val="24"/>
          <w:color w:val="auto"/>
        </w:rPr>
      </w:pPr>
    </w:p>
    <w:p>
      <w:pPr>
        <w:ind w:left="2480" w:hanging="211"/>
        <w:spacing w:after="0"/>
        <w:tabs>
          <w:tab w:leader="none" w:pos="2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TRANSITION REPORT PURSUANT TO SECTION 13 OR 15(d) OF THE</w:t>
      </w:r>
    </w:p>
    <w:p>
      <w:pPr>
        <w:spacing w:after="0" w:line="25"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SECURITIES EXCHANGE ACT OF 1934</w:t>
      </w:r>
    </w:p>
    <w:p>
      <w:pPr>
        <w:spacing w:after="0" w:line="113" w:lineRule="exact"/>
        <w:rPr>
          <w:sz w:val="24"/>
          <w:szCs w:val="24"/>
          <w:color w:val="auto"/>
        </w:rPr>
      </w:pPr>
    </w:p>
    <w:p>
      <w:pPr>
        <w:ind w:left="40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66040</wp:posOffset>
            </wp:positionV>
            <wp:extent cx="1885950" cy="1097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SS&amp;C TECHNOLOGIES HOLDINGS, INC.</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p>
      <w:pPr>
        <w:spacing w:after="0" w:line="228"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71-0987913</w:t>
      </w:r>
    </w:p>
    <w:p>
      <w:pPr>
        <w:spacing w:after="0" w:line="54" w:lineRule="exact"/>
        <w:rPr>
          <w:sz w:val="24"/>
          <w:szCs w:val="24"/>
          <w:color w:val="auto"/>
        </w:rPr>
      </w:pPr>
    </w:p>
    <w:p>
      <w:pPr>
        <w:sectPr>
          <w:pgSz w:w="11900" w:h="16838" w:orient="portrait"/>
          <w:cols w:equalWidth="0" w:num="2">
            <w:col w:w="7340" w:space="720"/>
            <w:col w:w="3120"/>
          </w:cols>
          <w:pgMar w:left="320" w:top="1307" w:right="39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3" w:lineRule="exact"/>
        <w:rPr>
          <w:sz w:val="24"/>
          <w:szCs w:val="24"/>
          <w:color w:val="auto"/>
        </w:rPr>
      </w:pPr>
    </w:p>
    <w:p>
      <w:pPr>
        <w:sectPr>
          <w:pgSz w:w="11900" w:h="16838" w:orient="portrait"/>
          <w:cols w:equalWidth="0" w:num="2">
            <w:col w:w="7340" w:space="720"/>
            <w:col w:w="3120"/>
          </w:cols>
          <w:pgMar w:left="320" w:top="1307" w:right="399" w:bottom="1440" w:gutter="0" w:footer="0" w:header="0"/>
          <w:type w:val="continuous"/>
        </w:sectPr>
      </w:pPr>
    </w:p>
    <w:p>
      <w:pPr>
        <w:ind w:left="5000"/>
        <w:spacing w:after="0"/>
        <w:rPr>
          <w:sz w:val="20"/>
          <w:szCs w:val="20"/>
          <w:color w:val="auto"/>
        </w:rPr>
      </w:pPr>
      <w:r>
        <w:rPr>
          <w:rFonts w:ascii="Times New Roman" w:cs="Times New Roman" w:eastAsia="Times New Roman" w:hAnsi="Times New Roman"/>
          <w:sz w:val="14"/>
          <w:szCs w:val="14"/>
          <w:b w:val="1"/>
          <w:bCs w:val="1"/>
          <w:color w:val="auto"/>
        </w:rPr>
        <w:t>80 Lamberton Road</w:t>
      </w:r>
    </w:p>
    <w:p>
      <w:pPr>
        <w:ind w:left="5020"/>
        <w:spacing w:after="0" w:line="228" w:lineRule="auto"/>
        <w:rPr>
          <w:sz w:val="20"/>
          <w:szCs w:val="20"/>
          <w:color w:val="auto"/>
        </w:rPr>
      </w:pPr>
      <w:r>
        <w:rPr>
          <w:rFonts w:ascii="Times New Roman" w:cs="Times New Roman" w:eastAsia="Times New Roman" w:hAnsi="Times New Roman"/>
          <w:sz w:val="14"/>
          <w:szCs w:val="14"/>
          <w:b w:val="1"/>
          <w:bCs w:val="1"/>
          <w:color w:val="auto"/>
        </w:rPr>
        <w:t>Windsor, CT 06095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860-298-4500</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type w:val="continuous"/>
        </w:sectPr>
      </w:pPr>
    </w:p>
    <w:p>
      <w:pPr>
        <w:spacing w:after="0" w:line="163"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6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2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06"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Trading Symbol</w:t>
            </w:r>
          </w:p>
        </w:tc>
        <w:tc>
          <w:tcPr>
            <w:tcW w:w="28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94"/>
        </w:trPr>
        <w:tc>
          <w:tcPr>
            <w:tcW w:w="29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SSNC</w:t>
            </w:r>
          </w:p>
        </w:tc>
        <w:tc>
          <w:tcPr>
            <w:tcW w:w="3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6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245,419,928 shares of the registrant’s common stock outstanding as of July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SS&amp;C TECHNOLOGIES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1. FINANCIAL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6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5660" w:type="dxa"/>
            <w:vAlign w:val="bottom"/>
            <w:tcBorders>
              <w:left w:val="single" w:sz="8" w:color="0000FF"/>
            </w:tcBorders>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60" w:type="dxa"/>
            <w:vAlign w:val="bottom"/>
            <w:gridSpan w:val="7"/>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2023, filed with the Securities and Exchange Commission on February 28, 2024,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8"/>
        </w:trPr>
        <w:tc>
          <w:tcPr>
            <w:tcW w:w="7720" w:type="dxa"/>
            <w:vAlign w:val="bottom"/>
          </w:tcPr>
          <w:p>
            <w:pPr>
              <w:spacing w:after="0"/>
              <w:rPr>
                <w:sz w:val="15"/>
                <w:szCs w:val="15"/>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Funds receivable and funds held on behalf of clients</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$29.9 and $25.1, respectively</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assets</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3,132.1</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2)</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(Note 3)</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Unconsolidated affiliates (Note 4)</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337.1</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(Note 5)</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8,935.3</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8,969.5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and other assets, net of accumulated amortization of $4,354.1 and $4,063.4, respectively</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3,709.2</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040" w:type="dxa"/>
            <w:vAlign w:val="bottom"/>
            <w:tcBorders>
              <w:bottom w:val="single" w:sz="8" w:color="auto"/>
            </w:tcBorders>
            <w:shd w:val="clear" w:color="auto" w:fill="CFF0FC"/>
          </w:tcPr>
          <w:p>
            <w:pPr>
              <w:jc w:val="right"/>
              <w:ind w:right="89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16,905.2</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18,102.5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77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(Note 6)</w:t>
            </w:r>
          </w:p>
        </w:tc>
        <w:tc>
          <w:tcPr>
            <w:tcW w:w="104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Client funds obligations</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employee compensation and benefits</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payable</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accrued expenses</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revenues</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2,691.7</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 (Note 6)</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6,575.1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769.7</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10,418.4</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 (Note 7):</w:t>
            </w: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Preferred stock, $0.01 par value per share, 5.0 million shares authorized; no shares issued</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77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non-voting common stock, $0.01 par value per share, 5.0 million shares authorized;</w:t>
            </w:r>
          </w:p>
        </w:tc>
        <w:tc>
          <w:tcPr>
            <w:tcW w:w="104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 shares issued</w:t>
            </w:r>
          </w:p>
        </w:tc>
        <w:tc>
          <w:tcPr>
            <w:tcW w:w="10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$0.01 par value per share, 400.0 million shares authorized; 278.6 million shares and 275.9 million shares</w:t>
            </w:r>
          </w:p>
        </w:tc>
        <w:tc>
          <w:tcPr>
            <w:tcW w:w="104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issued, respectively, and 244.8 million shares and 246.6 million shares outstanding, respectively</w:t>
            </w:r>
          </w:p>
        </w:tc>
        <w:tc>
          <w:tcPr>
            <w:tcW w:w="104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5,557.0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(471.1 )</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(426.3 )</w:t>
            </w: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3,354.4</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 of common stock in treasury, 33.8 and 29.3 million shares, respectively</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(2,015.2 )</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(1,734.2 )</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 SS&amp;C stockholders’ equity</w:t>
            </w:r>
          </w:p>
        </w:tc>
        <w:tc>
          <w:tcPr>
            <w:tcW w:w="10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6,427.9</w:t>
            </w:r>
          </w:p>
        </w:tc>
        <w:tc>
          <w:tcPr>
            <w:tcW w:w="3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6,339.6</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 (Note 8)</w:t>
            </w:r>
          </w:p>
        </w:tc>
        <w:tc>
          <w:tcPr>
            <w:tcW w:w="10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6,486.8</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1040" w:type="dxa"/>
            <w:vAlign w:val="bottom"/>
            <w:tcBorders>
              <w:bottom w:val="single" w:sz="8" w:color="auto"/>
            </w:tcBorders>
            <w:shd w:val="clear" w:color="auto" w:fill="CFF0FC"/>
          </w:tcPr>
          <w:p>
            <w:pPr>
              <w:jc w:val="right"/>
              <w:ind w:right="89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16,905.2</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18,102.5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-3522345</wp:posOffset>
            </wp:positionV>
            <wp:extent cx="77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-1816735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-264795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460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w:t>
      </w:r>
      <w:r>
        <w:rPr>
          <w:rFonts w:ascii="Times New Roman" w:cs="Times New Roman" w:eastAsia="Times New Roman" w:hAnsi="Times New Roman"/>
          <w:sz w:val="14"/>
          <w:szCs w:val="14"/>
          <w:b w:val="1"/>
          <w:bCs w:val="1"/>
          <w:color w:val="auto"/>
        </w:rPr>
        <w:t>(In millions, except per share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4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1,106.5</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2,380.1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2,220.7</w:t>
            </w:r>
          </w:p>
        </w:tc>
        <w:tc>
          <w:tcPr>
            <w:tcW w:w="100" w:type="dxa"/>
            <w:vAlign w:val="bottom"/>
            <w:shd w:val="clear" w:color="auto" w:fill="CFF0FC"/>
          </w:tcPr>
          <w:p>
            <w:pPr>
              <w:spacing w:after="0"/>
              <w:rPr>
                <w:sz w:val="20"/>
                <w:szCs w:val="20"/>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2,886.5</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1,287.8</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1,259.6</w:t>
            </w:r>
          </w:p>
        </w:tc>
        <w:tc>
          <w:tcPr>
            <w:tcW w:w="100" w:type="dxa"/>
            <w:vAlign w:val="bottom"/>
            <w:shd w:val="clear" w:color="auto" w:fill="CFF0FC"/>
          </w:tcPr>
          <w:p>
            <w:pPr>
              <w:spacing w:after="0"/>
              <w:rPr>
                <w:sz w:val="20"/>
                <w:szCs w:val="20"/>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cost of revenues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1,481.0</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641.1</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1,278.1</w:t>
            </w:r>
          </w:p>
        </w:tc>
        <w:tc>
          <w:tcPr>
            <w:tcW w:w="100" w:type="dxa"/>
            <w:vAlign w:val="bottom"/>
          </w:tcPr>
          <w:p>
            <w:pPr>
              <w:spacing w:after="0"/>
              <w:rPr>
                <w:sz w:val="19"/>
                <w:szCs w:val="19"/>
                <w:color w:val="auto"/>
              </w:rPr>
            </w:pPr>
          </w:p>
        </w:tc>
      </w:tr>
      <w:tr>
        <w:trPr>
          <w:trHeight w:val="22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and marketing</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Pr>
          <w:p>
            <w:pPr>
              <w:spacing w:after="0"/>
              <w:rPr>
                <w:sz w:val="19"/>
                <w:szCs w:val="19"/>
                <w:color w:val="auto"/>
              </w:rPr>
            </w:pPr>
          </w:p>
        </w:tc>
      </w:tr>
      <w:tr>
        <w:trPr>
          <w:trHeight w:val="239"/>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00" w:type="dxa"/>
            <w:vAlign w:val="bottom"/>
            <w:shd w:val="clear" w:color="auto" w:fill="CFF0FC"/>
          </w:tcPr>
          <w:p>
            <w:pPr>
              <w:spacing w:after="0"/>
              <w:rPr>
                <w:sz w:val="20"/>
                <w:szCs w:val="20"/>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745.0</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100" w:type="dxa"/>
            <w:vAlign w:val="bottom"/>
          </w:tcPr>
          <w:p>
            <w:pPr>
              <w:spacing w:after="0"/>
              <w:rPr>
                <w:sz w:val="18"/>
                <w:szCs w:val="18"/>
                <w:color w:val="auto"/>
              </w:rPr>
            </w:pPr>
          </w:p>
        </w:tc>
      </w:tr>
      <w:tr>
        <w:trPr>
          <w:trHeight w:val="239"/>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(113.3 )</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(118.0 )</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(229.3 )</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(229.9 )</w:t>
            </w:r>
          </w:p>
        </w:tc>
      </w:tr>
      <w:tr>
        <w:trPr>
          <w:trHeight w:val="220"/>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9"/>
                <w:szCs w:val="19"/>
                <w:color w:val="auto"/>
              </w:rPr>
            </w:pPr>
          </w:p>
        </w:tc>
      </w:tr>
      <w:tr>
        <w:trPr>
          <w:trHeight w:val="239"/>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FF0FC"/>
          </w:tcPr>
          <w:p>
            <w:pPr>
              <w:spacing w:after="0"/>
              <w:rPr>
                <w:sz w:val="20"/>
                <w:szCs w:val="20"/>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(27.7 )</w:t>
            </w:r>
          </w:p>
        </w:tc>
        <w:tc>
          <w:tcPr>
            <w:tcW w:w="3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(28.8 )</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r>
      <w:tr>
        <w:trPr>
          <w:trHeight w:val="22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2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2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2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00" w:type="dxa"/>
            <w:vAlign w:val="bottom"/>
            <w:shd w:val="clear" w:color="auto" w:fill="CFF0FC"/>
          </w:tcPr>
          <w:p>
            <w:pPr>
              <w:spacing w:after="0"/>
              <w:rPr>
                <w:sz w:val="19"/>
                <w:szCs w:val="19"/>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9"/>
                <w:szCs w:val="19"/>
                <w:color w:val="auto"/>
              </w:rPr>
            </w:pPr>
          </w:p>
        </w:tc>
      </w:tr>
      <w:tr>
        <w:trPr>
          <w:trHeight w:val="22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shd w:val="clear" w:color="auto" w:fill="CFF0FC"/>
          </w:tcPr>
          <w:p>
            <w:pPr>
              <w:spacing w:after="0"/>
              <w:rPr>
                <w:sz w:val="19"/>
                <w:szCs w:val="19"/>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(0.4 )</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(0.2 )</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(0.8 )</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r>
      <w:tr>
        <w:trPr>
          <w:trHeight w:val="26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SS&amp;C common stockholders</w:t>
            </w: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3"/>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SS&amp;C common stockholders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19"/>
                <w:szCs w:val="19"/>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SS&amp;C common stockholders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2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24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r>
      <w:tr>
        <w:trPr>
          <w:trHeight w:val="239"/>
        </w:trPr>
        <w:tc>
          <w:tcPr>
            <w:tcW w:w="5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number of common shares outstanding</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tcPr>
          <w:p>
            <w:pPr>
              <w:spacing w:after="0"/>
              <w:rPr>
                <w:sz w:val="19"/>
                <w:szCs w:val="19"/>
                <w:color w:val="auto"/>
              </w:rPr>
            </w:pPr>
          </w:p>
        </w:tc>
      </w:tr>
      <w:tr>
        <w:trPr>
          <w:trHeight w:val="212"/>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weighted-average number of common and common equivalent shares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shd w:val="clear" w:color="auto" w:fill="CFF0FC"/>
          </w:tcPr>
          <w:p>
            <w:pPr>
              <w:spacing w:after="0"/>
              <w:rPr>
                <w:sz w:val="19"/>
                <w:szCs w:val="19"/>
                <w:color w:val="auto"/>
              </w:rPr>
            </w:pPr>
          </w:p>
        </w:tc>
      </w:tr>
      <w:tr>
        <w:trPr>
          <w:trHeight w:val="23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5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(44.9 )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shd w:val="clear" w:color="auto" w:fill="CFF0FC"/>
          </w:tcPr>
          <w:p>
            <w:pPr>
              <w:spacing w:after="0"/>
              <w:rPr>
                <w:sz w:val="21"/>
                <w:szCs w:val="21"/>
                <w:color w:val="auto"/>
              </w:rPr>
            </w:pPr>
          </w:p>
        </w:tc>
      </w:tr>
      <w:tr>
        <w:trPr>
          <w:trHeight w:val="226"/>
        </w:trPr>
        <w:tc>
          <w:tcPr>
            <w:tcW w:w="5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defined benefit pension obligation</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(44.8 )</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00" w:type="dxa"/>
            <w:vAlign w:val="bottom"/>
            <w:tcBorders>
              <w:top w:val="single" w:sz="8" w:color="CFF0FC"/>
            </w:tcBorders>
          </w:tcPr>
          <w:p>
            <w:pPr>
              <w:spacing w:after="0"/>
              <w:rPr>
                <w:sz w:val="19"/>
                <w:szCs w:val="19"/>
                <w:color w:val="auto"/>
              </w:rPr>
            </w:pPr>
          </w:p>
        </w:tc>
      </w:tr>
      <w:tr>
        <w:trPr>
          <w:trHeight w:val="236"/>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2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(0.4 )</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(0.2 )</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(0.8 )</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r>
      <w:tr>
        <w:trPr>
          <w:trHeight w:val="223"/>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SS&amp;C common stockholders</w:t>
            </w: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00" w:type="dxa"/>
            <w:vAlign w:val="bottom"/>
            <w:tcBorders>
              <w:top w:val="single" w:sz="8" w:color="CFF0FC"/>
            </w:tcBorders>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-5408295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-5408295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-5408295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-5408295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-4808220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-4808220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-4808220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-4808220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-3908425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-3908425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-3908425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-2416810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-2399665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-2416810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-2399665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-2416810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-2399665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-487680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-487680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-487680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-179070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(19.6 )</w:t>
            </w:r>
          </w:p>
        </w:tc>
        <w:tc>
          <w:tcPr>
            <w:tcW w:w="7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Distributions received from unconsolidated affiliates</w:t>
            </w:r>
          </w:p>
        </w:tc>
        <w:tc>
          <w:tcPr>
            <w:tcW w:w="10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losses (gains) on investments</w:t>
            </w:r>
          </w:p>
        </w:tc>
        <w:tc>
          <w:tcPr>
            <w:tcW w:w="10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write-offs of loan origination costs and original issue discounts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sale or disposition of property and equipment</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(0.1 )</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(49.4 )</w:t>
            </w: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excluding effects from acquisitions:</w:t>
            </w:r>
          </w:p>
        </w:tc>
        <w:tc>
          <w:tcPr>
            <w:tcW w:w="10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(83.3 )</w:t>
            </w:r>
          </w:p>
        </w:tc>
        <w:tc>
          <w:tcPr>
            <w:tcW w:w="7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Contract assets</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(7.2 )</w:t>
            </w: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(37.4 )</w:t>
            </w: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(90.2 )</w:t>
            </w:r>
          </w:p>
        </w:tc>
        <w:tc>
          <w:tcPr>
            <w:tcW w:w="7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(106.4 )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taxes prepaid and payable</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(8.3 )</w:t>
            </w: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2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 and asset acquisitions</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(0.9 )</w:t>
            </w: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(15.8 )</w:t>
            </w:r>
          </w:p>
        </w:tc>
        <w:tc>
          <w:tcPr>
            <w:tcW w:w="7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capitalized software</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(100.2 )</w:t>
            </w:r>
          </w:p>
        </w:tc>
        <w:tc>
          <w:tcPr>
            <w:tcW w:w="7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(97.2 )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sales / maturities of investments</w:t>
            </w:r>
          </w:p>
        </w:tc>
        <w:tc>
          <w:tcPr>
            <w:tcW w:w="10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Distributions received from unconsolidated affiliates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Collection of other non-current receivables</w:t>
            </w:r>
          </w:p>
        </w:tc>
        <w:tc>
          <w:tcPr>
            <w:tcW w:w="10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(84.0 )</w:t>
            </w:r>
          </w:p>
        </w:tc>
        <w:tc>
          <w:tcPr>
            <w:tcW w:w="7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(114.4 )</w:t>
            </w:r>
          </w:p>
        </w:tc>
        <w:tc>
          <w:tcPr>
            <w:tcW w:w="0" w:type="dxa"/>
            <w:vAlign w:val="bottom"/>
          </w:tcPr>
          <w:p>
            <w:pPr>
              <w:spacing w:after="0"/>
              <w:rPr>
                <w:sz w:val="1"/>
                <w:szCs w:val="1"/>
                <w:color w:val="auto"/>
              </w:rPr>
            </w:pPr>
          </w:p>
        </w:tc>
      </w:tr>
      <w:tr>
        <w:trPr>
          <w:trHeight w:val="22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0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received from debt borrowings, net of original issue discount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4,745.0</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Repayments of debt</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(4,850.1 )</w:t>
            </w: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(344.8 )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 of deferred financing fees</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(30.0 )</w:t>
            </w:r>
          </w:p>
        </w:tc>
        <w:tc>
          <w:tcPr>
            <w:tcW w:w="720" w:type="dxa"/>
            <w:vAlign w:val="bottom"/>
          </w:tcPr>
          <w:p>
            <w:pPr>
              <w:spacing w:after="0"/>
              <w:rPr>
                <w:sz w:val="19"/>
                <w:szCs w:val="19"/>
                <w:color w:val="auto"/>
              </w:rPr>
            </w:pP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decrease in client funds obligations</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(1,151.6 )</w:t>
            </w: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(613.6 )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Withholding taxes paid related to equity award net share settlement</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(14.9 )</w:t>
            </w: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1040" w:type="dxa"/>
            <w:vAlign w:val="bottom"/>
          </w:tcPr>
          <w:p>
            <w:pPr>
              <w:spacing w:after="0"/>
              <w:rPr>
                <w:sz w:val="19"/>
                <w:szCs w:val="19"/>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(279.9 )</w:t>
            </w:r>
          </w:p>
        </w:tc>
        <w:tc>
          <w:tcPr>
            <w:tcW w:w="7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(244.1 )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(119.8 )</w:t>
            </w:r>
          </w:p>
        </w:tc>
        <w:tc>
          <w:tcPr>
            <w:tcW w:w="7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(101.2 )</w:t>
            </w:r>
          </w:p>
        </w:tc>
        <w:tc>
          <w:tcPr>
            <w:tcW w:w="0" w:type="dxa"/>
            <w:vAlign w:val="bottom"/>
          </w:tcPr>
          <w:p>
            <w:pPr>
              <w:spacing w:after="0"/>
              <w:rPr>
                <w:sz w:val="1"/>
                <w:szCs w:val="1"/>
                <w:color w:val="auto"/>
              </w:rPr>
            </w:pPr>
          </w:p>
        </w:tc>
      </w:tr>
      <w:tr>
        <w:trPr>
          <w:trHeight w:val="220"/>
        </w:trPr>
        <w:tc>
          <w:tcPr>
            <w:tcW w:w="73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(1,597.6</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(3.9 )</w:t>
            </w:r>
          </w:p>
        </w:tc>
        <w:tc>
          <w:tcPr>
            <w:tcW w:w="7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4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(1,120.1 )</w:t>
            </w:r>
          </w:p>
        </w:tc>
        <w:tc>
          <w:tcPr>
            <w:tcW w:w="7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(614.8 )</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2,998.6</w:t>
            </w:r>
          </w:p>
        </w:tc>
        <w:tc>
          <w:tcPr>
            <w:tcW w:w="2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and cash equivalents, end of period</w:t>
            </w:r>
          </w:p>
        </w:tc>
        <w:tc>
          <w:tcPr>
            <w:tcW w:w="10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1,878.5</w:t>
            </w: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and cash equivalents:</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73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26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0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 included in funds receivable and funds held on behalf of clients</w:t>
            </w:r>
          </w:p>
        </w:tc>
        <w:tc>
          <w:tcPr>
            <w:tcW w:w="10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1,412.5</w:t>
            </w:r>
          </w:p>
        </w:tc>
        <w:tc>
          <w:tcPr>
            <w:tcW w:w="2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340" w:type="dxa"/>
            <w:vAlign w:val="bottom"/>
          </w:tcPr>
          <w:p>
            <w:pPr>
              <w:spacing w:after="0"/>
              <w:rPr>
                <w:sz w:val="19"/>
                <w:szCs w:val="19"/>
                <w:color w:val="auto"/>
              </w:rPr>
            </w:pPr>
          </w:p>
        </w:tc>
        <w:tc>
          <w:tcPr>
            <w:tcW w:w="10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1,878.5</w:t>
            </w: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-4611370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-3436620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-1974850</wp:posOffset>
            </wp:positionV>
            <wp:extent cx="93980" cy="187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-1974850</wp:posOffset>
            </wp:positionV>
            <wp:extent cx="93980" cy="187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-1653540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-1353820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-179070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893"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352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CHANGES IN STOCKHOLDERS’ EQUITY </w:t>
      </w:r>
      <w:r>
        <w:rPr>
          <w:rFonts w:ascii="Times New Roman" w:cs="Times New Roman" w:eastAsia="Times New Roman" w:hAnsi="Times New Roman"/>
          <w:sz w:val="14"/>
          <w:szCs w:val="14"/>
          <w:b w:val="1"/>
          <w:bCs w:val="1"/>
          <w:color w:val="auto"/>
        </w:rPr>
        <w:t>(In millions)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5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5,468.2</w:t>
            </w:r>
          </w:p>
        </w:tc>
        <w:tc>
          <w:tcPr>
            <w:tcW w:w="38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(473.9 )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(1,787.1 )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defined benefit plan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obligation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(228.1 )</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(228.1 )</w:t>
            </w: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 $0.24 per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(60.1 )</w:t>
            </w:r>
          </w:p>
        </w:tc>
        <w:tc>
          <w:tcPr>
            <w:tcW w:w="100" w:type="dxa"/>
            <w:vAlign w:val="bottom"/>
          </w:tcPr>
          <w:p>
            <w:pPr>
              <w:spacing w:after="0"/>
              <w:rPr>
                <w:sz w:val="17"/>
                <w:szCs w:val="17"/>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(59.6 )</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5,557.0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3,354.4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(2,015.2 )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5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5,168.7</w:t>
            </w:r>
          </w:p>
        </w:tc>
        <w:tc>
          <w:tcPr>
            <w:tcW w:w="380" w:type="dxa"/>
            <w:vAlign w:val="bottom"/>
            <w:gridSpan w:val="2"/>
            <w:shd w:val="clear" w:color="auto" w:fill="CFF0FC"/>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2,815.4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(508.0 )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(1,394.8 )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defined benefit plan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obligation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(111.9 )</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(111.9 )</w:t>
            </w: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 $0.20 per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(50.5 )</w:t>
            </w:r>
          </w:p>
        </w:tc>
        <w:tc>
          <w:tcPr>
            <w:tcW w:w="100" w:type="dxa"/>
            <w:vAlign w:val="bottom"/>
          </w:tcPr>
          <w:p>
            <w:pPr>
              <w:spacing w:after="0"/>
              <w:rPr>
                <w:sz w:val="17"/>
                <w:szCs w:val="17"/>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(50.5 )</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5,230.6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2,895.6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(441.9 )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(1,506.7 )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-3102610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-3085465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-3102610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-3085465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-3102610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-3085465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-3102610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-3085465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-3102610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-3085465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-3102610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-3085465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-3102610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-3085465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-24765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352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CHANGES IN STOCKHOLDERS’ EQUITY </w:t>
      </w:r>
      <w:r>
        <w:rPr>
          <w:rFonts w:ascii="Times New Roman" w:cs="Times New Roman" w:eastAsia="Times New Roman" w:hAnsi="Times New Roman"/>
          <w:sz w:val="14"/>
          <w:szCs w:val="14"/>
          <w:b w:val="1"/>
          <w:bCs w:val="1"/>
          <w:color w:val="auto"/>
        </w:rPr>
        <w:t>(In millions)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5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5,371.0</w:t>
            </w:r>
          </w:p>
        </w:tc>
        <w:tc>
          <w:tcPr>
            <w:tcW w:w="360" w:type="dxa"/>
            <w:vAlign w:val="bottom"/>
            <w:gridSpan w:val="2"/>
            <w:shd w:val="clear" w:color="auto" w:fill="CFF0FC"/>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3,126.3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(426.3 )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(1,734.2 )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40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(44.9 )</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(44.9 )</w:t>
            </w: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defined benefit plan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obligation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(281.0 )</w:t>
            </w:r>
          </w:p>
        </w:tc>
        <w:tc>
          <w:tcPr>
            <w:tcW w:w="1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(281.0 )</w:t>
            </w: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 $0.48 per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(119.8 )</w:t>
            </w:r>
          </w:p>
        </w:tc>
        <w:tc>
          <w:tcPr>
            <w:tcW w:w="100" w:type="dxa"/>
            <w:vAlign w:val="bottom"/>
          </w:tcPr>
          <w:p>
            <w:pPr>
              <w:spacing w:after="0"/>
              <w:rPr>
                <w:sz w:val="17"/>
                <w:szCs w:val="17"/>
                <w:color w:val="auto"/>
              </w:rPr>
            </w:pPr>
          </w:p>
        </w:tc>
        <w:tc>
          <w:tcPr>
            <w:tcW w:w="12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(119.1 )</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5,557.0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3,354.4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(471.1 )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(2,015.2 )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40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260" w:type="dxa"/>
            <w:vAlign w:val="bottom"/>
          </w:tcPr>
          <w:p>
            <w:pPr>
              <w:spacing w:after="0"/>
              <w:rPr>
                <w:sz w:val="18"/>
                <w:szCs w:val="18"/>
                <w:color w:val="auto"/>
              </w:rPr>
            </w:pPr>
          </w:p>
        </w:tc>
        <w:tc>
          <w:tcPr>
            <w:tcW w:w="3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5,111.6</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2,740.1</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(246.6 )</w:t>
            </w:r>
          </w:p>
        </w:tc>
        <w:tc>
          <w:tcPr>
            <w:tcW w:w="1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(246.6 )</w:t>
            </w: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 $0.40 per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(101.2 )</w:t>
            </w:r>
          </w:p>
        </w:tc>
        <w:tc>
          <w:tcPr>
            <w:tcW w:w="100" w:type="dxa"/>
            <w:vAlign w:val="bottom"/>
          </w:tcPr>
          <w:p>
            <w:pPr>
              <w:spacing w:after="0"/>
              <w:rPr>
                <w:sz w:val="17"/>
                <w:szCs w:val="17"/>
                <w:color w:val="auto"/>
              </w:rPr>
            </w:pPr>
          </w:p>
        </w:tc>
        <w:tc>
          <w:tcPr>
            <w:tcW w:w="12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(101.2 )</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5,230.6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2,895.6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(441.9 )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(1,506.7 )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40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-2965450</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-2948305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-2965450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-2948305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-2965450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-2948305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-2965450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-2948305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-2965450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-2948305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-2965450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-2948305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-2965450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-2948305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-24765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5300"/>
        <w:spacing w:after="0" w:line="268" w:lineRule="auto"/>
        <w:rPr>
          <w:sz w:val="20"/>
          <w:szCs w:val="20"/>
          <w:color w:val="auto"/>
        </w:rPr>
      </w:pPr>
      <w:r>
        <w:rPr>
          <w:rFonts w:ascii="Times New Roman" w:cs="Times New Roman" w:eastAsia="Times New Roman" w:hAnsi="Times New Roman"/>
          <w:sz w:val="18"/>
          <w:szCs w:val="18"/>
          <w:b w:val="1"/>
          <w:bCs w:val="1"/>
          <w:color w:val="auto"/>
        </w:rPr>
        <w:t>SS&amp;C TECHNOLOGIES HOLDINGS, INC. AND SUBSIDIARIES NOTES TO CONDENSED CONSOLIDATED FINANCIAL STATEMENTS (Unaudited)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 and Principles of Consolidation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2023, filed with the Securities and Exchange Commission (the “SEC”) on February 28, 2024 (the “2023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June 30, 2024, the results of our operations for the three and six months ended June 30, 2024 and 2023, and our cash flows for the six months ended June 30, 2024 and 2023.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2023, which were included in the 2023 Form 10-K. The December 31, 2023 Consolidated Balance Sheet data were derived from audited financial statements but do not include all disclosures required by GAAP for annual financial statements. The results of operations for the three and six months ended June 30, 2024 are not necessarily indicative of the expected results for any subsequent quarters or the full year.</w:t>
      </w:r>
    </w:p>
    <w:p>
      <w:pPr>
        <w:spacing w:after="0" w:line="14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is applicable to all public entities, including public entities with a single reportable segment, and requires enhanced reportable segment disclosures. The disclosures include significant segment expenses regularly provided to the chief operating decision maker (“CODM”) and included within each reported measure of segment profit or loss. The standard also requires disclosure of the title and position of the CODM as well as how the CODM uses the reported measures of a segment’s profit or loss to assess segment performance and decide how to allocate resources. The new standard is effective for fiscal years beginning after December 15, 2023, and interim periods within fiscal years beginning after December 31, 2024. Early adoption is permitted. We are currently evaluating the potential impact the standard will have on our disclosures.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standard requires more enhanced disclosures specifically related to effective tax rate reconciliation and income taxes paid. The new requirements will be effective for fiscal years beginning after December 15, 2024, on a prospective basis. Early adoption and retrospective application are permitted. We are currently evaluating the potential impact the standard will have on our income tax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2—Property, Plant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and the related accumulated depreciation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r>
      <w:tr>
        <w:trPr>
          <w:trHeight w:val="237"/>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shd w:val="clear" w:color="auto" w:fill="CFF0FC"/>
          </w:tcPr>
          <w:p>
            <w:pPr>
              <w:spacing w:after="0"/>
              <w:rPr>
                <w:sz w:val="20"/>
                <w:szCs w:val="20"/>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300" w:type="dxa"/>
            <w:vAlign w:val="bottom"/>
          </w:tcPr>
          <w:p>
            <w:pPr>
              <w:spacing w:after="0"/>
              <w:rPr>
                <w:sz w:val="20"/>
                <w:szCs w:val="20"/>
                <w:color w:val="auto"/>
              </w:rPr>
            </w:pPr>
          </w:p>
        </w:tc>
      </w:tr>
      <w:tr>
        <w:trPr>
          <w:trHeight w:val="247"/>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2"/>
        </w:trPr>
        <w:tc>
          <w:tcPr>
            <w:tcW w:w="6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300" w:type="dxa"/>
            <w:vAlign w:val="bottom"/>
          </w:tcPr>
          <w:p>
            <w:pPr>
              <w:spacing w:after="0"/>
              <w:rPr>
                <w:sz w:val="20"/>
                <w:szCs w:val="20"/>
                <w:color w:val="auto"/>
              </w:rPr>
            </w:pPr>
          </w:p>
        </w:tc>
      </w:tr>
      <w:tr>
        <w:trPr>
          <w:trHeight w:val="247"/>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(547.0 )</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(513.6 )</w:t>
            </w:r>
          </w:p>
        </w:tc>
      </w:tr>
      <w:tr>
        <w:trPr>
          <w:trHeight w:val="237"/>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300" w:type="dxa"/>
            <w:vAlign w:val="bottom"/>
            <w:tcBorders>
              <w:top w:val="single" w:sz="8" w:color="CFF0FC"/>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-505460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-505460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-187960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Depreciation expense for the three and six months ended June 30, 2024 was $18.4 million and $36.3 million, respectively. Depreciation expense for the three and six months ended June 30, 2023 was $18.1 million and $37.1 million, respectively. As of June 30, 2024 and December 31, 2023, assets held for sale were $5.9 million and $9.0 million, respectively, and are presented in prepaid expenses and other current assets in our condensed consolidated balance sheet. Unpaid property, plant and equipment additions of $14.0 million and $2.9 million are included in accounts payable and other accrued expenses as of June 30, 2024 and December 31, 2023, respectively, in our condensed consolidated balance sheet.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3—Investments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740" w:type="dxa"/>
            <w:vAlign w:val="bottom"/>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124.0</w:t>
            </w:r>
          </w:p>
        </w:tc>
        <w:tc>
          <w:tcPr>
            <w:tcW w:w="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9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Partnership interests in private equity funds</w:t>
            </w: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r>
      <w:tr>
        <w:trPr>
          <w:trHeight w:val="277"/>
        </w:trPr>
        <w:tc>
          <w:tcPr>
            <w:tcW w:w="6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181.2</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There were no realized gains or losses for our equity securities in the three and six months ended June 30, 2024 and 2023. Unrealized gains for our equity securities are as follows (in millions):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0"/>
        </w:trPr>
        <w:tc>
          <w:tcPr>
            <w:tcW w:w="53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05"/>
        </w:trPr>
        <w:tc>
          <w:tcPr>
            <w:tcW w:w="53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Unrealized (losses) gains on equity securities held as of the end of the</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(0.7 )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260" w:firstLine="562"/>
        <w:spacing w:after="0" w:line="261" w:lineRule="auto"/>
        <w:rPr>
          <w:sz w:val="20"/>
          <w:szCs w:val="20"/>
          <w:color w:val="auto"/>
        </w:rPr>
      </w:pPr>
      <w:r>
        <w:rPr>
          <w:rFonts w:ascii="Times New Roman" w:cs="Times New Roman" w:eastAsia="Times New Roman" w:hAnsi="Times New Roman"/>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39"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9"/>
          </w:tcPr>
          <w:p>
            <w:pPr>
              <w:ind w:left="7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1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320" w:type="dxa"/>
            <w:vAlign w:val="bottom"/>
            <w:shd w:val="clear" w:color="auto" w:fill="CFF0FC"/>
          </w:tcPr>
          <w:p>
            <w:pPr>
              <w:spacing w:after="0"/>
              <w:rPr>
                <w:sz w:val="22"/>
                <w:szCs w:val="22"/>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16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7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3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9"/>
          </w:tcPr>
          <w:p>
            <w:pPr>
              <w:ind w:left="7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1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320" w:type="dxa"/>
            <w:vAlign w:val="bottom"/>
            <w:shd w:val="clear" w:color="auto" w:fill="CFF0FC"/>
          </w:tcPr>
          <w:p>
            <w:pPr>
              <w:spacing w:after="0"/>
              <w:rPr>
                <w:sz w:val="22"/>
                <w:szCs w:val="22"/>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16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7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3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3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-2416810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-2399665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-2416810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-2399665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-2416810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-2399665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-2416810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-2399665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-933450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-916305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-933450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-916305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-933450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left="980" w:right="400" w:hanging="373"/>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included $130.8 million of cash and cash equivalents, $2.6 million of restricted cash and $1,286.8 million of funds receivable and funds held on behalf of clients on the Condensed Consolidated Balance Sheet. As of December 31, 2023, included $131.7 million of cash and cash equivalents, $1.8 million of restricted cash and $2,079.1 million of funds receivable and funds held on behalf of clients on the Condensed Consolidated Balance Sheet.</w:t>
      </w:r>
    </w:p>
    <w:p>
      <w:pPr>
        <w:spacing w:after="0" w:line="2" w:lineRule="exact"/>
        <w:rPr>
          <w:rFonts w:ascii="Times New Roman" w:cs="Times New Roman" w:eastAsia="Times New Roman" w:hAnsi="Times New Roman"/>
          <w:sz w:val="18"/>
          <w:szCs w:val="18"/>
          <w:color w:val="auto"/>
        </w:rPr>
      </w:pPr>
    </w:p>
    <w:p>
      <w:pPr>
        <w:ind w:left="980" w:hanging="373"/>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Investments on the Condensed Consolidated Balance Sheet.</w:t>
      </w:r>
    </w:p>
    <w:p>
      <w:pPr>
        <w:spacing w:after="0" w:line="9" w:lineRule="exact"/>
        <w:rPr>
          <w:rFonts w:ascii="Times New Roman" w:cs="Times New Roman" w:eastAsia="Times New Roman" w:hAnsi="Times New Roman"/>
          <w:sz w:val="18"/>
          <w:szCs w:val="18"/>
          <w:color w:val="auto"/>
        </w:rPr>
      </w:pPr>
    </w:p>
    <w:p>
      <w:pPr>
        <w:ind w:left="980" w:hanging="373"/>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on the Condensed Consolidated Balance Sheet.</w:t>
      </w:r>
    </w:p>
    <w:p>
      <w:pPr>
        <w:spacing w:after="0" w:line="166" w:lineRule="exact"/>
        <w:rPr>
          <w:sz w:val="20"/>
          <w:szCs w:val="20"/>
          <w:color w:val="auto"/>
        </w:rPr>
      </w:pPr>
    </w:p>
    <w:p>
      <w:pPr>
        <w:ind w:right="20" w:firstLine="562"/>
        <w:spacing w:after="0" w:line="261" w:lineRule="auto"/>
        <w:rPr>
          <w:sz w:val="20"/>
          <w:szCs w:val="20"/>
          <w:color w:val="auto"/>
        </w:rPr>
      </w:pPr>
      <w:r>
        <w:rPr>
          <w:rFonts w:ascii="Times New Roman" w:cs="Times New Roman" w:eastAsia="Times New Roman" w:hAnsi="Times New Roman"/>
          <w:sz w:val="18"/>
          <w:szCs w:val="18"/>
          <w:color w:val="auto"/>
        </w:rPr>
        <w:t>We have partnership interests in various private equity funds that are not included in the tables above. Our investments in private equity funds were $10.7 million and $11.5 million at June 30, 2024 and December 31, 2023, respectively, of which $9.2 million in each year, were measured using net asset value as a practical expedient for fair value and $1.5 million and $2.3 million, respectively, were accounted for under the equity method of accounting. The investments in private equity funds represent underlying investments in domestic and international markets across various industry sectors.</w:t>
      </w:r>
    </w:p>
    <w:p>
      <w:pPr>
        <w:spacing w:after="0" w:line="72" w:lineRule="exact"/>
        <w:rPr>
          <w:sz w:val="20"/>
          <w:szCs w:val="20"/>
          <w:color w:val="auto"/>
        </w:rPr>
      </w:pPr>
    </w:p>
    <w:p>
      <w:pPr>
        <w:jc w:val="both"/>
        <w:ind w:right="360" w:firstLine="569"/>
        <w:spacing w:after="0" w:line="266" w:lineRule="auto"/>
        <w:rPr>
          <w:sz w:val="20"/>
          <w:szCs w:val="20"/>
          <w:color w:val="auto"/>
        </w:rPr>
      </w:pPr>
      <w:r>
        <w:rPr>
          <w:rFonts w:ascii="Times New Roman" w:cs="Times New Roman" w:eastAsia="Times New Roman" w:hAnsi="Times New Roman"/>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4—Unconsolidated Affiliates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Investments in unconsolidated affiliates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Excess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Excess carrying</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investment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8"/>
              </w:rPr>
              <w:t>over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investment over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share of net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 of net</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20" w:firstLine="562"/>
        <w:spacing w:after="0" w:line="266" w:lineRule="auto"/>
        <w:rPr>
          <w:sz w:val="20"/>
          <w:szCs w:val="20"/>
          <w:color w:val="auto"/>
        </w:rPr>
      </w:pPr>
      <w:r>
        <w:rPr>
          <w:rFonts w:ascii="Times New Roman" w:cs="Times New Roman" w:eastAsia="Times New Roman" w:hAnsi="Times New Roman"/>
          <w:sz w:val="18"/>
          <w:szCs w:val="18"/>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Statements of Comprehensive Income.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Equity in earnings of unconsolidated affiliates, net are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28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2"/>
                <w:szCs w:val="22"/>
                <w:color w:val="auto"/>
              </w:rPr>
            </w:pP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r>
      <w:tr>
        <w:trPr>
          <w:trHeight w:val="27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880" w:type="dxa"/>
            <w:vAlign w:val="bottom"/>
            <w:shd w:val="clear" w:color="auto" w:fill="CFF0FC"/>
          </w:tcPr>
          <w:p>
            <w:pPr>
              <w:spacing w:after="0"/>
              <w:rPr>
                <w:sz w:val="24"/>
                <w:szCs w:val="24"/>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880" w:type="dxa"/>
            <w:vAlign w:val="bottom"/>
            <w:shd w:val="clear" w:color="auto" w:fill="CFF0FC"/>
          </w:tcPr>
          <w:p>
            <w:pPr>
              <w:spacing w:after="0"/>
              <w:rPr>
                <w:sz w:val="24"/>
                <w:szCs w:val="24"/>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(0.7 )</w:t>
            </w:r>
          </w:p>
        </w:tc>
        <w:tc>
          <w:tcPr>
            <w:tcW w:w="860" w:type="dxa"/>
            <w:vAlign w:val="bottom"/>
            <w:shd w:val="clear" w:color="auto" w:fill="CFF0FC"/>
          </w:tcPr>
          <w:p>
            <w:pPr>
              <w:spacing w:after="0"/>
              <w:rPr>
                <w:sz w:val="24"/>
                <w:szCs w:val="24"/>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840" w:type="dxa"/>
            <w:vAlign w:val="bottom"/>
            <w:shd w:val="clear" w:color="auto" w:fill="CFF0FC"/>
          </w:tcPr>
          <w:p>
            <w:pPr>
              <w:spacing w:after="0"/>
              <w:rPr>
                <w:sz w:val="24"/>
                <w:szCs w:val="24"/>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(0.9 )</w:t>
            </w: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88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88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86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(0.5 )</w:t>
            </w:r>
          </w:p>
        </w:tc>
        <w:tc>
          <w:tcPr>
            <w:tcW w:w="84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8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2"/>
                <w:szCs w:val="22"/>
                <w:color w:val="auto"/>
              </w:rPr>
            </w:pPr>
          </w:p>
        </w:tc>
      </w:tr>
      <w:tr>
        <w:trPr>
          <w:trHeight w:val="236"/>
        </w:trPr>
        <w:tc>
          <w:tcPr>
            <w:tcW w:w="52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Borders>
              <w:top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top w:val="single" w:sz="8" w:color="CFF0FC"/>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FF0FC"/>
            </w:tcBorders>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-187960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firstLine="562"/>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we received a distribution of $26.9 million from our unconsolidated affiliate, Orbit Private Investments L.P. which reduced our investment in the affiliate. We recorded the distribution as a $2.4 million operating cash inflow and a $24.5 million investing cash inflow in our condensed consolidated statements of cash flows due to the nature of the distribution.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5—Goodwill</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4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The change in carrying value of goodwill as of and for the six months ended June 30, 2024 is as follows (in millions):</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shd w:val="clear" w:color="auto" w:fill="CFF0FC"/>
          </w:tcPr>
          <w:p>
            <w:pPr>
              <w:spacing w:after="0"/>
              <w:rPr>
                <w:sz w:val="23"/>
                <w:szCs w:val="23"/>
                <w:color w:val="auto"/>
              </w:rPr>
            </w:pPr>
          </w:p>
        </w:tc>
        <w:tc>
          <w:tcPr>
            <w:tcW w:w="17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5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8,969.5</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 to prior acquisitions</w:t>
            </w: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2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220" w:type="dxa"/>
            <w:vAlign w:val="bottom"/>
            <w:tcBorders>
              <w:top w:val="single" w:sz="8" w:color="CFF0FC"/>
            </w:tcBorders>
          </w:tcPr>
          <w:p>
            <w:pPr>
              <w:spacing w:after="0"/>
              <w:rPr>
                <w:sz w:val="20"/>
                <w:szCs w:val="20"/>
                <w:color w:val="auto"/>
              </w:rPr>
            </w:pPr>
          </w:p>
        </w:tc>
        <w:tc>
          <w:tcPr>
            <w:tcW w:w="178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54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gridSpan w:val="3"/>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8,935.3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6—Debt</w:t>
            </w: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w w:val="99"/>
              </w:rPr>
              <w:t>At June 30, 2024 and December 31, 2023, debt consisted of the following (in millions):</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6240" w:type="dxa"/>
            <w:vAlign w:val="bottom"/>
            <w:gridSpan w:val="6"/>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Senior secured credit facilities, weighted-average interest rate of 7.34% and</w:t>
            </w:r>
          </w:p>
        </w:tc>
        <w:tc>
          <w:tcPr>
            <w:tcW w:w="1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7.35%, respectively</w:t>
            </w:r>
          </w:p>
        </w:tc>
        <w:tc>
          <w:tcPr>
            <w:tcW w:w="220" w:type="dxa"/>
            <w:vAlign w:val="bottom"/>
            <w:shd w:val="clear" w:color="auto" w:fill="CFF0FC"/>
          </w:tcPr>
          <w:p>
            <w:pPr>
              <w:spacing w:after="0"/>
              <w:rPr>
                <w:sz w:val="21"/>
                <w:szCs w:val="21"/>
                <w:color w:val="auto"/>
              </w:rPr>
            </w:pPr>
          </w:p>
        </w:tc>
        <w:tc>
          <w:tcPr>
            <w:tcW w:w="24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5.5% senior notes due 2027</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6.5% senior notes due 2032</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Unamortized original issue discount and debt issuance costs</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6,614.1</w:t>
            </w:r>
          </w:p>
        </w:tc>
        <w:tc>
          <w:tcPr>
            <w:tcW w:w="28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FF0FC"/>
            </w:tcBorders>
            <w:shd w:val="clear" w:color="auto" w:fill="CFF0FC"/>
          </w:tcPr>
          <w:p>
            <w:pPr>
              <w:spacing w:after="0"/>
              <w:rPr>
                <w:sz w:val="24"/>
                <w:szCs w:val="24"/>
                <w:color w:val="auto"/>
              </w:rPr>
            </w:pPr>
          </w:p>
        </w:tc>
        <w:tc>
          <w:tcPr>
            <w:tcW w:w="2280" w:type="dxa"/>
            <w:vAlign w:val="bottom"/>
            <w:tcBorders>
              <w:bottom w:val="single" w:sz="8" w:color="CFF0FC"/>
            </w:tcBorders>
            <w:gridSpan w:val="3"/>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6,668.5</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table below provides a summary of the key terms of our Senior Secured Credit Facilities and Senior Notes: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4"/>
          </w:tcPr>
          <w:p>
            <w:pPr>
              <w:jc w:val="center"/>
              <w:ind w:right="850"/>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1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Scheduled Quarterly</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4"/>
          </w:tcPr>
          <w:p>
            <w:pPr>
              <w:jc w:val="center"/>
              <w:ind w:right="810"/>
              <w:spacing w:after="0"/>
              <w:rPr>
                <w:sz w:val="20"/>
                <w:szCs w:val="20"/>
                <w:color w:val="auto"/>
              </w:rPr>
            </w:pPr>
            <w:r>
              <w:rPr>
                <w:rFonts w:ascii="Times New Roman" w:cs="Times New Roman" w:eastAsia="Times New Roman" w:hAnsi="Times New Roman"/>
                <w:sz w:val="14"/>
                <w:szCs w:val="14"/>
                <w:b w:val="1"/>
                <w:bCs w:val="1"/>
                <w:color w:val="auto"/>
              </w:rPr>
              <w:t>at June 30, 2024</w:t>
            </w:r>
          </w:p>
        </w:tc>
        <w:tc>
          <w:tcPr>
            <w:tcW w:w="18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4"/>
          </w:tcPr>
          <w:p>
            <w:pPr>
              <w:jc w:val="center"/>
              <w:ind w:right="8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Payments Required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tc>
        <w:tc>
          <w:tcPr>
            <w:tcW w:w="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B-8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May 9, 2031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FF0FC"/>
          </w:tcPr>
          <w:p>
            <w:pPr>
              <w:spacing w:after="0"/>
              <w:rPr>
                <w:sz w:val="21"/>
                <w:szCs w:val="21"/>
                <w:color w:val="auto"/>
              </w:rPr>
            </w:pPr>
          </w:p>
        </w:tc>
        <w:tc>
          <w:tcPr>
            <w:tcW w:w="2460" w:type="dxa"/>
            <w:vAlign w:val="bottom"/>
            <w:gridSpan w:val="4"/>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rPr>
              <w:t>December 28, 2027</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5.5% Senior Notes</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September 30, 2027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6.5% Senior Notes</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w w:val="98"/>
              </w:rPr>
              <w:t>June 1, 2032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-3659505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-1464945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-1447800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-1464945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-1447800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 and Senior Notes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May 9, 2024, we entered into the Incremental Joinder &amp; First Amendment to Credit Agreement (the “Amendment”) which amends our existing amended and restated credit agreement, dated as of April 16, 2018 (as amended, restated, amended and restated, supplemented or otherwise modified from time to time, the “Credit Agreement”). Pursuant to the Amendment, we borrowed $3,935.0 million in aggregate principal amount of incremental term B-8 loans (the “Term B-8 Loans”). The Term B-8 Loans bear interest at, at our option, the Base Rate (as defined in the Amendment), plus 1.00% per annum, or the Term SOFR Rate (as defined in the Amendment), plus 2.00% per annum.</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Also on May 9, 2024, we issued $750.0 million aggregate principal amount of 6.5% Senior Notes due 2032 (the “6.5% Senior Notes”). The 6.5% Senior Notes are senior unsecured obligations and rank equal in right of payment with all of our existing and future senior indebtedness. The 6.5% Senior Notes are fully and unconditionally guaranteed, jointly and severally, by SS&amp;C Holdings and all of its existing domestic restricted subsidiaries (other than SS&amp;C Technologies) that guarantee our existing senior secured credit facilities and future domestic restricted subsidiaries that guarantee our existing senior secured credit facilities and certain other indebtedness. Interest on the 6.5% Senior Notes is payable semi-annually in arrears on June 1 and December 1 of each year, beginning on December 1, 2024.</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net proceeds of the Term B-8 Loans and from the sale of the 6.5% Senior Notes were used to repay all amounts owed under the term B-3 loans, the term B-4 loans, the term B-5 loans, the term B-6 loans and the term B-7 loans (together, the “Existing Term Loans”) under the Credit Agreement, as well as to pay related fees and expenses.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Debt issuance costs and loss on extinguishment of debt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evaluated the borrowing of our Term B-8 Loans and issuance of 6.5% Senior Notes and the repayment of our Existing Term Loans in accordance with FASB Accounting Standards Codification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We determined that the new debt borrowing and issuance and existing debt repayment were two independent transactions due to the fact that (i) no single investor held a significant concentration of both the old and the new debt, (ii) none of the old investors were included in negotiations with creditors about modifying the old debt, and (iii) all lenders were provided the same opportunity to participate in the new debt regardless of whether they were an existing lender. Consequently, the refinancing was accounted for as a debt extinguishment. As a result, we capitalized an aggregate of $34.5 million in financing costs during the three months ended June 30, 2024, which represent new third-party costs. The Existing Term Loans borrowing costs of $27.7 million were expensed and are included in Loss on extinguishment of debt in the Condensed Consolidated Statement of Comprehensive Income during the three months ended June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and fair values of financial instruments are as follows (in millions):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58"/>
        </w:trPr>
        <w:tc>
          <w:tcPr>
            <w:tcW w:w="4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5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17"/>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3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177"/>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7"/>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3,915.8</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 senior notes due 2027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6.5% senior notes due 2032</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July 2023,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July 2024, our Board of Directors authorized a stock repurchase program, which enables us to repurchase up to $1 billion in the aggregate of our outstanding common stock on the open market or in privately negotiated transactions until the one-year anniversary of the Board’s authorization, unless earlier terminated by the Board. During the three and six months ended June 30, 2024, we repurchased 3.7 million and 4.5 million shares, respectively, of common stock for approximately $228.1 million and $281.0 million, respectively, which includes a 1% excise tax on share repurchases. During the three and six months ended June 30, 2023, we repurchased 2.0 million and 4.3 million shares, respectively, of common stock for approximately $111.9 million and $246.6 million, respectively, which includes a 1% excise tax on share repurchases. We use the cost method to account for treasury stock purchases. Under the cost method, the price paid for the stock is charged to the treasury stock account.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paid quarterly cash dividends of $0.24 per share of common stock in each of March and June 2024 totaling $119.8 million. We paid quarterly cash dividends of $0.20 per share of common stock in each of March and June 2023 totaling $101.2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 balances, net of tax, consist of the following (in millions):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87"/>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6"/>
                <w:szCs w:val="16"/>
                <w:color w:val="auto"/>
              </w:rPr>
            </w:pPr>
          </w:p>
        </w:tc>
      </w:tr>
      <w:tr>
        <w:trPr>
          <w:trHeight w:val="16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(424.5 )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(426.3 )</w:t>
            </w:r>
          </w:p>
        </w:tc>
      </w:tr>
      <w:tr>
        <w:trPr>
          <w:trHeight w:val="175"/>
        </w:trPr>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current period other comprehensive (loss) income</w:t>
            </w:r>
          </w:p>
        </w:tc>
        <w:tc>
          <w:tcPr>
            <w:tcW w:w="12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(44.9 )</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(44.8 )</w:t>
            </w: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June 30,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(469.4 )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(471.1 )</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2" w:name="page13"/>
    <w:bookmarkEnd w:id="12"/>
    <w:p>
      <w:pPr>
        <w:ind w:left="560"/>
        <w:spacing w:after="0"/>
        <w:rPr>
          <w:sz w:val="20"/>
          <w:szCs w:val="20"/>
          <w:color w:val="auto"/>
        </w:rPr>
      </w:pPr>
      <w:r>
        <w:rPr>
          <w:rFonts w:ascii="Times New Roman" w:cs="Times New Roman" w:eastAsia="Times New Roman" w:hAnsi="Times New Roman"/>
          <w:sz w:val="18"/>
          <w:szCs w:val="18"/>
          <w:color w:val="auto"/>
        </w:rPr>
        <w:t>Adjustments to accumulated other comprehensive loss are as follows (in millions):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0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0" w:type="dxa"/>
            <w:vAlign w:val="bottom"/>
          </w:tcPr>
          <w:p>
            <w:pPr>
              <w:spacing w:after="0"/>
              <w:rPr>
                <w:sz w:val="1"/>
                <w:szCs w:val="1"/>
                <w:color w:val="auto"/>
              </w:rPr>
            </w:pPr>
          </w:p>
        </w:tc>
      </w:tr>
      <w:tr>
        <w:trPr>
          <w:trHeight w:val="37"/>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9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4"/>
                <w:szCs w:val="14"/>
                <w:color w:val="auto"/>
              </w:rPr>
              <w:t>Unrealized net gains (losses) on defined benefit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26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(0.1 )</w:t>
            </w:r>
          </w:p>
        </w:tc>
        <w:tc>
          <w:tcPr>
            <w:tcW w:w="28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pension plan</w:t>
            </w:r>
          </w:p>
        </w:tc>
        <w:tc>
          <w:tcPr>
            <w:tcW w:w="12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9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Current period translation adjustments</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(0.4 )</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(45.5 )</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2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(45.5 )</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8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-445135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-445135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-445135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-445135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-445135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-445135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-445135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-144780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-144780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-144780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-144780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-144780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-144780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-144780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-144780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8—Variable Interest Entity</w:t>
      </w:r>
    </w:p>
    <w:p>
      <w:pPr>
        <w:spacing w:after="0" w:line="112" w:lineRule="exact"/>
        <w:rPr>
          <w:sz w:val="20"/>
          <w:szCs w:val="20"/>
          <w:color w:val="auto"/>
        </w:rPr>
      </w:pPr>
    </w:p>
    <w:p>
      <w:pPr>
        <w:ind w:right="260" w:firstLine="569"/>
        <w:spacing w:after="0" w:line="260" w:lineRule="auto"/>
        <w:rPr>
          <w:sz w:val="20"/>
          <w:szCs w:val="20"/>
          <w:color w:val="auto"/>
        </w:rPr>
      </w:pPr>
      <w:r>
        <w:rPr>
          <w:rFonts w:ascii="Times New Roman" w:cs="Times New Roman" w:eastAsia="Times New Roman" w:hAnsi="Times New Roman"/>
          <w:sz w:val="18"/>
          <w:szCs w:val="18"/>
          <w:color w:val="auto"/>
        </w:rPr>
        <w:t>In July 2021, we entered into an agreement whereby we obtained an 80.2% interest in DomaniRx,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DomaniRx</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74"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The carrying value of the assets and liabilities associated with DomaniRx included in our condensed consolidated balance sheet at June 30, 2024 and December 31, 2023, which are limited for use in its operations and do not have recourse against our general credit or our senior secured credit facilities, are as follows:</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6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FF0FC"/>
          </w:tcPr>
          <w:p>
            <w:pPr>
              <w:spacing w:after="0"/>
              <w:rPr>
                <w:sz w:val="21"/>
                <w:szCs w:val="21"/>
                <w:color w:val="auto"/>
              </w:rPr>
            </w:pPr>
          </w:p>
        </w:tc>
      </w:tr>
      <w:tr>
        <w:trPr>
          <w:trHeight w:val="239"/>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Pr>
          <w:p>
            <w:pPr>
              <w:spacing w:after="0"/>
              <w:rPr>
                <w:sz w:val="20"/>
                <w:szCs w:val="20"/>
                <w:color w:val="auto"/>
              </w:rPr>
            </w:pPr>
          </w:p>
        </w:tc>
      </w:tr>
      <w:tr>
        <w:trPr>
          <w:trHeight w:val="247"/>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9—Revenues</w:t>
      </w:r>
    </w:p>
    <w:p>
      <w:pPr>
        <w:spacing w:after="0" w:line="121"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spacing w:after="0" w:line="148"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June 30, 2024 and December 31, 2023, approximately $65.6 million and $72.0 million, respectively, of deferred revenue is presented net within contract assets arising from the same contracts. The amount of revenues recognized in the period that was included in the opening deferred revenues balance was $111.7 million for the six months ended June 30, 2024.</w:t>
      </w:r>
    </w:p>
    <w:p>
      <w:pPr>
        <w:spacing w:after="0" w:line="156" w:lineRule="exact"/>
        <w:rPr>
          <w:sz w:val="20"/>
          <w:szCs w:val="20"/>
          <w:color w:val="auto"/>
        </w:rPr>
      </w:pPr>
    </w:p>
    <w:p>
      <w:pPr>
        <w:ind w:right="480" w:firstLine="360"/>
        <w:spacing w:after="0" w:line="282" w:lineRule="auto"/>
        <w:rPr>
          <w:sz w:val="20"/>
          <w:szCs w:val="20"/>
          <w:color w:val="auto"/>
        </w:rPr>
      </w:pPr>
      <w:r>
        <w:rPr>
          <w:rFonts w:ascii="Times New Roman" w:cs="Times New Roman" w:eastAsia="Times New Roman" w:hAnsi="Times New Roman"/>
          <w:sz w:val="18"/>
          <w:szCs w:val="18"/>
          <w:color w:val="auto"/>
        </w:rPr>
        <w:t>As of June 30, 2024, revenue of approximately $984.3 million is expected to be recognized from remaining performance obligations for license, maintenance and related revenues, of which $493.3 million is expected to be recognized over the next twelve months.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record revenue net of any taxes assessed by governmental authorities.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Disaggregation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disaggregates our revenues by geography (in millions):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942.8</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2,007.7</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100" w:type="dxa"/>
            <w:vAlign w:val="bottom"/>
            <w:shd w:val="clear" w:color="auto" w:fill="CFF0FC"/>
          </w:tcPr>
          <w:p>
            <w:pPr>
              <w:spacing w:after="0"/>
              <w:rPr>
                <w:sz w:val="20"/>
                <w:szCs w:val="20"/>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(excluding United Kingdom), Middle East and Africa</w:t>
            </w:r>
          </w:p>
        </w:tc>
        <w:tc>
          <w:tcPr>
            <w:tcW w:w="3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115.5</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Asia-Pacific and Japan</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FF0FC"/>
          </w:tcPr>
          <w:p>
            <w:pPr>
              <w:spacing w:after="0"/>
              <w:rPr>
                <w:sz w:val="21"/>
                <w:szCs w:val="21"/>
                <w:color w:val="auto"/>
              </w:rPr>
            </w:pPr>
          </w:p>
        </w:tc>
      </w:tr>
      <w:tr>
        <w:trPr>
          <w:trHeight w:val="24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Americas, excluding United States and Canada</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r>
      <w:tr>
        <w:trPr>
          <w:trHeight w:val="277"/>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1,362.6</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100" w:type="dxa"/>
            <w:vAlign w:val="bottom"/>
            <w:shd w:val="clear" w:color="auto" w:fill="CFF0FC"/>
          </w:tcPr>
          <w:p>
            <w:pPr>
              <w:spacing w:after="0"/>
              <w:rPr>
                <w:sz w:val="24"/>
                <w:szCs w:val="24"/>
                <w:color w:val="auto"/>
              </w:rPr>
            </w:pPr>
          </w:p>
        </w:tc>
      </w:tr>
      <w:tr>
        <w:trPr>
          <w:trHeight w:val="413"/>
        </w:trPr>
        <w:tc>
          <w:tcPr>
            <w:tcW w:w="51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w w:val="99"/>
              </w:rPr>
              <w:t>The following table disaggregates our revenues by source (in millions):</w:t>
            </w: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64"/>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9"/>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8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2,380.1</w:t>
            </w:r>
          </w:p>
        </w:tc>
        <w:tc>
          <w:tcPr>
            <w:tcW w:w="80" w:type="dxa"/>
            <w:vAlign w:val="bottom"/>
            <w:shd w:val="clear" w:color="auto" w:fill="CFF0FC"/>
          </w:tcPr>
          <w:p>
            <w:pPr>
              <w:spacing w:after="0"/>
              <w:rPr>
                <w:sz w:val="20"/>
                <w:szCs w:val="20"/>
                <w:color w:val="auto"/>
              </w:rPr>
            </w:pP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2,220.7</w:t>
            </w:r>
          </w:p>
        </w:tc>
        <w:tc>
          <w:tcPr>
            <w:tcW w:w="100" w:type="dxa"/>
            <w:vAlign w:val="bottom"/>
            <w:shd w:val="clear" w:color="auto" w:fill="CFF0FC"/>
          </w:tcPr>
          <w:p>
            <w:pPr>
              <w:spacing w:after="0"/>
              <w:rPr>
                <w:sz w:val="20"/>
                <w:szCs w:val="20"/>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term licenses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21"/>
                <w:szCs w:val="21"/>
                <w:color w:val="auto"/>
              </w:rPr>
            </w:pPr>
          </w:p>
        </w:tc>
      </w:tr>
      <w:tr>
        <w:trPr>
          <w:trHeight w:val="24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r>
      <w:tr>
        <w:trPr>
          <w:trHeight w:val="277"/>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2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-1464945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-1448435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-1464945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-1448435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-1464945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-1448435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-1464945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-1448435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tock options, SARs, PSUs and RSUs</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amount of stock-based compensation expense recognized in our Condensed Consolidated Statements of Comprehensive Income for the three and six months ended June 30, 2024 and 2023 was as follows (in millions):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w:t>
            </w:r>
          </w:p>
        </w:tc>
        <w:tc>
          <w:tcPr>
            <w:tcW w:w="26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00" w:type="dxa"/>
            <w:vAlign w:val="bottom"/>
            <w:gridSpan w:val="2"/>
            <w:vMerge w:val="continue"/>
          </w:tcPr>
          <w:p>
            <w:pPr>
              <w:spacing w:after="0"/>
              <w:rPr>
                <w:sz w:val="11"/>
                <w:szCs w:val="11"/>
                <w:color w:val="auto"/>
              </w:rPr>
            </w:pPr>
          </w:p>
        </w:tc>
        <w:tc>
          <w:tcPr>
            <w:tcW w:w="9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1"/>
                <w:szCs w:val="11"/>
                <w:color w:val="auto"/>
              </w:rPr>
            </w:pPr>
          </w:p>
        </w:tc>
        <w:tc>
          <w:tcPr>
            <w:tcW w:w="260" w:type="dxa"/>
            <w:vAlign w:val="bottom"/>
            <w:vMerge w:val="restart"/>
          </w:tcPr>
          <w:p>
            <w:pPr>
              <w:spacing w:after="0"/>
              <w:rPr>
                <w:sz w:val="11"/>
                <w:szCs w:val="11"/>
                <w:color w:val="auto"/>
              </w:rPr>
            </w:pP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1"/>
                <w:szCs w:val="11"/>
                <w:color w:val="auto"/>
              </w:rPr>
            </w:pPr>
          </w:p>
        </w:tc>
        <w:tc>
          <w:tcPr>
            <w:tcW w:w="220" w:type="dxa"/>
            <w:vAlign w:val="bottom"/>
            <w:vMerge w:val="restart"/>
          </w:tcPr>
          <w:p>
            <w:pPr>
              <w:spacing w:after="0"/>
              <w:rPr>
                <w:sz w:val="11"/>
                <w:szCs w:val="11"/>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1"/>
                <w:szCs w:val="11"/>
                <w:color w:val="auto"/>
              </w:rPr>
            </w:pPr>
          </w:p>
        </w:tc>
        <w:tc>
          <w:tcPr>
            <w:tcW w:w="240" w:type="dxa"/>
            <w:vAlign w:val="bottom"/>
            <w:vMerge w:val="restart"/>
          </w:tcPr>
          <w:p>
            <w:pPr>
              <w:spacing w:after="0"/>
              <w:rPr>
                <w:sz w:val="11"/>
                <w:szCs w:val="11"/>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Income Classification</w:t>
            </w:r>
          </w:p>
        </w:tc>
        <w:tc>
          <w:tcPr>
            <w:tcW w:w="16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software-enabled services</w:t>
            </w:r>
          </w:p>
        </w:tc>
        <w:tc>
          <w:tcPr>
            <w:tcW w:w="96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1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1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license, maintenance and other related</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cost of revenues</w:t>
            </w: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80" w:type="dxa"/>
            <w:vAlign w:val="bottom"/>
            <w:gridSpan w:val="2"/>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16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180" w:type="dxa"/>
            <w:vAlign w:val="bottom"/>
            <w:gridSpan w:val="2"/>
          </w:tcPr>
          <w:p>
            <w:pPr>
              <w:jc w:val="right"/>
              <w:ind w:right="78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-779145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-779145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-779145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-779145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-179705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-179705</wp:posOffset>
            </wp:positionV>
            <wp:extent cx="596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-179705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6"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The stock-based compensation expense related to performance awards is adjusted for changes in our assessment of the performance target level that is probable of being achieved and the number of performance-based equity awards expected to vest. In December 2021, we granted performance-based stock options (“PSOs”) for which the 3-year performance period ends in December 2024. If the threshold level of performance is not achieved for these PSOs, $44.8 million of previously recorded stock-based compensation expense will be reversed. During the three months ended June 30, 2023, we recorded an adjustment to reduce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 w:name="page15"/>
    <w:bookmarkEnd w:id="14"/>
    <w:p>
      <w:pPr>
        <w:ind w:right="140"/>
        <w:spacing w:after="0" w:line="282" w:lineRule="auto"/>
        <w:rPr>
          <w:sz w:val="20"/>
          <w:szCs w:val="20"/>
          <w:color w:val="auto"/>
        </w:rPr>
      </w:pPr>
      <w:r>
        <w:rPr>
          <w:rFonts w:ascii="Times New Roman" w:cs="Times New Roman" w:eastAsia="Times New Roman" w:hAnsi="Times New Roman"/>
          <w:sz w:val="18"/>
          <w:szCs w:val="18"/>
          <w:color w:val="auto"/>
        </w:rPr>
        <w:t>previously recorded stock-based compensation expense relating to performance-based equity awards by $8.5 million as the number of performance-based options expected to vest decreased.</w:t>
      </w:r>
    </w:p>
    <w:p>
      <w:pPr>
        <w:spacing w:after="0" w:line="54" w:lineRule="exact"/>
        <w:rPr>
          <w:sz w:val="20"/>
          <w:szCs w:val="20"/>
          <w:color w:val="auto"/>
        </w:rPr>
      </w:pPr>
    </w:p>
    <w:p>
      <w:pPr>
        <w:ind w:right="36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and stock appreciation rights (“SARs”) activity, as well as performance stock units (“PSUs”) and restricted stock units (“RSUs”) activity, for the six months ended June 30, 2024 (shares in millions):</w:t>
      </w:r>
    </w:p>
    <w:p>
      <w:pPr>
        <w:spacing w:after="0" w:line="4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 Options and</w:t>
            </w:r>
          </w:p>
        </w:tc>
        <w:tc>
          <w:tcPr>
            <w:tcW w:w="17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PSUs and RSUs</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SARs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shd w:val="clear" w:color="auto" w:fill="CFF0FC"/>
          </w:tcPr>
          <w:p>
            <w:pPr>
              <w:spacing w:after="0"/>
              <w:rPr>
                <w:sz w:val="22"/>
                <w:szCs w:val="22"/>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63"/>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(2.4 )</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7"/>
        </w:trPr>
        <w:tc>
          <w:tcPr>
            <w:tcW w:w="4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Borders>
              <w:top w:val="single" w:sz="8" w:color="CFF0FC"/>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-187960</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431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11—Income Taxes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was 6.7% and 32.7% for the three months ended June 30, 2024 and 2023, respectively, and 18.8% and 31.1% for the six months ended June 30, 2024 and 2023, respectively. The change in the effective tax rate for the three and six months ended June 30, 2024 compared to the prior year was primarily due to releases of uncertain tax positions in the current year due to closed audits and a proportionate change in the composition of income before income taxes from foreign and domestic tax jurisdictions. The effective tax rates for the three and six months ended June 30, 2024 include tax benefits of $40.8 million related to releases of uncertain tax positions and $5.7 million of tax refunds, both due to closed audits.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12—Earnings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(in millions, except per share amounts):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SS&amp;C common stockholders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attributable to SS&amp;C:</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used in calculation of</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stock equivalents – stock options and</w:t>
            </w:r>
          </w:p>
        </w:tc>
        <w:tc>
          <w:tcPr>
            <w:tcW w:w="1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and common equivalent shares outstanding –</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used in calculation of diluted EPS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-762000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-762000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-762000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Weighted-average stock options, SARs, RSUs and PSUs representing 15.1 million and 17.4 million shares were outstanding for the three and six months ended June 30, 2024, respectively, but were not included in the computation of diluted EPS because the effect of including them would be anti-dilutive. Weighted-average stock options, SARs, RSUs and PSUs representing 24.9 million shares were outstanding for the each of the three and six month periods ended June 30, 2023, but were not included in the computation of diluted EPS because the effect of including them would be anti-dilutive.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3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2023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14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Ongoing macroeconomic conditions, such as increases in interest rates, inflation and changes in foreign currency exchange rates,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2023 Form 10-K. Our critical accounting policies are described in the 2023 Form 10-K and include:</w:t>
      </w:r>
    </w:p>
    <w:p>
      <w:pPr>
        <w:spacing w:after="0" w:line="8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Goodwill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Capitalization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67"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Our results of operations below include the results of our recent acquisition from the date which it was acquired. The Iress Managed Funds Administration Business (“2023 acquisition”) was acquired in October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sources of revenues for the periods indicated:</w:t>
      </w:r>
    </w:p>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21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37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82.1 %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82.5 %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81.5 %</w:t>
            </w:r>
          </w:p>
        </w:tc>
      </w:tr>
      <w:tr>
        <w:trPr>
          <w:trHeight w:val="25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17.9 %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17.5 %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0"/>
        </w:trPr>
        <w:tc>
          <w:tcPr>
            <w:tcW w:w="3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-496570</wp:posOffset>
            </wp:positionV>
            <wp:extent cx="498919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-179070</wp:posOffset>
            </wp:positionV>
            <wp:extent cx="4989195"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revenues (dollars in millions) and percent change in revenues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2"/>
                <w:szCs w:val="12"/>
                <w:color w:val="auto"/>
              </w:rPr>
            </w:pPr>
          </w:p>
        </w:tc>
        <w:tc>
          <w:tcPr>
            <w:tcW w:w="6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7.8 %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1.2 %</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7"/>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5"/>
                <w:szCs w:val="15"/>
                <w:color w:val="auto"/>
              </w:rPr>
              <w:t xml:space="preserve">6.5 % </w:t>
            </w:r>
            <w:r>
              <w:rPr>
                <w:rFonts w:ascii="Times New Roman" w:cs="Times New Roman" w:eastAsia="Times New Roman" w:hAnsi="Times New Roman"/>
                <w:sz w:val="27"/>
                <w:szCs w:val="27"/>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1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Three Months Ended June 30, 2024 and 2023</w:t>
      </w:r>
      <w:r>
        <w:rPr>
          <w:rFonts w:ascii="Times New Roman" w:cs="Times New Roman" w:eastAsia="Times New Roman" w:hAnsi="Times New Roman"/>
          <w:sz w:val="18"/>
          <w:szCs w:val="18"/>
          <w:color w:val="auto"/>
        </w:rPr>
        <w:t>. Our revenues increased $88.9 million, or 6.5%, primarily due to an increase of $86.4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revenues driven by strength in the SS&amp;C GlobeOp fund administration, Global Investor and Distribution Solutions, Wealth and Investment Technologies and virtual data room services businesses. Our revenues also increased due to the 2023 acquisition, which contributed $4.1 million in revenues, partially offset by the unfavorable impact from foreign currency translation of $1.6 million. Software-enabled services revenues increased $85.9 million, or 7.8%, primarily due to an increase in organic revenues of $83.1 million and the 2023 acquisition, which added $3.4 million in revenues, partially offset by the unfavorable impact from foreign currency translation of $0.6 million. License, maintenance and related revenues increased $3.0 million, or 1.2%, primarily due to an increase in organic revenues of $3.3 million and the 2023 acquisition, which added $0.7 million in revenues. Those increases were partially offset by the unfavorable impact from foreign currency translation of $1.0 million.</w:t>
      </w:r>
    </w:p>
    <w:p>
      <w:pPr>
        <w:spacing w:after="0" w:line="25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Six Months Ended June 30, 2024 and 2023. </w:t>
      </w:r>
      <w:r>
        <w:rPr>
          <w:rFonts w:ascii="Times New Roman" w:cs="Times New Roman" w:eastAsia="Times New Roman" w:hAnsi="Times New Roman"/>
          <w:sz w:val="18"/>
          <w:szCs w:val="18"/>
          <w:color w:val="auto"/>
        </w:rPr>
        <w:t>Our revenues increased $161.2 million, or 5.9%, primarily due to an increase of $150.2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revenues driven by strength in the SS&amp;C GlobeOp fund administration and virtual data room services businesses. Our revenues also increased due to the 2023 acquisition, which contributed $7.0 million in revenues and the favorable impact from foreign currency translation of $4.0 million. Software-enabled services revenues increased $159.4 million, or 7.2%, primarily due to an increase in organic revenues of $148.7 million, the 2023 acquisition, which added $6.0 million in revenue and the favorable impact from foreign currency translation of $4.7 million. License, maintenance and related revenues increased $1.8 million, or 0.4%, primarily due to an increase in organic revenues of $1.5 million and the 2023 acquisition, which added $1.0 million in revenue. Those increases were partially offset by the unfavorable impact from foreign currency translation of $0.7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each of the following cost of revenues as a percentage of their respective revenue source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1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20" w:type="dxa"/>
            <w:vAlign w:val="bottom"/>
            <w:gridSpan w:val="5"/>
          </w:tcPr>
          <w:p>
            <w:pPr>
              <w:jc w:val="right"/>
              <w:ind w:right="1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0"/>
        </w:trPr>
        <w:tc>
          <w:tcPr>
            <w:tcW w:w="1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60" w:type="dxa"/>
            <w:vAlign w:val="bottom"/>
          </w:tcPr>
          <w:p>
            <w:pPr>
              <w:spacing w:after="0"/>
              <w:rPr>
                <w:sz w:val="18"/>
                <w:szCs w:val="18"/>
                <w:color w:val="auto"/>
              </w:rPr>
            </w:pPr>
          </w:p>
        </w:tc>
      </w:tr>
      <w:tr>
        <w:trPr>
          <w:trHeight w:val="228"/>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54.8 %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56.8 %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54.1 %</w:t>
            </w:r>
          </w:p>
        </w:tc>
        <w:tc>
          <w:tcPr>
            <w:tcW w:w="248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56.7 %</w:t>
            </w:r>
          </w:p>
        </w:tc>
      </w:tr>
      <w:tr>
        <w:trPr>
          <w:trHeight w:val="238"/>
        </w:trPr>
        <w:tc>
          <w:tcPr>
            <w:tcW w:w="17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38.3 %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36.3 %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38.2 %</w:t>
            </w:r>
          </w:p>
        </w:tc>
        <w:tc>
          <w:tcPr>
            <w:tcW w:w="248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37.2 %</w:t>
            </w:r>
          </w:p>
        </w:tc>
      </w:tr>
      <w:tr>
        <w:trPr>
          <w:trHeight w:val="243"/>
        </w:trPr>
        <w:tc>
          <w:tcPr>
            <w:tcW w:w="1700" w:type="dxa"/>
            <w:vAlign w:val="bottom"/>
          </w:tcPr>
          <w:p>
            <w:pPr>
              <w:spacing w:after="0"/>
              <w:rPr>
                <w:sz w:val="21"/>
                <w:szCs w:val="21"/>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51.9 %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51.3 %</w:t>
            </w:r>
          </w:p>
        </w:tc>
        <w:tc>
          <w:tcPr>
            <w:tcW w:w="248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53.1 %</w:t>
            </w:r>
          </w:p>
        </w:tc>
      </w:tr>
      <w:tr>
        <w:trPr>
          <w:trHeight w:val="243"/>
        </w:trPr>
        <w:tc>
          <w:tcPr>
            <w:tcW w:w="170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48.1 %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47.0 %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48.7 %</w:t>
            </w:r>
          </w:p>
        </w:tc>
        <w:tc>
          <w:tcPr>
            <w:tcW w:w="248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46.9 %</w:t>
            </w:r>
          </w:p>
        </w:tc>
      </w:tr>
      <w:tr>
        <w:trPr>
          <w:trHeight w:val="661"/>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0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-1525270</wp:posOffset>
            </wp:positionV>
            <wp:extent cx="4989195"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-1216660</wp:posOffset>
            </wp:positionV>
            <wp:extent cx="498919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following table sets forth cost of revenues (dollars in millions) and percent change in cost of revenues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2"/>
                <w:szCs w:val="12"/>
                <w:color w:val="auto"/>
              </w:rPr>
            </w:pPr>
          </w:p>
        </w:tc>
        <w:tc>
          <w:tcPr>
            <w:tcW w:w="6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6.8 %</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5"/>
                <w:szCs w:val="15"/>
                <w:color w:val="auto"/>
              </w:rPr>
              <w:t xml:space="preserve">4.4 % </w:t>
            </w:r>
            <w:r>
              <w:rPr>
                <w:rFonts w:ascii="Times New Roman" w:cs="Times New Roman" w:eastAsia="Times New Roman" w:hAnsi="Times New Roman"/>
                <w:sz w:val="27"/>
                <w:szCs w:val="27"/>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Three Months Ended June 30, 2024 and 2023</w:t>
      </w:r>
      <w:r>
        <w:rPr>
          <w:rFonts w:ascii="Times New Roman" w:cs="Times New Roman" w:eastAsia="Times New Roman" w:hAnsi="Times New Roman"/>
          <w:sz w:val="18"/>
          <w:szCs w:val="18"/>
          <w:color w:val="auto"/>
        </w:rPr>
        <w:t>. Our total cost of revenues increased by $31.7 million, or 4.4%, primarily due to an increase of $27.4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organic costs and the 2023 acquisition, which added costs of $5.3 million, partially offset by the favorable impact from foreign currency translation, which decreased costs by $1.0 million. Our organic cost increase reflects continued investment in delivering client service. Cost of software-enabled services revenues increased $25.4 million, or 4.0%, primarily due to an increase of $20.9 million in organic costs and the 2023 acquisition, which added $5.3 million in costs, partially offset by the favorable impact from foreign currency translation of $0.8 million. Cost of license, maintenance and related revenues increased $6.3 million, or 6.8%, primarily due to an increase of $6.5 million in organic costs, partially offset by the favorable impact from foreign currency translation of $0.2 million.</w:t>
      </w:r>
    </w:p>
    <w:p>
      <w:pPr>
        <w:spacing w:after="0" w:line="183" w:lineRule="exact"/>
        <w:rPr>
          <w:sz w:val="20"/>
          <w:szCs w:val="20"/>
          <w:color w:val="auto"/>
        </w:rPr>
      </w:pPr>
    </w:p>
    <w:p>
      <w:pPr>
        <w:ind w:right="60" w:firstLine="50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Six Months Ended June 30, 2024 and 2023. </w:t>
      </w:r>
      <w:r>
        <w:rPr>
          <w:rFonts w:ascii="Times New Roman" w:cs="Times New Roman" w:eastAsia="Times New Roman" w:hAnsi="Times New Roman"/>
          <w:sz w:val="17"/>
          <w:szCs w:val="17"/>
          <w:color w:val="auto"/>
        </w:rPr>
        <w:t>Our total cost of revenues increased by $33.8 million, or 2.3%, primarily due to an increase of $21.6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organic costs and the 2023 acquisition, which added costs of $10.0 million, and the unfavorable impact from foreign currency translation, which increased costs by $2.2 million. Our organic cost increase reflects continued investment in delivering client service. Cost of software-enabled services revenues increased $28.2 million, or 2.2%, primarily due to an increase of $16.3 million in organic costs, the 2023 acquisition, which added $10.0 million in costs, and the unfavorable impact from foreign currency translation of $1.9 million. Cost of license, maintenance and related revenues increased $5.6 million, or 3.0%, primarily due to an increase of $5.3 million in organic costs and the unfavorable impact from foreign currency translation of $0.3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operating expenses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1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20" w:type="dxa"/>
            <w:vAlign w:val="bottom"/>
            <w:gridSpan w:val="6"/>
          </w:tcPr>
          <w:p>
            <w:pPr>
              <w:jc w:val="right"/>
              <w:ind w:right="1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8"/>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248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10.2 %</w:t>
            </w:r>
          </w:p>
        </w:tc>
      </w:tr>
      <w:tr>
        <w:trPr>
          <w:trHeight w:val="238"/>
        </w:trPr>
        <w:tc>
          <w:tcPr>
            <w:tcW w:w="17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8.9 %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248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8.7 %</w:t>
            </w:r>
          </w:p>
        </w:tc>
      </w:tr>
      <w:tr>
        <w:trPr>
          <w:trHeight w:val="257"/>
        </w:trPr>
        <w:tc>
          <w:tcPr>
            <w:tcW w:w="1700" w:type="dxa"/>
            <w:vAlign w:val="bottom"/>
          </w:tcPr>
          <w:p>
            <w:pPr>
              <w:spacing w:after="0"/>
              <w:rPr>
                <w:sz w:val="22"/>
                <w:szCs w:val="22"/>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248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7.1 %</w:t>
            </w:r>
          </w:p>
        </w:tc>
      </w:tr>
      <w:tr>
        <w:trPr>
          <w:trHeight w:val="20"/>
        </w:trPr>
        <w:tc>
          <w:tcPr>
            <w:tcW w:w="1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170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25.5 %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25.9 %</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25.8 %</w:t>
            </w:r>
          </w:p>
        </w:tc>
        <w:tc>
          <w:tcPr>
            <w:tcW w:w="248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26.0 %</w:t>
            </w:r>
          </w:p>
        </w:tc>
      </w:tr>
      <w:tr>
        <w:trPr>
          <w:trHeight w:val="20"/>
        </w:trPr>
        <w:tc>
          <w:tcPr>
            <w:tcW w:w="1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0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-1559560</wp:posOffset>
            </wp:positionV>
            <wp:extent cx="4989195"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-1250950</wp:posOffset>
            </wp:positionV>
            <wp:extent cx="4989195" cy="163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89195"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222222"/>
        </w:rPr>
        <w:t>The following table sets forth operating expenses (dollars in millions) and percent change in operating expenses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2"/>
                <w:szCs w:val="12"/>
                <w:color w:val="auto"/>
              </w:rPr>
            </w:pPr>
          </w:p>
        </w:tc>
        <w:tc>
          <w:tcPr>
            <w:tcW w:w="6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65"/>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7.6 %</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3.3 %</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7"/>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5"/>
                <w:szCs w:val="15"/>
                <w:color w:val="auto"/>
              </w:rPr>
              <w:t xml:space="preserve">5.0 % </w:t>
            </w:r>
            <w:r>
              <w:rPr>
                <w:rFonts w:ascii="Times New Roman" w:cs="Times New Roman" w:eastAsia="Times New Roman" w:hAnsi="Times New Roman"/>
                <w:sz w:val="27"/>
                <w:szCs w:val="27"/>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-676910</wp:posOffset>
            </wp:positionV>
            <wp:extent cx="641223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-350520</wp:posOffset>
            </wp:positionV>
            <wp:extent cx="641223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21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Three Months Ended June 30, 2024 and 2023</w:t>
      </w:r>
      <w:r>
        <w:rPr>
          <w:rFonts w:ascii="Times New Roman" w:cs="Times New Roman" w:eastAsia="Times New Roman" w:hAnsi="Times New Roman"/>
          <w:sz w:val="18"/>
          <w:szCs w:val="18"/>
          <w:color w:val="auto"/>
        </w:rPr>
        <w:t>. Operating expenses increased $17.8 million, or 5.0%, due to an increase of $18.5 million in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and the 2023 acquisition, which added $0.6 million in expenses, partially offset by the favorable impact from foreign currency translation of $1.3 million. Total operating expenses, excluding the impact of acquisitions and foreign currency translation, primarily increased due to shifting resources to support organic growth and an adjustment recorded in the three months ended June 30, 2023 to stock-based compensation expense related to performance awards.</w:t>
      </w:r>
    </w:p>
    <w:p>
      <w:pPr>
        <w:spacing w:after="0" w:line="2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Six Months Ended June 30, 2024 and 2023. </w:t>
      </w:r>
      <w:r>
        <w:rPr>
          <w:rFonts w:ascii="Times New Roman" w:cs="Times New Roman" w:eastAsia="Times New Roman" w:hAnsi="Times New Roman"/>
          <w:sz w:val="18"/>
          <w:szCs w:val="18"/>
          <w:color w:val="auto"/>
        </w:rPr>
        <w:t>Operating expenses increased $35.2 million, or 5.0%, due to an increase of $33.5 million in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the 2023 acquisition, which added $1.1 million in expenses, and the unfavorable impact from foreign currency translation of $0.6 million. Total operating expenses, excluding the impact of acquisitions and foreign currency translation, primarily increased due to shifting resources to support organic growth and an adjustment recorded in the three months ended June 30, 2023 to stock-based compensation expense related to performance awards.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Six Months Ended June 30, 2024 and 2023 for Interest, Taxes and Other</w:t>
      </w:r>
    </w:p>
    <w:p>
      <w:pPr>
        <w:spacing w:after="0" w:line="18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Net interest expense totaled $113.3 million and $229.3 million for the three and six months ended June 30, 2024,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$118.0 million and $229.9 million for the three and six months ended June 30, 2023, respectively. The decrease in interest expense, net for 2024 as compared to 2023, is primarily due to lower average debt balances partially offset by slightly higher interest rates. We had an average interest rate of 6.80% and 6.83% for the three and six months ended June 30, 2024, respectively, compared to 6.59% and 6.40% for the three and six months ended June 30, 2023, respectively.</w:t>
      </w:r>
    </w:p>
    <w:p>
      <w:pPr>
        <w:spacing w:after="0" w:line="1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$0.6 million and $7.2 million for the three and six months ended June 30, 2024,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$14.9 million and $20.3 million for the three and six months ended June 30, 2023, respectively. For the three and six months ended June 30, 2024, other income, net consisted primarily of dividend income of $2.1 million and $12.6 million, respectively, partially offset by foreign currency translation losses of $1.1 million and $5.8 million, respectively. For the three and six months ended June 30, 2023, other income, net included income of $13.4 million from the settlement of a dispute related to pre-acquisition matters. During the three and six months ended June 30, 2023, other income, net also included dividend income of $2.2 million and $12.4 million, respectively, partially offset by losses of $0.5 million and $6.7 million, respectively, related to the fair value adjustments on assets held for sale.</w:t>
      </w:r>
    </w:p>
    <w:p>
      <w:pPr>
        <w:spacing w:after="0" w:line="142"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 earnings of unconsolidated affiliates, net. </w:t>
      </w:r>
      <w:r>
        <w:rPr>
          <w:rFonts w:ascii="Times New Roman" w:cs="Times New Roman" w:eastAsia="Times New Roman" w:hAnsi="Times New Roman"/>
          <w:sz w:val="18"/>
          <w:szCs w:val="18"/>
          <w:color w:val="auto"/>
        </w:rPr>
        <w:t>Equity in earnings of unconsolidated affiliates, net totaled $17.3 million and $19.6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six months ended June 30, 2024, respectively, compared to $9.4 million and $15.1 million for the three and six months ended June 30, 2023, respectively. The increase in equity in earnings of unconsolidated affiliates, net in 2024 is primarily related to a $16.2 million and $17.4 million adjustment for the three and six months ended June 30, 2024, respectively, to increase the carrying value of one of our investments. Our equity in earnings of unconsolidated affiliates, net in 2023 included a $7.6 million and $12.4 million adjustment for the three and six months ended June 30, 2023, respectively, to increase the carrying value of one of our investments.</w:t>
      </w:r>
    </w:p>
    <w:p>
      <w:pPr>
        <w:spacing w:after="0" w:line="142"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following table sets forth the provision for income taxes (dollars in millions) and effective tax rates for the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w:t>
      </w: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7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8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0"/>
        </w:trPr>
        <w:tc>
          <w:tcPr>
            <w:tcW w:w="5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4"/>
        </w:trPr>
        <w:tc>
          <w:tcPr>
            <w:tcW w:w="580" w:type="dxa"/>
            <w:vAlign w:val="bottom"/>
          </w:tcPr>
          <w:p>
            <w:pPr>
              <w:spacing w:after="0"/>
              <w:rPr>
                <w:sz w:val="22"/>
                <w:szCs w:val="22"/>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63.6</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5"/>
              </w:rPr>
              <w:t>80.5</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6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6.7 %</w:t>
            </w:r>
          </w:p>
        </w:tc>
        <w:tc>
          <w:tcPr>
            <w:tcW w:w="260" w:type="dxa"/>
            <w:vAlign w:val="bottom"/>
          </w:tcPr>
          <w:p>
            <w:pPr>
              <w:spacing w:after="0"/>
              <w:rPr>
                <w:sz w:val="22"/>
                <w:szCs w:val="22"/>
                <w:color w:val="auto"/>
              </w:rPr>
            </w:pP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7"/>
              </w:rPr>
              <w:t>32.7 %</w:t>
            </w:r>
          </w:p>
        </w:tc>
        <w:tc>
          <w:tcPr>
            <w:tcW w:w="240" w:type="dxa"/>
            <w:vAlign w:val="bottom"/>
          </w:tcPr>
          <w:p>
            <w:pPr>
              <w:spacing w:after="0"/>
              <w:rPr>
                <w:sz w:val="22"/>
                <w:szCs w:val="22"/>
                <w:color w:val="auto"/>
              </w:rPr>
            </w:pP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18.8 %</w:t>
            </w:r>
          </w:p>
        </w:tc>
        <w:tc>
          <w:tcPr>
            <w:tcW w:w="240" w:type="dxa"/>
            <w:vAlign w:val="bottom"/>
          </w:tcPr>
          <w:p>
            <w:pPr>
              <w:spacing w:after="0"/>
              <w:rPr>
                <w:sz w:val="22"/>
                <w:szCs w:val="22"/>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31.1 %</w:t>
            </w:r>
          </w:p>
        </w:tc>
      </w:tr>
      <w:tr>
        <w:trPr>
          <w:trHeight w:val="661"/>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6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firstLine="509"/>
        <w:spacing w:after="0" w:line="254" w:lineRule="auto"/>
        <w:rPr>
          <w:sz w:val="20"/>
          <w:szCs w:val="20"/>
          <w:color w:val="auto"/>
        </w:rPr>
      </w:pPr>
      <w:r>
        <w:rPr>
          <w:rFonts w:ascii="Times New Roman" w:cs="Times New Roman" w:eastAsia="Times New Roman" w:hAnsi="Times New Roman"/>
          <w:sz w:val="18"/>
          <w:szCs w:val="18"/>
          <w:color w:val="auto"/>
        </w:rPr>
        <w:t>Our effective tax rates for the three and six months ended June 30, 2024 and 2023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Our effective tax rates for the three and six months ended June 30, 2024 include benefits of $40.8 million related to releases of uncertain tax positions and $5.7 million of tax refunds, both due to closed audits. The change in the effective tax rate for the three and six months ended June 30, 2024 compared to the prior year was primarily related to releases of uncertain tax positions due to closed audits and a proportionate change in the composition of income before income taxes from foreign and domestic tax jurisdictions. While we have income from multiple foreign sources, the majority of our non-U.S. operations are in the United Kingdom and India. We anticipate the statutory tax rates in 2024 to be 25.0% in the United Kingdom and approximately 25.5% in India. A future change in the composition of income before income taxes from foreign and domestic tax jurisdictions could impact our periodic effective tax rate.</w:t>
      </w:r>
    </w:p>
    <w:p>
      <w:pPr>
        <w:spacing w:after="0" w:line="14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which includes a 15% corporate alternative minimum tax and a 1% excise tax on stock repurchases. The provisions were effective January 1, 2023 and were immaterial to our financial results, financial position and cash flows. The 1% excise tax on share repurchases is included as a cost to acquire treasury stock.</w:t>
      </w:r>
    </w:p>
    <w:p>
      <w:pPr>
        <w:spacing w:after="0" w:line="13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2021, the OECD (“Organisation for Economic Co-operation and Development”)/G20 Inclusive Framework on Base Erosion and Profit Shifting released Model Global Anti-Base Erosion rules under Pillar Two. Further guidance has been released throughout 2022 and 2023. Certain aspects of Pillar Two are effective January 1, 2024 and other aspects are effective January 1, 2025. Many non-U.S. tax jurisdictions in which we operate have either recently enacted legislation or are in the process of enacting legislation to adopt certain components of the Pillar Two Model Rules beginning in 2024 or in future years. We do not expect the provisions effective in 2024 to materially impact our financial results, financial position and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4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paid quarterly cash dividends of $0.24 per share of common stock in each of March and June 2024 totaling $119.8 million. We paid quarterly cash dividends of $0.20 per share of common stock in each of March and June 2023 totaling $101.2 million.</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$1,624.2 million of client funds obligations at June 30, 2024.</w:t>
      </w:r>
    </w:p>
    <w:p>
      <w:pPr>
        <w:spacing w:after="0" w:line="139"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our Condensed Consolidated Statements of Cash Flows, are summarized in the following table (in millions):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cash, cash equivalents and restricted cash provided by (used in):</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7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24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(18.8 )</w:t>
            </w:r>
          </w:p>
        </w:tc>
        <w:tc>
          <w:tcPr>
            <w:tcW w:w="0" w:type="dxa"/>
            <w:vAlign w:val="bottom"/>
          </w:tcPr>
          <w:p>
            <w:pPr>
              <w:spacing w:after="0"/>
              <w:rPr>
                <w:sz w:val="1"/>
                <w:szCs w:val="1"/>
                <w:color w:val="auto"/>
              </w:rPr>
            </w:pPr>
          </w:p>
        </w:tc>
      </w:tr>
      <w:tr>
        <w:trPr>
          <w:trHeight w:val="280"/>
        </w:trPr>
        <w:tc>
          <w:tcPr>
            <w:tcW w:w="5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shd w:val="clear" w:color="auto" w:fill="CFF0FC"/>
          </w:tcPr>
          <w:p>
            <w:pPr>
              <w:spacing w:after="0"/>
              <w:rPr>
                <w:sz w:val="24"/>
                <w:szCs w:val="24"/>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(84.0 )</w:t>
            </w:r>
          </w:p>
        </w:tc>
        <w:tc>
          <w:tcPr>
            <w:tcW w:w="32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(114.4 )</w:t>
            </w:r>
          </w:p>
        </w:tc>
        <w:tc>
          <w:tcPr>
            <w:tcW w:w="1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(1,597.6 )</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(1,085.2 )</w:t>
            </w:r>
          </w:p>
        </w:tc>
        <w:tc>
          <w:tcPr>
            <w:tcW w:w="12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(512.4 )</w:t>
            </w:r>
          </w:p>
        </w:tc>
        <w:tc>
          <w:tcPr>
            <w:tcW w:w="0" w:type="dxa"/>
            <w:vAlign w:val="bottom"/>
          </w:tcPr>
          <w:p>
            <w:pPr>
              <w:spacing w:after="0"/>
              <w:rPr>
                <w:sz w:val="1"/>
                <w:szCs w:val="1"/>
                <w:color w:val="auto"/>
              </w:rPr>
            </w:pPr>
          </w:p>
        </w:tc>
      </w:tr>
      <w:tr>
        <w:trPr>
          <w:trHeight w:val="263"/>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(3.9 )</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(1,120.1 )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(614.8 )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(505.3 )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-179070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$565.4 million for the six months ended June 30, 2024. Cash provided by operating activities primarily resulted from net income of $348.7 million adjusted for non-cash items of $406.4 million, partially offset by changes in our working capital accounts totaling $189.7 million. The changes in our working capital accounts were driven by decreases in accrued expenses, an increase in accounts receivable and a decrease in accounts payable, partially offset by an increase in deferred revenue.</w:t>
      </w:r>
    </w:p>
    <w:p>
      <w:pPr>
        <w:spacing w:after="0" w:line="13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Investing activities used net cash of $84.0 million for the six months ended June 30, 2024, primarily related to $100.2 million in capitalized software development costs and $15.8 million in capital expenditures, partially offset by $24.5 million in distributions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0" w:name="page21"/>
    <w:bookmarkEnd w:id="20"/>
    <w:p>
      <w:pPr>
        <w:ind w:right="760"/>
        <w:spacing w:after="0" w:line="282" w:lineRule="auto"/>
        <w:rPr>
          <w:sz w:val="20"/>
          <w:szCs w:val="20"/>
          <w:color w:val="auto"/>
        </w:rPr>
      </w:pPr>
      <w:r>
        <w:rPr>
          <w:rFonts w:ascii="Times New Roman" w:cs="Times New Roman" w:eastAsia="Times New Roman" w:hAnsi="Times New Roman"/>
          <w:sz w:val="18"/>
          <w:szCs w:val="18"/>
          <w:color w:val="auto"/>
        </w:rPr>
        <w:t>received from unconsolidated affiliates, the collection of other non-current receivables of $5.0 million and proceeds from the sale of property and equipment of $3.2 million.</w:t>
      </w:r>
    </w:p>
    <w:p>
      <w:pPr>
        <w:spacing w:after="0" w:line="13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Financing activities used net cash of $1,597.6 million for the six months ended June 30, 2024, primarily representing a net decrease in client fund obligations of $1,151.6 million, $279.9 million of purchases of common stock for treasury, $119.8 million in quarterly dividends paid, $105.1 million of net debt repayments and $30.0 million in payments of deferred financing fees. These expenditures were partially offset by proceeds of $103.7 million from stock option exercises.</w:t>
      </w:r>
    </w:p>
    <w:p>
      <w:pPr>
        <w:spacing w:after="0" w:line="13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made a permanent reinvestment determination in certain non-U.S. operations that have historically generated positive operating cash flows. At June 30, 2024, we held approximately $242.3 million in cash and cash equivalents at non-U.S. subsidiaries where we had made such a determination and in turn no provision for income taxes had been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 and Senior Notes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summary of the key terms of our Senior Secured Credit Facilities and Senior Notes: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320" w:type="dxa"/>
            <w:vAlign w:val="bottom"/>
          </w:tcPr>
          <w:p>
            <w:pPr>
              <w:spacing w:after="0"/>
              <w:rPr>
                <w:sz w:val="13"/>
                <w:szCs w:val="13"/>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Quarterly</w:t>
            </w: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at June 30, 2024</w:t>
            </w:r>
          </w:p>
        </w:tc>
        <w:tc>
          <w:tcPr>
            <w:tcW w:w="32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Required</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 B-8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32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2031</w:t>
            </w:r>
          </w:p>
        </w:tc>
        <w:tc>
          <w:tcPr>
            <w:tcW w:w="22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50"/>
        </w:trPr>
        <w:tc>
          <w:tcPr>
            <w:tcW w:w="3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December 28, 2027</w:t>
            </w:r>
          </w:p>
        </w:tc>
        <w:tc>
          <w:tcPr>
            <w:tcW w:w="220" w:type="dxa"/>
            <w:vAlign w:val="bottom"/>
            <w:shd w:val="clear" w:color="auto" w:fill="CFF0FC"/>
          </w:tcPr>
          <w:p>
            <w:pPr>
              <w:spacing w:after="0"/>
              <w:rPr>
                <w:sz w:val="21"/>
                <w:szCs w:val="21"/>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41"/>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5.5% Senior Notes</w:t>
            </w:r>
          </w:p>
        </w:tc>
        <w:tc>
          <w:tcPr>
            <w:tcW w:w="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2027</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4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6.5% Senior Notes</w:t>
            </w:r>
          </w:p>
        </w:tc>
        <w:tc>
          <w:tcPr>
            <w:tcW w:w="28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shd w:val="clear" w:color="auto" w:fill="CFF0FC"/>
          </w:tcPr>
          <w:p>
            <w:pPr>
              <w:spacing w:after="0"/>
              <w:rPr>
                <w:sz w:val="21"/>
                <w:szCs w:val="21"/>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1, 2032</w:t>
            </w:r>
          </w:p>
        </w:tc>
        <w:tc>
          <w:tcPr>
            <w:tcW w:w="220" w:type="dxa"/>
            <w:vAlign w:val="bottom"/>
            <w:shd w:val="clear" w:color="auto" w:fill="CFF0FC"/>
          </w:tcPr>
          <w:p>
            <w:pPr>
              <w:spacing w:after="0"/>
              <w:rPr>
                <w:sz w:val="21"/>
                <w:szCs w:val="21"/>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senior secured credit facility has a revolving credit facility available for borrowings by SS&amp;C with $600.0 million in available commitments (“Revolving Credit Facility”), of which $596.9 million was available as of June 30, 2024. The Revolving Credit Facility also contains a $75.0 million letter of credit sub-facility, of which $3.1 million was utilized as of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Debt Refinancing</w:t>
      </w:r>
    </w:p>
    <w:p>
      <w:pPr>
        <w:spacing w:after="0" w:line="200"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May 9, 2024, we entered into the Incremental Joinder &amp; First Amendment to Credit Agreement (the “Amendment”), which amends our existing amended and restated credit agreement, dated as of April 16, 2018 (as amended, restated, amended and restated, supplemented or otherwise modified from time to time, the “Credit Agreement”). Pursuant to the Amendment, we borrowed $3,935.0 million in aggregate principal amount of incremental term B-8 loans (the “Term B-8 Loans”). The Term B-8 Loans bear interest at, at our option, the Base Rate (as defined in the Amendment), plus 1.00% per annum, or the Term SOFR Rate (as defined in the Amendment), plus 2.00% per annum.</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Also on May 9, 2024, we issued $750.0 million aggregate principal amount of 6.5% Senior Notes due 2032 (the “6.5% Senior Notes”). The 6.5% Senior Notes are senior unsecured obligations and rank equal in right of payment with all of our existing and future senior indebtedness. The 6.5% Senior Notes are fully and unconditionally guaranteed, jointly and severally, by SS&amp;C Holdings and all of its existing domestic restricted subsidiaries (other than SS&amp;C Technologies) that guarantee our existing senior secured credit facilities and future domestic restricted subsidiaries that guarantee our existing senior secured credit facilities and certain other indebtedness. Interest on the 6.5% Senior Notes is payable semi-annually in arrears on June 1 and December 1 of each year, beginning on December 1, 2024.</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net proceeds of the Term B-8 Loans and from the sale of the 6.5% Senior Notes were used to repay all amounts owed under the term B-3 loans, the term B-4 loans, the term B-5 loans, the term B-6 loans and the term B-7 loans (together, the “Existing Term Loans”) under the Credit Agreement, as well as to pay related fees and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evaluated the borrowing of our Term B-8 Loans and issuance of 6.5% Senior Notes and the repayment of our Existing Term Loans in accordance with FASB Accounting Standards Codification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We determined that the new debt borrowing and issuance and existing debt repayment were two independent transactions due to the fact that (i) no single investor held a significant concentration of both the old and the new debt, (ii) none of the old investors were included in negotiations with creditors about modifying the old debt, and (iii) all lenders were provided the same opportunity to participate in the new debt regardless of whether they were an existing lender. Consequently, the refinancing was accounted for as a debt extinguishment. As a result, we capitalized an aggregate of $34.5 million in financing costs during the three months ended June 30, 2024, which represent new third-party costs. The Existing Term Loans borrowing costs of $27.7 million were expensed and are included in Loss on extinguishment of debt in the Condensed Consolidated Statement of Comprehensive Income during the three months ended June 30, 2024.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Terms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obligations under the Term B-8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w:t>
      </w:r>
    </w:p>
    <w:p>
      <w:pPr>
        <w:spacing w:after="0" w:line="1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June 30, 2024, we were in compliance with all financial and non-financial covenants.</w:t>
      </w:r>
    </w:p>
    <w:p>
      <w:pPr>
        <w:spacing w:after="0" w:line="154"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spacing w:after="0" w:line="139" w:lineRule="exact"/>
        <w:rPr>
          <w:sz w:val="20"/>
          <w:szCs w:val="20"/>
          <w:color w:val="auto"/>
        </w:rPr>
      </w:pPr>
    </w:p>
    <w:p>
      <w:pPr>
        <w:ind w:right="420" w:firstLine="584"/>
        <w:spacing w:after="0" w:line="312" w:lineRule="auto"/>
        <w:rPr>
          <w:sz w:val="20"/>
          <w:szCs w:val="20"/>
          <w:color w:val="auto"/>
        </w:rPr>
      </w:pPr>
      <w:r>
        <w:rPr>
          <w:rFonts w:ascii="Times New Roman" w:cs="Times New Roman" w:eastAsia="Times New Roman" w:hAnsi="Times New Roman"/>
          <w:sz w:val="17"/>
          <w:szCs w:val="17"/>
          <w:color w:val="auto"/>
        </w:rPr>
        <w:t>At any time and from time to time, we may, at our option, redeem some or all of the 5.5% Senior Notes, in whole or in part, at the redemption prices set forth in the following table, expressed as a percentage of the principal amount, plus accrued and unpaid interest to the redemption date:</w:t>
      </w:r>
    </w:p>
    <w:p>
      <w:pPr>
        <w:spacing w:after="0" w:line="1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4700" w:type="dxa"/>
            <w:vAlign w:val="bottom"/>
          </w:tcPr>
          <w:p>
            <w:pPr>
              <w:spacing w:after="0"/>
              <w:rPr>
                <w:sz w:val="16"/>
                <w:szCs w:val="16"/>
                <w:color w:val="auto"/>
              </w:rPr>
            </w:pPr>
          </w:p>
        </w:tc>
        <w:tc>
          <w:tcPr>
            <w:tcW w:w="1820" w:type="dxa"/>
            <w:vAlign w:val="bottom"/>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21"/>
        </w:trPr>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March 30, 2024</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2025 and thereafter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-145415</wp:posOffset>
            </wp:positionV>
            <wp:extent cx="477456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74565" cy="154305"/>
                    </a:xfrm>
                    <a:prstGeom prst="rect">
                      <a:avLst/>
                    </a:prstGeom>
                    <a:noFill/>
                  </pic:spPr>
                </pic:pic>
              </a:graphicData>
            </a:graphic>
          </wp:anchor>
        </w:drawing>
      </w:r>
    </w:p>
    <w:p>
      <w:pPr>
        <w:spacing w:after="0" w:line="164"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p>
      <w:pPr>
        <w:spacing w:after="0" w:line="52" w:lineRule="exact"/>
        <w:rPr>
          <w:sz w:val="20"/>
          <w:szCs w:val="20"/>
          <w:color w:val="auto"/>
        </w:rPr>
      </w:pPr>
    </w:p>
    <w:tbl>
      <w:tblPr>
        <w:tblLayout w:type="fixed"/>
        <w:tblInd w:w="19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5680" w:type="dxa"/>
            <w:vAlign w:val="bottom"/>
          </w:tcPr>
          <w:p>
            <w:pPr>
              <w:spacing w:after="0"/>
              <w:rPr>
                <w:sz w:val="16"/>
                <w:szCs w:val="16"/>
                <w:color w:val="auto"/>
              </w:rPr>
            </w:pPr>
          </w:p>
        </w:tc>
        <w:tc>
          <w:tcPr>
            <w:tcW w:w="13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5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June 1, 2027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103.250 %</w:t>
            </w:r>
          </w:p>
        </w:tc>
      </w:tr>
      <w:tr>
        <w:trPr>
          <w:trHeight w:val="238"/>
        </w:trPr>
        <w:tc>
          <w:tcPr>
            <w:tcW w:w="20" w:type="dxa"/>
            <w:vAlign w:val="bottom"/>
          </w:tcPr>
          <w:p>
            <w:pPr>
              <w:spacing w:after="0"/>
              <w:rPr>
                <w:sz w:val="20"/>
                <w:szCs w:val="20"/>
                <w:color w:val="auto"/>
              </w:rPr>
            </w:pPr>
          </w:p>
        </w:tc>
        <w:tc>
          <w:tcPr>
            <w:tcW w:w="5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June 1, 2028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101.625 %</w:t>
            </w:r>
          </w:p>
        </w:tc>
      </w:tr>
      <w:tr>
        <w:trPr>
          <w:trHeight w:val="243"/>
        </w:trPr>
        <w:tc>
          <w:tcPr>
            <w:tcW w:w="20" w:type="dxa"/>
            <w:vAlign w:val="bottom"/>
          </w:tcPr>
          <w:p>
            <w:pPr>
              <w:spacing w:after="0"/>
              <w:rPr>
                <w:sz w:val="21"/>
                <w:szCs w:val="21"/>
                <w:color w:val="auto"/>
              </w:rPr>
            </w:pPr>
          </w:p>
        </w:tc>
        <w:tc>
          <w:tcPr>
            <w:tcW w:w="5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1, 2029 and thereafter</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-453390</wp:posOffset>
            </wp:positionV>
            <wp:extent cx="470598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05985" cy="15430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-145415</wp:posOffset>
            </wp:positionV>
            <wp:extent cx="470598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05985" cy="154305"/>
                    </a:xfrm>
                    <a:prstGeom prst="rect">
                      <a:avLst/>
                    </a:prstGeom>
                    <a:noFill/>
                  </pic:spPr>
                </pic:pic>
              </a:graphicData>
            </a:graphic>
          </wp:anchor>
        </w:drawing>
      </w:r>
    </w:p>
    <w:p>
      <w:pPr>
        <w:spacing w:after="0" w:line="151" w:lineRule="exact"/>
        <w:rPr>
          <w:sz w:val="20"/>
          <w:szCs w:val="20"/>
          <w:color w:val="auto"/>
        </w:rPr>
      </w:pPr>
    </w:p>
    <w:p>
      <w:pPr>
        <w:ind w:right="440" w:firstLine="584"/>
        <w:spacing w:after="0" w:line="282" w:lineRule="auto"/>
        <w:rPr>
          <w:sz w:val="20"/>
          <w:szCs w:val="20"/>
          <w:color w:val="auto"/>
        </w:rPr>
      </w:pPr>
      <w:r>
        <w:rPr>
          <w:rFonts w:ascii="Times New Roman" w:cs="Times New Roman" w:eastAsia="Times New Roman" w:hAnsi="Times New Roman"/>
          <w:sz w:val="18"/>
          <w:szCs w:val="18"/>
          <w:color w:val="auto"/>
        </w:rPr>
        <w:t>We may also, from time to time in our sole discretion, purchase, redeem, or retire any outstanding 5.5% Senior Notes and 6.5% Senior Notes, through tender offers, in privately negotiated or open market transactions, or otherwise.</w:t>
      </w:r>
    </w:p>
    <w:p>
      <w:pPr>
        <w:spacing w:after="0" w:line="121" w:lineRule="exact"/>
        <w:rPr>
          <w:sz w:val="20"/>
          <w:szCs w:val="20"/>
          <w:color w:val="auto"/>
        </w:rPr>
      </w:pPr>
    </w:p>
    <w:p>
      <w:pPr>
        <w:ind w:right="200" w:firstLine="584"/>
        <w:spacing w:after="0" w:line="282" w:lineRule="auto"/>
        <w:rPr>
          <w:sz w:val="20"/>
          <w:szCs w:val="20"/>
          <w:color w:val="auto"/>
        </w:rPr>
      </w:pPr>
      <w:r>
        <w:rPr>
          <w:rFonts w:ascii="Times New Roman" w:cs="Times New Roman" w:eastAsia="Times New Roman" w:hAnsi="Times New Roman"/>
          <w:sz w:val="18"/>
          <w:szCs w:val="18"/>
          <w:color w:val="auto"/>
        </w:rPr>
        <w:t>The indentures governing the 5.5% Senior Notes and 6.5% Senior Notes contain a number of covenants that restrict, subject to certain thresholds and exceptions, our ability and the ability of our domestic restricted subsidiaries to incur debt or liens, make certain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4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5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75" w:lineRule="exact"/>
        <w:rPr>
          <w:sz w:val="20"/>
          <w:szCs w:val="20"/>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significant interest expense we incur as a result of our debt leverage;</w:t>
      </w:r>
    </w:p>
    <w:p>
      <w:pPr>
        <w:spacing w:after="0" w:line="117"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provision of income tax expense in our various jurisdictions;</w:t>
      </w:r>
    </w:p>
    <w:p>
      <w:pPr>
        <w:spacing w:after="0" w:line="117" w:lineRule="exact"/>
        <w:rPr>
          <w:rFonts w:ascii="Times New Roman" w:cs="Times New Roman" w:eastAsia="Times New Roman" w:hAnsi="Times New Roman"/>
          <w:sz w:val="18"/>
          <w:szCs w:val="18"/>
          <w:color w:val="auto"/>
        </w:rPr>
      </w:pPr>
    </w:p>
    <w:p>
      <w:pPr>
        <w:ind w:left="720" w:right="400" w:hanging="377"/>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any attribution of costs to our operations related to our investments and capital expenditures through depreciation and amortization charges;</w:t>
      </w:r>
    </w:p>
    <w:p>
      <w:pPr>
        <w:spacing w:after="0" w:line="53"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cost of compensation we provide to our employees in the form of stock-based awards;</w:t>
      </w:r>
    </w:p>
    <w:p>
      <w:pPr>
        <w:spacing w:after="0" w:line="117"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equity in earnings of unconsolidated affiliates; and</w:t>
      </w:r>
    </w:p>
    <w:p>
      <w:pPr>
        <w:spacing w:after="0" w:line="117" w:lineRule="exact"/>
        <w:rPr>
          <w:rFonts w:ascii="Times New Roman" w:cs="Times New Roman" w:eastAsia="Times New Roman" w:hAnsi="Times New Roman"/>
          <w:sz w:val="18"/>
          <w:szCs w:val="18"/>
          <w:color w:val="auto"/>
        </w:rPr>
      </w:pPr>
    </w:p>
    <w:p>
      <w:pPr>
        <w:ind w:left="720" w:right="480" w:hanging="377"/>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3" w:name="page24"/>
    <w:bookmarkEnd w:id="23"/>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following is a reconciliation of net income to Consolidated EBITDA attributable to SS&amp;C common stockholders as defined in our amended senior secured credit facility.</w:t>
      </w:r>
    </w:p>
    <w:tbl>
      <w:tblPr>
        <w:tblLayout w:type="fixed"/>
        <w:tblInd w:w="580" w:type="dxa"/>
        <w:tblCellMar>
          <w:top w:w="0" w:type="dxa"/>
          <w:left w:w="0" w:type="dxa"/>
          <w:bottom w:w="0" w:type="dxa"/>
          <w:right w:w="0" w:type="dxa"/>
        </w:tblCellMar>
      </w:tblPr>
      <w:tr>
        <w:trPr>
          <w:trHeight w:val="137"/>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Twelve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2"/>
                <w:szCs w:val="12"/>
                <w:color w:val="auto"/>
              </w:rPr>
            </w:pPr>
          </w:p>
        </w:tc>
        <w:tc>
          <w:tcPr>
            <w:tcW w:w="210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Acquired EBITDA and cost savings (1)</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(17.3 )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(9.4 )</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(19.6 )</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(15.1 )</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(104.6 )</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Purchase accounting adjustments (2)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ASC 606 adoption impact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(0.6 )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(0.8 )</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(1.3 )</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losses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gains (3)</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(12.0 )</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(14.2 )</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(16.7 )</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Facilities and workforce restructuring</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related (4)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(7.5 )</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Other (5)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Consolidated EBITDA</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1,117.9</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EBITDA attributable to noncontrolling interest (6)</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(1.1 )</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(0.6 )</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(2.2 )</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199"/>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Consolidated EBITDA attributable to SS&amp;C common</w:t>
            </w: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1,115.7</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1,011.3</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stockholders</w:t>
            </w: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-436245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-436245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-436245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-436245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-436245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520" w:right="2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ind w:left="520" w:right="40" w:hanging="512"/>
        <w:spacing w:after="0" w:line="265" w:lineRule="auto"/>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w:t>
      </w:r>
    </w:p>
    <w:p>
      <w:pPr>
        <w:ind w:left="520" w:right="1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an adjustment to increase or decrease rent expense by the amount that would have been recognized if lease obligations were not adjusted to fair value at the date of acquisitions.</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includes unrealized fair value adjustments of investments and dividend income received on investments.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includes costs related to both current acquisitions and the resolution of pre-acquisition matters.</w:t>
      </w:r>
    </w:p>
    <w:p>
      <w:pPr>
        <w:spacing w:after="0" w:line="9"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additional expenses and income that are permitted to be excluded per the terms of our amended senior secured credit facility from Consolidated EBITDA, a financial measure used in calculating our covenant compliance.</w:t>
      </w:r>
    </w:p>
    <w:p>
      <w:pPr>
        <w:ind w:left="520" w:right="420" w:hanging="512"/>
        <w:spacing w:after="0" w:line="26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attributable to noncontrolling interest represents Consolidated EBITDA based on the ownership interest retained by the noncontrolling parties of DomaniRx, our consolidated variable interest entity.</w:t>
      </w:r>
    </w:p>
    <w:p>
      <w:pPr>
        <w:spacing w:after="0" w:line="28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covenant requirement for consolidated net secured leverage ratio and the actual ratio as of June 30, 2024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87"/>
        </w:trPr>
        <w:tc>
          <w:tcPr>
            <w:tcW w:w="58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71"/>
        </w:trPr>
        <w:tc>
          <w:tcPr>
            <w:tcW w:w="580" w:type="dxa"/>
            <w:vAlign w:val="bottom"/>
          </w:tcPr>
          <w:p>
            <w:pPr>
              <w:spacing w:after="0"/>
              <w:rPr>
                <w:sz w:val="14"/>
                <w:szCs w:val="14"/>
                <w:color w:val="auto"/>
              </w:rPr>
            </w:pPr>
          </w:p>
        </w:tc>
        <w:tc>
          <w:tcPr>
            <w:tcW w:w="6940" w:type="dxa"/>
            <w:vAlign w:val="bottom"/>
            <w:shd w:val="clear" w:color="auto" w:fill="CFF0FC"/>
          </w:tcPr>
          <w:p>
            <w:pPr>
              <w:jc w:val="right"/>
              <w:ind w:right="3430"/>
              <w:spacing w:after="0" w:line="171" w:lineRule="exact"/>
              <w:rPr>
                <w:sz w:val="20"/>
                <w:szCs w:val="20"/>
                <w:color w:val="auto"/>
              </w:rPr>
            </w:pPr>
            <w:r>
              <w:rPr>
                <w:rFonts w:ascii="Times New Roman" w:cs="Times New Roman" w:eastAsia="Times New Roman" w:hAnsi="Times New Roman"/>
                <w:sz w:val="18"/>
                <w:szCs w:val="18"/>
                <w:color w:val="auto"/>
                <w:w w:val="99"/>
              </w:rPr>
              <w:t>Maximum consolidated net secured leverage to</w:t>
            </w: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281"/>
        </w:trPr>
        <w:tc>
          <w:tcPr>
            <w:tcW w:w="580" w:type="dxa"/>
            <w:vAlign w:val="bottom"/>
          </w:tcPr>
          <w:p>
            <w:pPr>
              <w:spacing w:after="0"/>
              <w:rPr>
                <w:sz w:val="24"/>
                <w:szCs w:val="24"/>
                <w:color w:val="auto"/>
              </w:rPr>
            </w:pPr>
          </w:p>
        </w:tc>
        <w:tc>
          <w:tcPr>
            <w:tcW w:w="6940" w:type="dxa"/>
            <w:vAlign w:val="bottom"/>
            <w:shd w:val="clear" w:color="auto" w:fill="CFF0FC"/>
          </w:tcPr>
          <w:p>
            <w:pPr>
              <w:jc w:val="right"/>
              <w:ind w:right="4530"/>
              <w:spacing w:after="0"/>
              <w:rPr>
                <w:sz w:val="20"/>
                <w:szCs w:val="20"/>
                <w:color w:val="auto"/>
              </w:rPr>
            </w:pPr>
            <w:r>
              <w:rPr>
                <w:rFonts w:ascii="Times New Roman" w:cs="Times New Roman" w:eastAsia="Times New Roman" w:hAnsi="Times New Roman"/>
                <w:sz w:val="18"/>
                <w:szCs w:val="18"/>
                <w:color w:val="auto"/>
              </w:rPr>
              <w:t>Consolidated EBITDA ratio</w:t>
            </w:r>
            <w:r>
              <w:rPr>
                <w:rFonts w:ascii="Times New Roman" w:cs="Times New Roman" w:eastAsia="Times New Roman" w:hAnsi="Times New Roman"/>
                <w:sz w:val="24"/>
                <w:szCs w:val="24"/>
                <w:color w:val="auto"/>
                <w:vertAlign w:val="superscript"/>
              </w:rPr>
              <w:t>(1)</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6.25x</w:t>
            </w:r>
          </w:p>
        </w:tc>
        <w:tc>
          <w:tcPr>
            <w:tcW w:w="160" w:type="dxa"/>
            <w:vAlign w:val="bottom"/>
            <w:shd w:val="clear" w:color="auto" w:fill="CFF0FC"/>
          </w:tcPr>
          <w:p>
            <w:pPr>
              <w:spacing w:after="0"/>
              <w:rPr>
                <w:sz w:val="24"/>
                <w:szCs w:val="24"/>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1.60x</w:t>
            </w:r>
          </w:p>
        </w:tc>
      </w:tr>
      <w:tr>
        <w:trPr>
          <w:trHeight w:val="123"/>
        </w:trPr>
        <w:tc>
          <w:tcPr>
            <w:tcW w:w="7520" w:type="dxa"/>
            <w:vAlign w:val="bottom"/>
            <w:gridSpan w:val="2"/>
          </w:tcPr>
          <w:p>
            <w:pPr>
              <w:jc w:val="right"/>
              <w:ind w:right="5050"/>
              <w:spacing w:after="0"/>
              <w:rPr>
                <w:sz w:val="20"/>
                <w:szCs w:val="20"/>
                <w:color w:val="auto"/>
              </w:rPr>
            </w:pPr>
            <w:r>
              <w:rPr>
                <w:rFonts w:ascii="Times New Roman" w:cs="Times New Roman" w:eastAsia="Times New Roman" w:hAnsi="Times New Roman"/>
                <w:sz w:val="9"/>
                <w:szCs w:val="9"/>
                <w:color w:val="auto"/>
                <w:w w:val="98"/>
              </w:rPr>
              <w:t>_____________________________________________________</w:t>
            </w: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r>
    </w:tbl>
    <w:p>
      <w:pPr>
        <w:ind w:left="520" w:hanging="512"/>
        <w:spacing w:after="0" w:line="253"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ratio of consolidated net secured funded indebtedness, net of cash and cash equivalents, excluding $88.5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11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is applicable to all public entities, including public entities with a single reportable segment, and requires enhanced reportable segment disclosures. The disclosures include significant segment expenses regularly provided to the chief operating decision maker (“CODM”) and included within each reported measure of segment profit or loss. The standard also requires disclosure of the title and position of the CODM as well as how the CODM uses the reported measures of a segment’s profit or loss to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assess segment performance and decide how to allocate resources. The new standard is effective for fiscal years beginning after December 15, 2023, and interim periods within fiscal years beginning after December 31, 2024. Early adoption is permitted. We are currently evaluating the potential impact the standard will have on our disclosures.</w:t>
      </w:r>
    </w:p>
    <w:p>
      <w:pPr>
        <w:spacing w:after="0" w:line="6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standard requires more enhanced disclosures specifically related to effective tax rate reconciliation and income taxes paid. The new requirements will be effective for fiscal years beginning after December 15, 2024, on a prospective basis. Early adoption and retrospective application are permitted. We are currently evaluating the potential impact the standard will have on our income tax disclosures.</w:t>
      </w:r>
    </w:p>
    <w:p>
      <w:pPr>
        <w:spacing w:after="0" w:line="17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derive service revenues from investment earnings related to cash balances maintained in bank accounts on which we are the agent for clients. The balances maintained in the bank accounts will fluctuate. For the six months ended June 30, 2024, our average daily cash balances of approximately $2,061.2 million were maintained in such accounts. We estimate that a 100 basis point change in the interest earnings rate would equal approximately $10.5 million of net income, net of income taxes, on an annual basis. The effect of changes in interest rates attributable to earnings derived from cash balances we hold for clients is offset by changes in interest rates on our variable debt.</w:t>
      </w:r>
    </w:p>
    <w:p>
      <w:pPr>
        <w:spacing w:after="0" w:line="14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At June 30, 2024, total variable interest rate debt was approximately $3,900.0 million. As of June 30, 2024, a 100 basis point increase in interest rates would result in an increase in interest expense of approximately $39.0 million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June 30, 2024 was approximately $48.2 million. The impact of a 10% change in fair value of these investments would have been approximately $3.6 million to net income, net of income taxes. Changes in equity values of our investments could have a material effect on our results of operations and our financial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2024, approximately 30%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net. These amounts were not material for the six months ended June 30, 2024.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6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2024. The term “disclosure controls and procedures,” as defined in Rules 13a-15(e) and 15d-15(e) under the Securities Exchange Act of 1934, as amended, or Exchange Act, means controls and other procedures of a company that are designed to ensure that information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t>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2024, our chief executive officer and chief financial officer concluded that, as of such date, our disclosure controls and procedures were effective at the reasonable assurance level.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defined in Rules 13a-15(f) and 15d-15(f) under the Exchange Act) that occurred during the fiscal quarter ended June 30, 2024 that have materially affected, or are reasonably likely to materially affect, our internal control over financial reporting.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regarding certain legal proceedings in which we are involved as set forth in Note 13 – Commitments and Contingencies of the Notes to the Condensed Consolidated Financial Statements (Part I, Item 1 of this Quarterly Report on Form 10-Q) is incorporated by reference into this Item 1.</w:t>
      </w:r>
    </w:p>
    <w:p>
      <w:pPr>
        <w:spacing w:after="0" w:line="13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have been no material changes to the risk factors we previously disclosed in our Annual Report on Form 10-K for the year ended December 31, 2023.</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repurchases of our common stock in the second quarter of 2024 (in millions, except average price per share):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3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 Average</w:t>
            </w: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4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0" w:type="dxa"/>
            <w:vAlign w:val="bottom"/>
          </w:tcPr>
          <w:p>
            <w:pPr>
              <w:spacing w:after="0"/>
              <w:rPr>
                <w:sz w:val="1"/>
                <w:szCs w:val="1"/>
                <w:color w:val="auto"/>
              </w:rPr>
            </w:pPr>
          </w:p>
        </w:tc>
      </w:tr>
      <w:tr>
        <w:trPr>
          <w:trHeight w:val="149"/>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340" w:type="dxa"/>
            <w:vAlign w:val="bottom"/>
          </w:tcPr>
          <w:p>
            <w:pPr>
              <w:spacing w:after="0"/>
              <w:rPr>
                <w:sz w:val="12"/>
                <w:szCs w:val="12"/>
                <w:color w:val="auto"/>
              </w:rPr>
            </w:pPr>
          </w:p>
        </w:tc>
        <w:tc>
          <w:tcPr>
            <w:tcW w:w="1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 or Programs (3)</w:t>
            </w:r>
          </w:p>
        </w:tc>
        <w:tc>
          <w:tcPr>
            <w:tcW w:w="0" w:type="dxa"/>
            <w:vAlign w:val="bottom"/>
          </w:tcPr>
          <w:p>
            <w:pPr>
              <w:spacing w:after="0"/>
              <w:rPr>
                <w:sz w:val="1"/>
                <w:szCs w:val="1"/>
                <w:color w:val="auto"/>
              </w:rPr>
            </w:pPr>
          </w:p>
        </w:tc>
      </w:tr>
      <w:tr>
        <w:trPr>
          <w:trHeight w:val="232"/>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3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3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0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80" w:hanging="263"/>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based on trade dates of repurchase transactions.</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repurchased in open market transactions pursuant to our previous common stock repurchase program.</w:t>
      </w:r>
    </w:p>
    <w:p>
      <w:pPr>
        <w:spacing w:after="0" w:line="9" w:lineRule="exact"/>
        <w:rPr>
          <w:rFonts w:ascii="Times New Roman" w:cs="Times New Roman" w:eastAsia="Times New Roman" w:hAnsi="Times New Roman"/>
          <w:sz w:val="18"/>
          <w:szCs w:val="18"/>
          <w:color w:val="auto"/>
        </w:rPr>
      </w:pPr>
    </w:p>
    <w:p>
      <w:pPr>
        <w:ind w:left="520" w:right="220" w:hanging="3"/>
        <w:spacing w:after="0" w:line="255" w:lineRule="auto"/>
        <w:tabs>
          <w:tab w:leader="none" w:pos="7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were made pursuant to our previous common stock repurchase program, authorized by our Board of Directors in July 2023. The program allowed for the purchase of up to $1 billion of outstanding common stock in one or more transactions on the open market or in privately negotiated purchases.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16"/>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240" w:type="dxa"/>
            <w:vAlign w:val="bottom"/>
            <w:gridSpan w:val="17"/>
          </w:tcPr>
          <w:p>
            <w:pPr>
              <w:ind w:left="520"/>
              <w:spacing w:after="0"/>
              <w:rPr>
                <w:sz w:val="20"/>
                <w:szCs w:val="20"/>
                <w:color w:val="auto"/>
              </w:rPr>
            </w:pPr>
            <w:r>
              <w:rPr>
                <w:rFonts w:ascii="Times New Roman" w:cs="Times New Roman" w:eastAsia="Times New Roman" w:hAnsi="Times New Roman"/>
                <w:sz w:val="18"/>
                <w:szCs w:val="18"/>
                <w:color w:val="auto"/>
              </w:rPr>
              <w:t>The exhibits listed in the Exhibit Index immediately preceding such exhibits are filed as part of this Report.</w:t>
            </w:r>
          </w:p>
        </w:tc>
        <w:tc>
          <w:tcPr>
            <w:tcW w:w="0" w:type="dxa"/>
            <w:vAlign w:val="bottom"/>
          </w:tcPr>
          <w:p>
            <w:pPr>
              <w:spacing w:after="0"/>
              <w:rPr>
                <w:sz w:val="1"/>
                <w:szCs w:val="1"/>
                <w:color w:val="auto"/>
              </w:rPr>
            </w:pPr>
          </w:p>
        </w:tc>
      </w:tr>
      <w:tr>
        <w:trPr>
          <w:trHeight w:val="418"/>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10"/>
          </w:tcPr>
          <w:p>
            <w:pPr>
              <w:ind w:left="4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7"/>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Indenture, dated as of May 9, 2024, among SS&amp;C Technologies Inc., SS&amp;C Technologies Holdings, Inc., the other guarantors party thereto</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and Wilmington Trust, National Association, as trustee is incorporated by reference to Exhibit 4.1 to the Registrant’s Current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8-K, filed on May 9, 2024 (File No. 001-34675)</w:t>
              </w:r>
            </w:hyperlink>
          </w:p>
        </w:tc>
        <w:tc>
          <w:tcPr>
            <w:tcW w:w="20" w:type="dxa"/>
            <w:vAlign w:val="bottom"/>
            <w:tcBorders>
              <w:bottom w:val="single" w:sz="8" w:color="0000EE"/>
            </w:tcBorders>
          </w:tcPr>
          <w:p>
            <w:pPr>
              <w:spacing w:after="0"/>
              <w:rPr>
                <w:sz w:val="17"/>
                <w:szCs w:val="17"/>
                <w:color w:val="auto"/>
              </w:rPr>
            </w:pPr>
          </w:p>
        </w:tc>
        <w:tc>
          <w:tcPr>
            <w:tcW w:w="67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Incremental Joinder &amp; First Amendment to Credit Agreement, dated as of May 9, 2024, by and among SS&amp;C Technologies, Inc., the other</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loan parties thereto, the lenders party thereto, Morgan Stanley Senior Funding, Inc., as administrative agent, and the other parties party</w:t>
              </w:r>
            </w:hyperlink>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thereto is incorporated by reference to Exhibit 10.1 to the Registrant’s Current Report on Form 8-K, filed on May 9, 2024 (File No. 001-</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920" w:type="dxa"/>
            <w:vAlign w:val="bottom"/>
            <w:gridSpan w:val="4"/>
          </w:tcPr>
          <w:p>
            <w:pPr>
              <w:ind w:left="400"/>
              <w:spacing w:after="0" w:line="196" w:lineRule="exact"/>
              <w:rPr>
                <w:rFonts w:ascii="Times New Roman" w:cs="Times New Roman" w:eastAsia="Times New Roman" w:hAnsi="Times New Roman"/>
                <w:sz w:val="18"/>
                <w:szCs w:val="18"/>
                <w:color w:val="0000FF"/>
                <w:w w:val="94"/>
              </w:rPr>
            </w:pPr>
            <w:hyperlink r:id="rId290">
              <w:r>
                <w:rPr>
                  <w:rFonts w:ascii="Times New Roman" w:cs="Times New Roman" w:eastAsia="Times New Roman" w:hAnsi="Times New Roman"/>
                  <w:sz w:val="18"/>
                  <w:szCs w:val="18"/>
                  <w:color w:val="0000FF"/>
                  <w:w w:val="94"/>
                </w:rPr>
                <w:t>34675)</w:t>
              </w:r>
            </w:hyperlink>
          </w:p>
        </w:tc>
        <w:tc>
          <w:tcPr>
            <w:tcW w:w="2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SS&amp;C Technologies Holdings, Inc. Amended and Restated 2023 Stock Incentive Plan, adopted effective May 29, 2024, is incorporated by</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reference to Exhibit 99.1 to the Registrant’s Registration Statement on Form S-8, filed on July 30, 2024 (File No. 333-281105)</w:t>
              </w:r>
            </w:hyperlink>
          </w:p>
        </w:tc>
        <w:tc>
          <w:tcPr>
            <w:tcW w:w="0" w:type="dxa"/>
            <w:vAlign w:val="bottom"/>
          </w:tcPr>
          <w:p>
            <w:pPr>
              <w:spacing w:after="0"/>
              <w:rPr>
                <w:sz w:val="1"/>
                <w:szCs w:val="1"/>
                <w:color w:val="auto"/>
              </w:rPr>
            </w:pPr>
          </w:p>
        </w:tc>
      </w:tr>
      <w:tr>
        <w:trPr>
          <w:trHeight w:val="37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Registrant’s Chief Executive Officer pursuant to Section 302 of the Sarbanes-Oxley Act of 2002*</w:t>
            </w:r>
          </w:p>
        </w:tc>
        <w:tc>
          <w:tcPr>
            <w:tcW w:w="660" w:type="dxa"/>
            <w:vAlign w:val="bottom"/>
            <w:tcBorders>
              <w:top w:val="single" w:sz="8" w:color="0000FF"/>
            </w:tcBorders>
          </w:tcPr>
          <w:p>
            <w:pPr>
              <w:spacing w:after="0"/>
              <w:rPr>
                <w:sz w:val="24"/>
                <w:szCs w:val="24"/>
                <w:color w:val="auto"/>
              </w:rPr>
            </w:pPr>
          </w:p>
        </w:tc>
        <w:tc>
          <w:tcPr>
            <w:tcW w:w="11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Registrant’s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40" w:right="20" w:hanging="1019"/>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-313055</wp:posOffset>
            </wp:positionV>
            <wp:extent cx="64719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-175895</wp:posOffset>
            </wp:positionV>
            <wp:extent cx="64496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-38735</wp:posOffset>
            </wp:positionV>
            <wp:extent cx="11734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40" w:type="dxa"/>
            <w:vAlign w:val="bottom"/>
          </w:tcPr>
          <w:p>
            <w:pPr>
              <w:spacing w:after="0"/>
              <w:rPr>
                <w:sz w:val="20"/>
                <w:szCs w:val="20"/>
                <w:color w:val="auto"/>
              </w:rPr>
            </w:pP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57" w:lineRule="exact"/>
        <w:rPr>
          <w:sz w:val="20"/>
          <w:szCs w:val="20"/>
          <w:color w:val="auto"/>
        </w:rPr>
      </w:pPr>
    </w:p>
    <w:p>
      <w:pPr>
        <w:ind w:right="3640" w:firstLine="21"/>
        <w:spacing w:after="0" w:line="508" w:lineRule="auto"/>
        <w:tabs>
          <w:tab w:leader="none" w:pos="102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SS&amp;C TECHNOLOGIES HOLDINGS, INC.</w:t>
      </w:r>
    </w:p>
    <w:p>
      <w:pPr>
        <w:spacing w:after="0" w:line="306"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26035</wp:posOffset>
            </wp:positionV>
            <wp:extent cx="291465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Brian N. Schell</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(Duly Authorized Officer, Principal Financial and Accounting</w:t>
      </w:r>
    </w:p>
    <w:p>
      <w:pPr>
        <w:spacing w:after="0" w:line="2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Stone, certify that:</w:t>
      </w:r>
    </w:p>
    <w:p>
      <w:pPr>
        <w:spacing w:after="0" w:line="117"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C. Stone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N. Schell, certify that:</w:t>
      </w:r>
    </w:p>
    <w:p>
      <w:pPr>
        <w:spacing w:after="0" w:line="117"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7"/>
          <w:szCs w:val="17"/>
          <w:color w:val="auto"/>
        </w:rPr>
        <w:t>/s/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Brian N. Schell</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160" w:firstLine="10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SS&amp;C Technologies Holdings, Inc. (the “Company”) for the period ended June 30, 2024 as filed with the Securities and Exchange Commission on the date hereof (the “Report”), the undersigned officers of the Company hereby certify to their knowledge, pursuant to 18 U.S.C. Section 1350, that:</w:t>
      </w:r>
    </w:p>
    <w:p>
      <w:pPr>
        <w:spacing w:after="0" w:line="68" w:lineRule="exact"/>
        <w:rPr>
          <w:sz w:val="20"/>
          <w:szCs w:val="20"/>
          <w:color w:val="auto"/>
        </w:rPr>
      </w:pPr>
    </w:p>
    <w:p>
      <w:pPr>
        <w:ind w:left="820" w:hanging="363"/>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William C. Stone</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Brian N. Schell</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
      <w:numFmt w:val="bullet"/>
      <w:start w:val="1"/>
    </w:lvl>
    <w:lvl w:ilvl="1">
      <w:lvlJc w:val="left"/>
      <w:lvlText w:val="%2"/>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289" Type="http://schemas.openxmlformats.org/officeDocument/2006/relationships/hyperlink" Target="https://www.sec.gov/Archives/edgar/data/1402436/000095017024057140/ssnc-ex4_1.htm" TargetMode="External"/><Relationship Id="rId290" Type="http://schemas.openxmlformats.org/officeDocument/2006/relationships/hyperlink" Target="https://www.sec.gov/Archives/edgar/data/1402436/000095017024057140/ssnc-ex10_1.htm" TargetMode="External"/><Relationship Id="rId291" Type="http://schemas.openxmlformats.org/officeDocument/2006/relationships/hyperlink" Target="https://www.sec.gov/Archives/edgar/data/1402436/000095017024087998/ssnc-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2024-08-01T07:22:58Z</dcterms:created>
  <dcterms:modified xsi:type="dcterms:W3CDTF">2024-08-01T07:22:58Z</dcterms:modified>
</cp:coreProperties>
</file>