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4.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80" w:after="283"/>
        <w:jc w:val="center"/>
        <w:rPr>
          <w:rFonts w:ascii="Times New Roman" w:hAnsi="Times New Roman"/>
          <w:b/>
          <w:color w:val="000000"/>
          <w:sz w:val="36"/>
        </w:rPr>
      </w:pPr>
      <w:bookmarkStart w:id="0" w:name="ssnc-20260723.htm"/>
      <w:bookmarkStart w:id="1" w:name="ksssnc20260723"/>
      <w:bookmarkEnd w:id="0"/>
      <w:bookmarkEnd w:id="1"/>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FORM 8-K</w:t>
      </w:r>
    </w:p>
    <w:p>
      <w:pPr>
        <w:pStyle w:val="TextBody"/>
        <w:bidi w:val="0"/>
        <w:spacing w:before="12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center"/>
        <w:rPr>
          <w:rFonts w:ascii="Times New Roman" w:hAnsi="Times New Roman"/>
          <w:b/>
          <w:color w:val="000000"/>
          <w:sz w:val="24"/>
        </w:rPr>
      </w:pPr>
      <w:r>
        <w:rPr>
          <w:rFonts w:ascii="Times New Roman" w:hAnsi="Times New Roman"/>
          <w:b/>
          <w:color w:val="000000"/>
          <w:sz w:val="24"/>
        </w:rPr>
        <w:t>Pursuant to Section 13 or 15(d)</w:t>
      </w:r>
    </w:p>
    <w:p>
      <w:pPr>
        <w:pStyle w:val="TextBody"/>
        <w:bidi w:val="0"/>
        <w:jc w:val="center"/>
        <w:rPr>
          <w:rFonts w:ascii="Times New Roman" w:hAnsi="Times New Roman"/>
          <w:b/>
          <w:color w:val="000000"/>
          <w:sz w:val="24"/>
        </w:rPr>
      </w:pPr>
      <w:r>
        <w:rPr>
          <w:rFonts w:ascii="Times New Roman" w:hAnsi="Times New Roman"/>
          <w:b/>
          <w:color w:val="000000"/>
          <w:sz w:val="24"/>
        </w:rPr>
        <w:t>of the Securities Exchange Act of 1934</w:t>
      </w:r>
    </w:p>
    <w:p>
      <w:pPr>
        <w:pStyle w:val="TextBody"/>
        <w:bidi w:val="0"/>
        <w:spacing w:before="120" w:after="283"/>
        <w:jc w:val="center"/>
        <w:rPr>
          <w:rFonts w:ascii="Times New Roman" w:hAnsi="Times New Roman"/>
          <w:b/>
          <w:color w:val="000000"/>
          <w:sz w:val="24"/>
        </w:rPr>
      </w:pPr>
      <w:r>
        <w:rPr>
          <w:rFonts w:ascii="Times New Roman" w:hAnsi="Times New Roman"/>
          <w:b/>
          <w:color w:val="000000"/>
          <w:sz w:val="24"/>
        </w:rPr>
        <w:t>Date of Report (Date of earliest event reported): July 23, 2026</w:t>
      </w:r>
    </w:p>
    <w:p>
      <w:pPr>
        <w:pStyle w:val="TextBody"/>
        <w:bidi w:val="0"/>
        <w:spacing w:before="120" w:after="283"/>
        <w:jc w:val="center"/>
        <w:rPr/>
      </w:pPr>
      <w:r>
        <w:rPr/>
        <w:drawing>
          <wp:inline distT="0" distB="0" distL="0" distR="0">
            <wp:extent cx="1800225" cy="9715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00225" cy="971550"/>
                    </a:xfrm>
                    <a:prstGeom prst="rect">
                      <a:avLst/>
                    </a:prstGeom>
                  </pic:spPr>
                </pic:pic>
              </a:graphicData>
            </a:graphic>
          </wp:inline>
        </w:drawing>
      </w:r>
    </w:p>
    <w:p>
      <w:pPr>
        <w:pStyle w:val="TextBody"/>
        <w:bidi w:val="0"/>
        <w:jc w:val="center"/>
        <w:rPr>
          <w:rFonts w:ascii="Times New Roman" w:hAnsi="Times New Roman"/>
          <w:b/>
          <w:color w:val="000000"/>
          <w:sz w:val="48"/>
        </w:rPr>
      </w:pPr>
      <w:r>
        <w:rPr>
          <w:rFonts w:ascii="Times New Roman" w:hAnsi="Times New Roman"/>
          <w:b/>
          <w:color w:val="000000"/>
          <w:sz w:val="48"/>
        </w:rPr>
        <w:t>SS&amp;C TECHNOLOGIES HOLDINGS,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bidi w:val="0"/>
        <w:jc w:val="left"/>
        <w:rPr/>
      </w:pPr>
      <w:r>
        <w:rPr/>
        <w:t> </w:t>
      </w:r>
    </w:p>
    <w:tbl>
      <w:tblPr>
        <w:tblW w:w="3723" w:type="dxa"/>
        <w:jc w:val="left"/>
        <w:tblInd w:w="0" w:type="dxa"/>
        <w:tblLayout w:type="fixed"/>
        <w:tblCellMar>
          <w:top w:w="28" w:type="dxa"/>
          <w:left w:w="28" w:type="dxa"/>
          <w:bottom w:w="28" w:type="dxa"/>
          <w:right w:w="28" w:type="dxa"/>
        </w:tblCellMar>
      </w:tblPr>
      <w:tblGrid>
        <w:gridCol w:w="1561"/>
        <w:gridCol w:w="1006"/>
        <w:gridCol w:w="1156"/>
      </w:tblGrid>
      <w:tr>
        <w:trPr/>
        <w:tc>
          <w:tcPr>
            <w:tcW w:w="1561"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r>
      <w:tr>
        <w:trPr/>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0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001-34675</w:t>
            </w:r>
          </w:p>
        </w:tc>
        <w:tc>
          <w:tcPr>
            <w:tcW w:w="11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71-0987913</w:t>
            </w:r>
          </w:p>
        </w:tc>
      </w:tr>
      <w:tr>
        <w:trPr/>
        <w:tc>
          <w:tcPr>
            <w:tcW w:w="156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2"/>
              </w:rPr>
            </w:pPr>
            <w:r>
              <w:rPr>
                <w:rFonts w:ascii="Times New Roman" w:hAnsi="Times New Roman"/>
                <w:b/>
                <w:color w:val="000000"/>
                <w:sz w:val="12"/>
              </w:rPr>
              <w:t>(State or Other Jurisdiction</w:t>
            </w:r>
          </w:p>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of Incorporation)</w:t>
            </w:r>
          </w:p>
        </w:tc>
        <w:tc>
          <w:tcPr>
            <w:tcW w:w="10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(Commission</w:t>
              <w:br/>
              <w:t>File Number)</w:t>
            </w:r>
          </w:p>
        </w:tc>
        <w:tc>
          <w:tcPr>
            <w:tcW w:w="11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(IRS Employer</w:t>
              <w:br/>
              <w:t>Identification No.)</w:t>
            </w:r>
          </w:p>
        </w:tc>
      </w:tr>
    </w:tbl>
    <w:p>
      <w:pPr>
        <w:pStyle w:val="TextBody"/>
        <w:bidi w:val="0"/>
        <w:jc w:val="left"/>
        <w:rPr/>
      </w:pPr>
      <w:r>
        <w:rPr/>
        <w:t> </w:t>
      </w:r>
    </w:p>
    <w:tbl>
      <w:tblPr>
        <w:tblW w:w="3722" w:type="dxa"/>
        <w:jc w:val="left"/>
        <w:tblInd w:w="0" w:type="dxa"/>
        <w:tblLayout w:type="fixed"/>
        <w:tblCellMar>
          <w:top w:w="28" w:type="dxa"/>
          <w:left w:w="28" w:type="dxa"/>
          <w:bottom w:w="28" w:type="dxa"/>
          <w:right w:w="28" w:type="dxa"/>
        </w:tblCellMar>
      </w:tblPr>
      <w:tblGrid>
        <w:gridCol w:w="3016"/>
        <w:gridCol w:w="706"/>
      </w:tblGrid>
      <w:tr>
        <w:trPr/>
        <w:tc>
          <w:tcPr>
            <w:tcW w:w="301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80 Lamberton Road, Windsor, CT</w:t>
            </w:r>
          </w:p>
        </w:tc>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06095</w:t>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(Address of Principal Executive Offices)</w:t>
            </w:r>
          </w:p>
        </w:tc>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(Zip Code)</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Registrant’s telephone number, including area code: (860) 298-4500</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b/>
          <w:color w:val="000000"/>
          <w:sz w:val="16"/>
        </w:rPr>
      </w:pPr>
      <w:r>
        <w:rPr>
          <w:rFonts w:ascii="Times New Roman" w:hAnsi="Times New Roman"/>
          <w:b/>
          <w:color w:val="000000"/>
          <w:sz w:val="16"/>
        </w:rPr>
        <w:t>(Former Name or Former Address, if Changed Since Last Report)</w:t>
      </w:r>
    </w:p>
    <w:p>
      <w:pPr>
        <w:pStyle w:val="TextBody"/>
        <w:bidi w:val="0"/>
        <w:spacing w:before="120" w:after="283"/>
        <w:jc w:val="left"/>
        <w:rPr>
          <w:rFonts w:ascii="Times New Roman" w:hAnsi="Times New Roman"/>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 (</w:t>
      </w:r>
      <w:r>
        <w:rPr>
          <w:rFonts w:ascii="Times New Roman" w:hAnsi="Times New Roman"/>
          <w:i/>
          <w:color w:val="000000"/>
          <w:sz w:val="20"/>
        </w:rPr>
        <w:t>see</w:t>
      </w:r>
      <w:r>
        <w:rPr>
          <w:rFonts w:ascii="Times New Roman" w:hAnsi="Times New Roman"/>
          <w:color w:val="000000"/>
          <w:sz w:val="20"/>
        </w:rPr>
        <w:t xml:space="preserve"> General Instruction A.2. below):</w:t>
      </w:r>
    </w:p>
    <w:p>
      <w:pPr>
        <w:pStyle w:val="TextBody"/>
        <w:bidi w:val="0"/>
        <w:jc w:val="left"/>
        <w:rPr/>
      </w:pPr>
      <w:r>
        <w:rPr/>
        <w:t> </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tbl>
      <w:tblPr>
        <w:tblW w:w="2687" w:type="dxa"/>
        <w:jc w:val="left"/>
        <w:tblInd w:w="0" w:type="dxa"/>
        <w:tblLayout w:type="fixed"/>
        <w:tblCellMar>
          <w:top w:w="28" w:type="dxa"/>
          <w:left w:w="28" w:type="dxa"/>
          <w:bottom w:w="28" w:type="dxa"/>
          <w:right w:w="28" w:type="dxa"/>
        </w:tblCellMar>
      </w:tblPr>
      <w:tblGrid>
        <w:gridCol w:w="331"/>
        <w:gridCol w:w="2356"/>
      </w:tblGrid>
      <w:tr>
        <w:trPr/>
        <w:tc>
          <w:tcPr>
            <w:tcW w:w="331"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235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Emerging growth company</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Securities registered pursuant to Section 12(b) of the Act:</w:t>
      </w:r>
    </w:p>
    <w:tbl>
      <w:tblPr>
        <w:tblW w:w="8598" w:type="dxa"/>
        <w:jc w:val="left"/>
        <w:tblInd w:w="0" w:type="dxa"/>
        <w:tblLayout w:type="fixed"/>
        <w:tblCellMar>
          <w:top w:w="28" w:type="dxa"/>
          <w:left w:w="28" w:type="dxa"/>
          <w:bottom w:w="28" w:type="dxa"/>
          <w:right w:w="28" w:type="dxa"/>
        </w:tblCellMar>
      </w:tblPr>
      <w:tblGrid>
        <w:gridCol w:w="3466"/>
        <w:gridCol w:w="1426"/>
        <w:gridCol w:w="3706"/>
      </w:tblGrid>
      <w:tr>
        <w:trPr/>
        <w:tc>
          <w:tcPr>
            <w:tcW w:w="3466"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3466" w:type="dxa"/>
            <w:tcBorders/>
            <w:tcMar>
              <w:top w:w="0" w:type="dxa"/>
              <w:left w:w="0" w:type="dxa"/>
              <w:bottom w:w="0" w:type="dxa"/>
              <w:right w:w="0" w:type="dxa"/>
            </w:tcMar>
            <w:vAlign w:val="center"/>
          </w:tcPr>
          <w:p>
            <w:pPr>
              <w:pStyle w:val="TableContents"/>
              <w:bidi w:val="0"/>
              <w:spacing w:before="160" w:after="283"/>
              <w:jc w:val="center"/>
              <w:rPr>
                <w:rFonts w:ascii="Times New Roman" w:hAnsi="Times New Roman"/>
                <w:color w:val="000000"/>
                <w:sz w:val="20"/>
                <w:u w:val="single"/>
              </w:rPr>
            </w:pPr>
            <w:r>
              <w:rPr>
                <w:rFonts w:ascii="Times New Roman" w:hAnsi="Times New Roman"/>
                <w:color w:val="000000"/>
                <w:sz w:val="20"/>
                <w:u w:val="single"/>
              </w:rPr>
              <w:t>Title of each class</w:t>
            </w:r>
          </w:p>
        </w:tc>
        <w:tc>
          <w:tcPr>
            <w:tcW w:w="1426" w:type="dxa"/>
            <w:tcBorders/>
            <w:tcMar>
              <w:top w:w="0" w:type="dxa"/>
              <w:left w:w="0" w:type="dxa"/>
              <w:bottom w:w="0" w:type="dxa"/>
              <w:right w:w="0" w:type="dxa"/>
            </w:tcMar>
            <w:vAlign w:val="center"/>
          </w:tcPr>
          <w:p>
            <w:pPr>
              <w:pStyle w:val="TableContents"/>
              <w:bidi w:val="0"/>
              <w:spacing w:before="160" w:after="283"/>
              <w:jc w:val="center"/>
              <w:rPr>
                <w:rFonts w:ascii="Times New Roman" w:hAnsi="Times New Roman"/>
                <w:color w:val="000000"/>
                <w:sz w:val="20"/>
                <w:u w:val="single"/>
              </w:rPr>
            </w:pPr>
            <w:r>
              <w:rPr>
                <w:rFonts w:ascii="Times New Roman" w:hAnsi="Times New Roman"/>
                <w:color w:val="000000"/>
                <w:sz w:val="20"/>
                <w:u w:val="single"/>
              </w:rPr>
              <w:t>Trading Symbol</w:t>
            </w:r>
          </w:p>
        </w:tc>
        <w:tc>
          <w:tcPr>
            <w:tcW w:w="3706" w:type="dxa"/>
            <w:tcBorders/>
            <w:tcMar>
              <w:top w:w="0" w:type="dxa"/>
              <w:left w:w="0" w:type="dxa"/>
              <w:bottom w:w="0" w:type="dxa"/>
              <w:right w:w="0" w:type="dxa"/>
            </w:tcMar>
            <w:vAlign w:val="center"/>
          </w:tcPr>
          <w:p>
            <w:pPr>
              <w:pStyle w:val="TableContents"/>
              <w:bidi w:val="0"/>
              <w:spacing w:before="160" w:after="283"/>
              <w:jc w:val="center"/>
              <w:rPr>
                <w:rFonts w:ascii="Times New Roman" w:hAnsi="Times New Roman"/>
                <w:color w:val="000000"/>
                <w:sz w:val="20"/>
                <w:u w:val="single"/>
              </w:rPr>
            </w:pPr>
            <w:r>
              <w:rPr>
                <w:rFonts w:ascii="Times New Roman" w:hAnsi="Times New Roman"/>
                <w:color w:val="000000"/>
                <w:sz w:val="20"/>
                <w:u w:val="single"/>
              </w:rPr>
              <w:t>Name of each exchange on which registered</w:t>
            </w:r>
          </w:p>
        </w:tc>
      </w:tr>
      <w:tr>
        <w:trPr/>
        <w:tc>
          <w:tcPr>
            <w:tcW w:w="3466" w:type="dxa"/>
            <w:tcBorders/>
            <w:tcMar>
              <w:top w:w="0" w:type="dxa"/>
              <w:left w:w="0" w:type="dxa"/>
              <w:bottom w:w="0" w:type="dxa"/>
              <w:right w:w="0" w:type="dxa"/>
            </w:tcMar>
            <w:vAlign w:val="center"/>
          </w:tcPr>
          <w:p>
            <w:pPr>
              <w:pStyle w:val="TableContents"/>
              <w:bidi w:val="0"/>
              <w:spacing w:before="160" w:after="283"/>
              <w:jc w:val="center"/>
              <w:rPr>
                <w:rFonts w:ascii="Times New Roman" w:hAnsi="Times New Roman"/>
                <w:color w:val="000000"/>
                <w:sz w:val="20"/>
              </w:rPr>
            </w:pPr>
            <w:r>
              <w:rPr>
                <w:rFonts w:ascii="Times New Roman" w:hAnsi="Times New Roman"/>
                <w:color w:val="000000"/>
                <w:sz w:val="20"/>
              </w:rPr>
              <w:t>Common stock, par value $0.01 per share</w:t>
            </w:r>
          </w:p>
        </w:tc>
        <w:tc>
          <w:tcPr>
            <w:tcW w:w="1426" w:type="dxa"/>
            <w:tcBorders/>
            <w:tcMar>
              <w:top w:w="0" w:type="dxa"/>
              <w:left w:w="0" w:type="dxa"/>
              <w:bottom w:w="0" w:type="dxa"/>
              <w:right w:w="0" w:type="dxa"/>
            </w:tcMar>
            <w:vAlign w:val="center"/>
          </w:tcPr>
          <w:p>
            <w:pPr>
              <w:pStyle w:val="TableContents"/>
              <w:bidi w:val="0"/>
              <w:spacing w:before="160" w:after="283"/>
              <w:jc w:val="center"/>
              <w:rPr>
                <w:rFonts w:ascii="Times New Roman" w:hAnsi="Times New Roman"/>
                <w:color w:val="000000"/>
                <w:sz w:val="20"/>
              </w:rPr>
            </w:pPr>
            <w:r>
              <w:rPr>
                <w:rFonts w:ascii="Times New Roman" w:hAnsi="Times New Roman"/>
                <w:color w:val="000000"/>
                <w:sz w:val="20"/>
              </w:rPr>
              <w:t>SSNC</w:t>
            </w:r>
          </w:p>
        </w:tc>
        <w:tc>
          <w:tcPr>
            <w:tcW w:w="3706" w:type="dxa"/>
            <w:tcBorders/>
            <w:tcMar>
              <w:top w:w="0" w:type="dxa"/>
              <w:left w:w="0" w:type="dxa"/>
              <w:bottom w:w="0" w:type="dxa"/>
              <w:right w:w="0" w:type="dxa"/>
            </w:tcMar>
            <w:vAlign w:val="center"/>
          </w:tcPr>
          <w:p>
            <w:pPr>
              <w:pStyle w:val="TableContents"/>
              <w:bidi w:val="0"/>
              <w:spacing w:before="160" w:after="283"/>
              <w:jc w:val="center"/>
              <w:rPr>
                <w:rFonts w:ascii="Times New Roman" w:hAnsi="Times New Roman"/>
                <w:color w:val="000000"/>
                <w:sz w:val="20"/>
              </w:rPr>
            </w:pPr>
            <w:r>
              <w:rPr>
                <w:rFonts w:ascii="Times New Roman" w:hAnsi="Times New Roman"/>
                <w:color w:val="000000"/>
                <w:sz w:val="20"/>
              </w:rPr>
              <w:t>The Nasdaq Global Select Market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July 23, 2026, SS&amp;C Technologies Holdings, Inc. (the “Company”) announced its financial results for the quarter ended June 30, 2026. The full text of the press release and earnings release presentation issued in connection with the announcement are furnished as Exhibit 99.1 and Exhibit 99.2, respectively, to this Current Report on Form 8-K.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information in this Form 8-K (including Exhibits 99.1 and 99.2)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Exhibits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exhibits relating to Item 2.02 shall be deemed to be furnished, and not filed:</w:t>
      </w:r>
    </w:p>
    <w:p>
      <w:pPr>
        <w:pStyle w:val="TextBody"/>
        <w:bidi w:val="0"/>
        <w:jc w:val="left"/>
        <w:rPr/>
      </w:pPr>
      <w:r>
        <w:rPr/>
        <w:t> </w:t>
      </w:r>
    </w:p>
    <w:tbl>
      <w:tblPr>
        <w:tblW w:w="7142" w:type="dxa"/>
        <w:jc w:val="left"/>
        <w:tblInd w:w="0" w:type="dxa"/>
        <w:tblLayout w:type="fixed"/>
        <w:tblCellMar>
          <w:top w:w="28" w:type="dxa"/>
          <w:left w:w="28" w:type="dxa"/>
          <w:bottom w:w="28" w:type="dxa"/>
          <w:right w:w="28" w:type="dxa"/>
        </w:tblCellMar>
      </w:tblPr>
      <w:tblGrid>
        <w:gridCol w:w="481"/>
        <w:gridCol w:w="6661"/>
      </w:tblGrid>
      <w:tr>
        <w:trPr/>
        <w:tc>
          <w:tcPr>
            <w:tcW w:w="481" w:type="dxa"/>
            <w:tcBorders/>
            <w:vAlign w:val="center"/>
          </w:tcPr>
          <w:p>
            <w:pPr>
              <w:pStyle w:val="TableContents"/>
              <w:bidi w:val="0"/>
              <w:spacing w:before="0" w:after="283"/>
              <w:jc w:val="left"/>
              <w:rPr>
                <w:sz w:val="4"/>
                <w:szCs w:val="4"/>
              </w:rPr>
            </w:pPr>
            <w:r>
              <w:rPr>
                <w:sz w:val="4"/>
                <w:szCs w:val="4"/>
              </w:rPr>
            </w:r>
          </w:p>
        </w:tc>
        <w:tc>
          <w:tcPr>
            <w:tcW w:w="6661" w:type="dxa"/>
            <w:tcBorders/>
            <w:vAlign w:val="center"/>
          </w:tcPr>
          <w:p>
            <w:pPr>
              <w:pStyle w:val="TableContents"/>
              <w:bidi w:val="0"/>
              <w:spacing w:before="0" w:after="283"/>
              <w:jc w:val="left"/>
              <w:rPr>
                <w:sz w:val="4"/>
                <w:szCs w:val="4"/>
              </w:rPr>
            </w:pPr>
            <w:r>
              <w:rPr>
                <w:sz w:val="4"/>
                <w:szCs w:val="4"/>
              </w:rPr>
            </w:r>
          </w:p>
        </w:tc>
      </w:tr>
      <w:tr>
        <w:trPr/>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6661" w:type="dxa"/>
            <w:tcBorders/>
            <w:tcMar>
              <w:top w:w="0" w:type="dxa"/>
              <w:left w:w="0" w:type="dxa"/>
              <w:bottom w:w="0" w:type="dxa"/>
              <w:right w:w="0" w:type="dxa"/>
            </w:tcMar>
            <w:vAlign w:val="center"/>
          </w:tcPr>
          <w:p>
            <w:pPr>
              <w:pStyle w:val="TableContents"/>
              <w:bidi w:val="0"/>
              <w:spacing w:before="0" w:after="283"/>
              <w:jc w:val="left"/>
              <w:rPr/>
            </w:pPr>
            <w:hyperlink w:anchor="ssnc-ex99_1.htm">
              <w:r>
                <w:rPr>
                  <w:rStyle w:val="InternetLink"/>
                  <w:rFonts w:ascii="Times New Roman" w:hAnsi="Times New Roman"/>
                  <w:color w:val="0000FF"/>
                  <w:sz w:val="20"/>
                  <w:u w:val="single"/>
                </w:rPr>
                <w:t>Press Release, issued by the Company on July 23, 2026.</w:t>
              </w:r>
            </w:hyperlink>
          </w:p>
        </w:tc>
      </w:tr>
      <w:tr>
        <w:trPr/>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99.2</w:t>
            </w:r>
          </w:p>
        </w:tc>
        <w:tc>
          <w:tcPr>
            <w:tcW w:w="6661" w:type="dxa"/>
            <w:tcBorders/>
            <w:tcMar>
              <w:top w:w="0" w:type="dxa"/>
              <w:left w:w="0" w:type="dxa"/>
              <w:bottom w:w="0" w:type="dxa"/>
              <w:right w:w="0" w:type="dxa"/>
            </w:tcMar>
            <w:vAlign w:val="center"/>
          </w:tcPr>
          <w:p>
            <w:pPr>
              <w:pStyle w:val="TableContents"/>
              <w:bidi w:val="0"/>
              <w:spacing w:before="0" w:after="283"/>
              <w:jc w:val="left"/>
              <w:rPr/>
            </w:pPr>
            <w:hyperlink w:anchor="ssnc-ex99_2.htm">
              <w:r>
                <w:rPr>
                  <w:rStyle w:val="InternetLink"/>
                  <w:rFonts w:ascii="Times New Roman" w:hAnsi="Times New Roman"/>
                  <w:color w:val="0000FF"/>
                  <w:sz w:val="20"/>
                  <w:u w:val="single"/>
                </w:rPr>
                <w:t>Q2 2026 Earnings Presentation dated July 23, 2026.</w:t>
              </w:r>
            </w:hyperlink>
          </w:p>
        </w:tc>
      </w:tr>
      <w:tr>
        <w:trPr/>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66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cover page from this Current Report on Form 8-K, formatted in Inline XBRL</w:t>
            </w:r>
          </w:p>
        </w:tc>
      </w:tr>
    </w:tbl>
    <w:p>
      <w:pPr>
        <w:pStyle w:val="TextBody"/>
        <w:bidi w:val="0"/>
        <w:spacing w:before="0" w:after="20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2"/>
        </w:rPr>
      </w:pPr>
      <w:r>
        <w:rPr>
          <w:rFonts w:ascii="Times New Roman" w:hAnsi="Times New Roman"/>
          <w:b/>
          <w:color w:val="000000"/>
          <w:sz w:val="22"/>
        </w:rPr>
        <w:t>SIGNATURE</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Pursuant to the requirements of the Securities Exchange Act of 1934, the Registrant has duly caused this report to be signed on its behalf by the undersigned hereunto duly authorized.</w:t>
      </w:r>
    </w:p>
    <w:p>
      <w:pPr>
        <w:pStyle w:val="TextBody"/>
        <w:bidi w:val="0"/>
        <w:jc w:val="center"/>
        <w:rPr/>
      </w:pPr>
      <w:r>
        <w:rPr/>
        <w:t> </w:t>
      </w:r>
    </w:p>
    <w:tbl>
      <w:tblPr>
        <w:tblW w:w="6667" w:type="dxa"/>
        <w:jc w:val="left"/>
        <w:tblInd w:w="0" w:type="dxa"/>
        <w:tblLayout w:type="fixed"/>
        <w:tblCellMar>
          <w:top w:w="28" w:type="dxa"/>
          <w:left w:w="28" w:type="dxa"/>
          <w:bottom w:w="28" w:type="dxa"/>
          <w:right w:w="28" w:type="dxa"/>
        </w:tblCellMar>
      </w:tblPr>
      <w:tblGrid>
        <w:gridCol w:w="1711"/>
        <w:gridCol w:w="109"/>
        <w:gridCol w:w="406"/>
        <w:gridCol w:w="4441"/>
      </w:tblGrid>
      <w:tr>
        <w:trPr/>
        <w:tc>
          <w:tcPr>
            <w:tcW w:w="1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441" w:type="dxa"/>
            <w:tcBorders/>
            <w:vAlign w:val="center"/>
          </w:tcPr>
          <w:p>
            <w:pPr>
              <w:pStyle w:val="TableContents"/>
              <w:bidi w:val="0"/>
              <w:spacing w:before="0" w:after="283"/>
              <w:jc w:val="left"/>
              <w:rPr>
                <w:sz w:val="4"/>
                <w:szCs w:val="4"/>
              </w:rPr>
            </w:pPr>
            <w:r>
              <w:rPr>
                <w:sz w:val="4"/>
                <w:szCs w:val="4"/>
              </w:rPr>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SS&amp;C TECHNOLOGIES HOLDINGS, INC.</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July 23,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44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Brian N. Schell</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Brian N. Schell</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and Chief Financial Officer</w:t>
            </w:r>
          </w:p>
        </w:tc>
      </w:tr>
    </w:tbl>
    <w:p>
      <w:pPr>
        <w:pStyle w:val="TextBody"/>
        <w:bidi w:val="0"/>
        <w:spacing w:before="0" w:after="20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bookmarkStart w:id="2" w:name="ssnc-ex99_1.htm"/>
      <w:bookmarkStart w:id="3" w:name="ksssncex99_1"/>
      <w:bookmarkEnd w:id="2"/>
      <w:bookmarkEnd w:id="3"/>
      <w:r>
        <w:rPr/>
        <w:t> </w:t>
      </w:r>
      <w:r>
        <w:br w:type="page"/>
      </w:r>
    </w:p>
    <w:p>
      <w:pPr>
        <w:pStyle w:val="TextBody"/>
        <w:bidi w:val="0"/>
        <w:jc w:val="center"/>
        <w:rPr/>
      </w:pPr>
      <w:r>
        <w:rPr/>
        <w:drawing>
          <wp:inline distT="0" distB="0" distL="0" distR="0">
            <wp:extent cx="6858000" cy="5143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858000" cy="514350"/>
                    </a:xfrm>
                    <a:prstGeom prst="rect">
                      <a:avLst/>
                    </a:prstGeom>
                  </pic:spPr>
                </pic:pic>
              </a:graphicData>
            </a:graphic>
          </wp:inline>
        </w:drawing>
      </w:r>
    </w:p>
    <w:p>
      <w:pPr>
        <w:pStyle w:val="TextBody"/>
        <w:bidi w:val="0"/>
        <w:jc w:val="right"/>
        <w:rPr>
          <w:rFonts w:ascii="Arial" w:hAnsi="Arial"/>
          <w:b/>
          <w:color w:val="000000"/>
          <w:sz w:val="20"/>
        </w:rPr>
      </w:pPr>
      <w:r>
        <w:rPr>
          <w:rFonts w:ascii="Arial" w:hAnsi="Arial"/>
          <w:b/>
          <w:color w:val="000000"/>
          <w:sz w:val="20"/>
        </w:rPr>
        <w:t>Exhibit 99.1</w:t>
      </w:r>
    </w:p>
    <w:p>
      <w:pPr>
        <w:pStyle w:val="TextBody"/>
        <w:bidi w:val="0"/>
        <w:jc w:val="center"/>
        <w:rPr/>
      </w:pPr>
      <w:r>
        <w:rPr/>
        <w:t> </w:t>
      </w:r>
    </w:p>
    <w:p>
      <w:pPr>
        <w:pStyle w:val="TextBody"/>
        <w:bidi w:val="0"/>
        <w:jc w:val="center"/>
        <w:rPr>
          <w:rFonts w:ascii="Arial" w:hAnsi="Arial"/>
          <w:color w:val="0081C6"/>
          <w:sz w:val="37"/>
        </w:rPr>
      </w:pPr>
      <w:r>
        <w:rPr>
          <w:rFonts w:ascii="Arial" w:hAnsi="Arial"/>
          <w:color w:val="0081C6"/>
          <w:sz w:val="37"/>
        </w:rPr>
        <w:t>SS&amp;C Technologies Releases Record Q2 2026 Financial Results</w:t>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Q2 2026 GAAP revenue $1,695.7 million, up 10.3%, Fully Diluted GAAP Earnings Per Share $0.97, up 34.7%</w:t>
      </w:r>
    </w:p>
    <w:p>
      <w:pPr>
        <w:pStyle w:val="TextBody"/>
        <w:bidi w:val="0"/>
        <w:jc w:val="center"/>
        <w:rPr>
          <w:rFonts w:ascii="Times New Roman" w:hAnsi="Times New Roman"/>
          <w:sz w:val="20"/>
        </w:rPr>
      </w:pPr>
      <w:r>
        <w:rPr>
          <w:rFonts w:ascii="Arial" w:hAnsi="Arial"/>
          <w:b/>
          <w:color w:val="000000"/>
          <w:sz w:val="20"/>
        </w:rPr>
        <w:t>Adjusted revenue $1,696.9 million, up 10.3%, Adjusted Diluted Earnings Per Share $1.76, up 18.1%</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0"/>
        </w:rPr>
        <w:t>WINDSOR, CT, July 23, 2026 (BUSINESS WIRE)</w:t>
      </w:r>
      <w:r>
        <w:rPr>
          <w:rFonts w:ascii="Times New Roman" w:hAnsi="Times New Roman"/>
          <w:color w:val="000000"/>
          <w:sz w:val="20"/>
        </w:rPr>
        <w:t xml:space="preserve"> </w:t>
      </w:r>
      <w:r>
        <w:rPr>
          <w:rFonts w:ascii="Arial" w:hAnsi="Arial"/>
          <w:b/>
          <w:color w:val="000000"/>
          <w:sz w:val="20"/>
        </w:rPr>
        <w:t>--</w:t>
      </w:r>
      <w:r>
        <w:rPr>
          <w:rFonts w:ascii="Times New Roman" w:hAnsi="Times New Roman"/>
          <w:color w:val="000000"/>
          <w:sz w:val="20"/>
        </w:rPr>
        <w:t xml:space="preserve"> </w:t>
      </w:r>
      <w:r>
        <w:rPr>
          <w:rFonts w:ascii="Arial" w:hAnsi="Arial"/>
          <w:color w:val="000000"/>
          <w:sz w:val="20"/>
        </w:rPr>
        <w:t>SS&amp;C Technologies Holdings, Inc. (NASDAQ: SSNC), a global provider of investment, financial and healthcare technology and technology-enabled services, today announced its financial results for the second quarter ended June 30, 2026.</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226"/>
        <w:gridCol w:w="1377"/>
        <w:gridCol w:w="1377"/>
        <w:gridCol w:w="811"/>
        <w:gridCol w:w="1277"/>
        <w:gridCol w:w="1277"/>
        <w:gridCol w:w="860"/>
      </w:tblGrid>
      <w:tr>
        <w:trPr/>
        <w:tc>
          <w:tcPr>
            <w:tcW w:w="3226"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322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754" w:type="dxa"/>
            <w:gridSpan w:val="2"/>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 Ended June 30,</w:t>
            </w:r>
          </w:p>
        </w:tc>
        <w:tc>
          <w:tcPr>
            <w:tcW w:w="8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554" w:type="dxa"/>
            <w:gridSpan w:val="2"/>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Six Months Ended June 30,</w:t>
            </w:r>
          </w:p>
        </w:tc>
        <w:tc>
          <w:tcPr>
            <w:tcW w:w="86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322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(in millions, except per share data):</w:t>
            </w:r>
          </w:p>
        </w:tc>
        <w:tc>
          <w:tcPr>
            <w:tcW w:w="137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37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81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Change</w:t>
            </w:r>
          </w:p>
        </w:tc>
        <w:tc>
          <w:tcPr>
            <w:tcW w:w="127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27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860"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Change</w:t>
            </w:r>
          </w:p>
        </w:tc>
      </w:tr>
      <w:tr>
        <w:trPr/>
        <w:tc>
          <w:tcPr>
            <w:tcW w:w="3226" w:type="dxa"/>
            <w:tcBorders>
              <w:left w:val="single" w:sz="4" w:space="0" w:color="000000"/>
              <w:bottom w:val="single" w:sz="4" w:space="0" w:color="000000"/>
            </w:tcBorders>
            <w:shd w:fill="FFFFFF" w:val="clear"/>
            <w:tcMar>
              <w:top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GAAP Results</w:t>
            </w:r>
          </w:p>
        </w:tc>
        <w:tc>
          <w:tcPr>
            <w:tcW w:w="13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322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Revenue</w:t>
            </w:r>
          </w:p>
        </w:tc>
        <w:tc>
          <w:tcPr>
            <w:tcW w:w="137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$1,695.7</w:t>
            </w:r>
          </w:p>
        </w:tc>
        <w:tc>
          <w:tcPr>
            <w:tcW w:w="137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$1,536.8</w:t>
            </w:r>
          </w:p>
        </w:tc>
        <w:tc>
          <w:tcPr>
            <w:tcW w:w="81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10.3%</w:t>
            </w:r>
          </w:p>
        </w:tc>
        <w:tc>
          <w:tcPr>
            <w:tcW w:w="127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$3,342.8</w:t>
            </w:r>
          </w:p>
        </w:tc>
        <w:tc>
          <w:tcPr>
            <w:tcW w:w="127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$3,050.7</w:t>
            </w:r>
          </w:p>
        </w:tc>
        <w:tc>
          <w:tcPr>
            <w:tcW w:w="860"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w:t>
            </w:r>
          </w:p>
        </w:tc>
      </w:tr>
      <w:tr>
        <w:trPr/>
        <w:tc>
          <w:tcPr>
            <w:tcW w:w="322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income</w:t>
            </w:r>
          </w:p>
        </w:tc>
        <w:tc>
          <w:tcPr>
            <w:tcW w:w="137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417.1</w:t>
            </w:r>
          </w:p>
        </w:tc>
        <w:tc>
          <w:tcPr>
            <w:tcW w:w="137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344.5</w:t>
            </w:r>
          </w:p>
        </w:tc>
        <w:tc>
          <w:tcPr>
            <w:tcW w:w="81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21.1%</w:t>
            </w:r>
          </w:p>
        </w:tc>
        <w:tc>
          <w:tcPr>
            <w:tcW w:w="127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815.3</w:t>
            </w:r>
          </w:p>
        </w:tc>
        <w:tc>
          <w:tcPr>
            <w:tcW w:w="127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702.4</w:t>
            </w:r>
          </w:p>
        </w:tc>
        <w:tc>
          <w:tcPr>
            <w:tcW w:w="860"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16.1%</w:t>
            </w:r>
          </w:p>
        </w:tc>
      </w:tr>
      <w:tr>
        <w:trPr/>
        <w:tc>
          <w:tcPr>
            <w:tcW w:w="322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income margin</w:t>
            </w:r>
          </w:p>
        </w:tc>
        <w:tc>
          <w:tcPr>
            <w:tcW w:w="137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24.6%</w:t>
            </w:r>
          </w:p>
        </w:tc>
        <w:tc>
          <w:tcPr>
            <w:tcW w:w="137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22.4%</w:t>
            </w:r>
          </w:p>
        </w:tc>
        <w:tc>
          <w:tcPr>
            <w:tcW w:w="81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220 bps</w:t>
            </w:r>
          </w:p>
        </w:tc>
        <w:tc>
          <w:tcPr>
            <w:tcW w:w="127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24.4%</w:t>
            </w:r>
          </w:p>
        </w:tc>
        <w:tc>
          <w:tcPr>
            <w:tcW w:w="127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23.0%</w:t>
            </w:r>
          </w:p>
        </w:tc>
        <w:tc>
          <w:tcPr>
            <w:tcW w:w="860"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140 bps</w:t>
            </w:r>
          </w:p>
        </w:tc>
      </w:tr>
      <w:tr>
        <w:trPr/>
        <w:tc>
          <w:tcPr>
            <w:tcW w:w="322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income</w:t>
            </w:r>
          </w:p>
        </w:tc>
        <w:tc>
          <w:tcPr>
            <w:tcW w:w="137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234.8</w:t>
            </w:r>
          </w:p>
        </w:tc>
        <w:tc>
          <w:tcPr>
            <w:tcW w:w="137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180.8</w:t>
            </w:r>
          </w:p>
        </w:tc>
        <w:tc>
          <w:tcPr>
            <w:tcW w:w="81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29.9%</w:t>
            </w:r>
          </w:p>
        </w:tc>
        <w:tc>
          <w:tcPr>
            <w:tcW w:w="127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460.9</w:t>
            </w:r>
          </w:p>
        </w:tc>
        <w:tc>
          <w:tcPr>
            <w:tcW w:w="127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393.8</w:t>
            </w:r>
          </w:p>
        </w:tc>
        <w:tc>
          <w:tcPr>
            <w:tcW w:w="860"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17.0%</w:t>
            </w:r>
          </w:p>
        </w:tc>
      </w:tr>
      <w:tr>
        <w:trPr/>
        <w:tc>
          <w:tcPr>
            <w:tcW w:w="322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Diluted earnings per share</w:t>
            </w:r>
          </w:p>
        </w:tc>
        <w:tc>
          <w:tcPr>
            <w:tcW w:w="137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$0.97</w:t>
            </w:r>
          </w:p>
        </w:tc>
        <w:tc>
          <w:tcPr>
            <w:tcW w:w="137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$0.72</w:t>
            </w:r>
          </w:p>
        </w:tc>
        <w:tc>
          <w:tcPr>
            <w:tcW w:w="81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34.7%</w:t>
            </w:r>
          </w:p>
        </w:tc>
        <w:tc>
          <w:tcPr>
            <w:tcW w:w="127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$1.88</w:t>
            </w:r>
          </w:p>
        </w:tc>
        <w:tc>
          <w:tcPr>
            <w:tcW w:w="127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$1.55</w:t>
            </w:r>
          </w:p>
        </w:tc>
        <w:tc>
          <w:tcPr>
            <w:tcW w:w="860"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21.3%</w:t>
            </w:r>
          </w:p>
        </w:tc>
      </w:tr>
      <w:tr>
        <w:trPr/>
        <w:tc>
          <w:tcPr>
            <w:tcW w:w="6791" w:type="dxa"/>
            <w:gridSpan w:val="4"/>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Adjusted Non-GAAP Results (defined in Notes 1 - 4 below)</w:t>
            </w:r>
          </w:p>
        </w:tc>
        <w:tc>
          <w:tcPr>
            <w:tcW w:w="127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27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860"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322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Adjusted revenue</w:t>
            </w:r>
          </w:p>
        </w:tc>
        <w:tc>
          <w:tcPr>
            <w:tcW w:w="137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$1,696.9</w:t>
            </w:r>
          </w:p>
        </w:tc>
        <w:tc>
          <w:tcPr>
            <w:tcW w:w="137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$1,537.8</w:t>
            </w:r>
          </w:p>
        </w:tc>
        <w:tc>
          <w:tcPr>
            <w:tcW w:w="81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10.3%</w:t>
            </w:r>
          </w:p>
        </w:tc>
        <w:tc>
          <w:tcPr>
            <w:tcW w:w="127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$3,345.1</w:t>
            </w:r>
          </w:p>
        </w:tc>
        <w:tc>
          <w:tcPr>
            <w:tcW w:w="127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$3,052.6</w:t>
            </w:r>
          </w:p>
        </w:tc>
        <w:tc>
          <w:tcPr>
            <w:tcW w:w="860"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w:t>
            </w:r>
          </w:p>
        </w:tc>
      </w:tr>
      <w:tr>
        <w:trPr/>
        <w:tc>
          <w:tcPr>
            <w:tcW w:w="322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Adjusted operating income</w:t>
            </w:r>
          </w:p>
        </w:tc>
        <w:tc>
          <w:tcPr>
            <w:tcW w:w="137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653.8</w:t>
            </w:r>
          </w:p>
        </w:tc>
        <w:tc>
          <w:tcPr>
            <w:tcW w:w="137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583.5</w:t>
            </w:r>
          </w:p>
        </w:tc>
        <w:tc>
          <w:tcPr>
            <w:tcW w:w="81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12.0%</w:t>
            </w:r>
          </w:p>
        </w:tc>
        <w:tc>
          <w:tcPr>
            <w:tcW w:w="127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1,287.4</w:t>
            </w:r>
          </w:p>
        </w:tc>
        <w:tc>
          <w:tcPr>
            <w:tcW w:w="127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1,158.8</w:t>
            </w:r>
          </w:p>
        </w:tc>
        <w:tc>
          <w:tcPr>
            <w:tcW w:w="860"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11.1%</w:t>
            </w:r>
          </w:p>
        </w:tc>
      </w:tr>
      <w:tr>
        <w:trPr/>
        <w:tc>
          <w:tcPr>
            <w:tcW w:w="322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Adjusted operating income margin</w:t>
            </w:r>
          </w:p>
        </w:tc>
        <w:tc>
          <w:tcPr>
            <w:tcW w:w="137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38.5%</w:t>
            </w:r>
          </w:p>
        </w:tc>
        <w:tc>
          <w:tcPr>
            <w:tcW w:w="137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37.9%</w:t>
            </w:r>
          </w:p>
        </w:tc>
        <w:tc>
          <w:tcPr>
            <w:tcW w:w="81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 bps</w:t>
            </w:r>
          </w:p>
        </w:tc>
        <w:tc>
          <w:tcPr>
            <w:tcW w:w="127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38.5%</w:t>
            </w:r>
          </w:p>
        </w:tc>
        <w:tc>
          <w:tcPr>
            <w:tcW w:w="127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38.0%</w:t>
            </w:r>
          </w:p>
        </w:tc>
        <w:tc>
          <w:tcPr>
            <w:tcW w:w="860"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 bps</w:t>
            </w:r>
          </w:p>
        </w:tc>
      </w:tr>
      <w:tr>
        <w:trPr/>
        <w:tc>
          <w:tcPr>
            <w:tcW w:w="322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Adjusted consolidated EBITDA</w:t>
            </w:r>
          </w:p>
        </w:tc>
        <w:tc>
          <w:tcPr>
            <w:tcW w:w="137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670.7</w:t>
            </w:r>
          </w:p>
        </w:tc>
        <w:tc>
          <w:tcPr>
            <w:tcW w:w="137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600.4</w:t>
            </w:r>
          </w:p>
        </w:tc>
        <w:tc>
          <w:tcPr>
            <w:tcW w:w="81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11.7%</w:t>
            </w:r>
          </w:p>
        </w:tc>
        <w:tc>
          <w:tcPr>
            <w:tcW w:w="127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1,321.7</w:t>
            </w:r>
          </w:p>
        </w:tc>
        <w:tc>
          <w:tcPr>
            <w:tcW w:w="127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1,192.3</w:t>
            </w:r>
          </w:p>
        </w:tc>
        <w:tc>
          <w:tcPr>
            <w:tcW w:w="860"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10.9%</w:t>
            </w:r>
          </w:p>
        </w:tc>
      </w:tr>
      <w:tr>
        <w:trPr/>
        <w:tc>
          <w:tcPr>
            <w:tcW w:w="322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Adjusted consolidated EBITDA margin</w:t>
            </w:r>
          </w:p>
        </w:tc>
        <w:tc>
          <w:tcPr>
            <w:tcW w:w="137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39.5%</w:t>
            </w:r>
          </w:p>
        </w:tc>
        <w:tc>
          <w:tcPr>
            <w:tcW w:w="137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39.0%</w:t>
            </w:r>
          </w:p>
        </w:tc>
        <w:tc>
          <w:tcPr>
            <w:tcW w:w="81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 bps</w:t>
            </w:r>
          </w:p>
        </w:tc>
        <w:tc>
          <w:tcPr>
            <w:tcW w:w="127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39.5%</w:t>
            </w:r>
          </w:p>
        </w:tc>
        <w:tc>
          <w:tcPr>
            <w:tcW w:w="127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39.1%</w:t>
            </w:r>
          </w:p>
        </w:tc>
        <w:tc>
          <w:tcPr>
            <w:tcW w:w="860"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 bps</w:t>
            </w:r>
          </w:p>
        </w:tc>
      </w:tr>
      <w:tr>
        <w:trPr/>
        <w:tc>
          <w:tcPr>
            <w:tcW w:w="322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Adjusted diluted earnings per share</w:t>
            </w:r>
            <w:r>
              <w:rPr>
                <w:rFonts w:ascii="Arial" w:hAnsi="Arial"/>
                <w:color w:val="000000"/>
                <w:sz w:val="13"/>
              </w:rPr>
              <w:t>(1)</w:t>
            </w:r>
          </w:p>
        </w:tc>
        <w:tc>
          <w:tcPr>
            <w:tcW w:w="137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$1.76</w:t>
            </w:r>
          </w:p>
        </w:tc>
        <w:tc>
          <w:tcPr>
            <w:tcW w:w="137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$1.49</w:t>
            </w:r>
          </w:p>
        </w:tc>
        <w:tc>
          <w:tcPr>
            <w:tcW w:w="81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18.1%</w:t>
            </w:r>
          </w:p>
        </w:tc>
        <w:tc>
          <w:tcPr>
            <w:tcW w:w="127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$3.45</w:t>
            </w:r>
          </w:p>
        </w:tc>
        <w:tc>
          <w:tcPr>
            <w:tcW w:w="127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$2.97</w:t>
            </w:r>
          </w:p>
        </w:tc>
        <w:tc>
          <w:tcPr>
            <w:tcW w:w="860"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16.2%</w:t>
            </w:r>
          </w:p>
        </w:tc>
      </w:tr>
    </w:tbl>
    <w:p>
      <w:pPr>
        <w:pStyle w:val="TextBody"/>
        <w:bidi w:val="0"/>
        <w:jc w:val="left"/>
        <w:rPr>
          <w:rFonts w:ascii="Arial" w:hAnsi="Arial"/>
          <w:color w:val="000000"/>
          <w:sz w:val="18"/>
        </w:rPr>
      </w:pPr>
      <w:r>
        <w:rPr>
          <w:rFonts w:ascii="Arial" w:hAnsi="Arial"/>
          <w:color w:val="000000"/>
          <w:sz w:val="18"/>
        </w:rPr>
        <w:t>(1) Reflects non-GAAP tax rates of 22.5% for the three and six months ended June 30, 2026 and 22.0% for the three and six months ended June 30, 2025. See Note 4 for more information.</w:t>
      </w:r>
    </w:p>
    <w:p>
      <w:pPr>
        <w:pStyle w:val="TextBody"/>
        <w:bidi w:val="0"/>
        <w:jc w:val="left"/>
        <w:rPr/>
      </w:pPr>
      <w:r>
        <w:rPr/>
        <w:t> </w:t>
      </w:r>
    </w:p>
    <w:p>
      <w:pPr>
        <w:pStyle w:val="TextBody"/>
        <w:bidi w:val="0"/>
        <w:jc w:val="left"/>
        <w:rPr>
          <w:rFonts w:ascii="Arial" w:hAnsi="Arial"/>
          <w:b/>
          <w:color w:val="000000"/>
          <w:sz w:val="19"/>
        </w:rPr>
      </w:pPr>
      <w:r>
        <w:rPr>
          <w:rFonts w:ascii="Arial" w:hAnsi="Arial"/>
          <w:b/>
          <w:color w:val="000000"/>
          <w:sz w:val="19"/>
        </w:rPr>
        <w:t>Second Quarter 2026 Highlights: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19"/>
        </w:rPr>
      </w:pPr>
      <w:r>
        <w:rPr>
          <w:rFonts w:ascii="Arial" w:hAnsi="Arial"/>
          <w:color w:val="000000"/>
          <w:sz w:val="19"/>
        </w:rPr>
        <w:t>Q2 2026 GAAP Revenue growth and Adjusted Revenue growth were 10.3 percent.</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19"/>
        </w:rPr>
      </w:pPr>
      <w:r>
        <w:rPr>
          <w:rFonts w:ascii="Arial" w:hAnsi="Arial"/>
          <w:color w:val="000000"/>
          <w:sz w:val="19"/>
        </w:rPr>
        <w:t xml:space="preserve">Q2 2026 Adjusted Organic Revenue Growth was 7.6 percent.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19"/>
        </w:rPr>
      </w:pPr>
      <w:r>
        <w:rPr>
          <w:rFonts w:ascii="Arial" w:hAnsi="Arial"/>
          <w:color w:val="000000"/>
          <w:sz w:val="19"/>
        </w:rPr>
        <w:t xml:space="preserve">Net cash generated from operating activities of $716.4 million for the six months ended June 30, 2026, up 11.1 percent compared to the same period in 2025.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19"/>
        </w:rPr>
      </w:pPr>
      <w:r>
        <w:rPr>
          <w:rFonts w:ascii="Arial" w:hAnsi="Arial"/>
          <w:color w:val="000000"/>
          <w:sz w:val="19"/>
        </w:rPr>
        <w:t xml:space="preserve">Returned $499.2 million to shareholders in Q2 2026, which included a record 6.4 million shares repurchased for $435.2 million and $64.0 million in common stock dividends.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19"/>
        </w:rPr>
      </w:pPr>
      <w:r>
        <w:rPr>
          <w:rFonts w:ascii="Arial" w:hAnsi="Arial"/>
          <w:color w:val="000000"/>
          <w:sz w:val="19"/>
        </w:rPr>
        <w:t>Record adjusted consolidated EBITDA of $670.7 million for Q2 2026, up 11.7 percent. Adjusted consolidated EBITDA margin for Q2 2026 was 39.5 percent.</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19"/>
        </w:rPr>
      </w:pPr>
      <w:r>
        <w:rPr>
          <w:rFonts w:ascii="Arial" w:hAnsi="Arial"/>
          <w:color w:val="000000"/>
          <w:sz w:val="19"/>
        </w:rPr>
        <w:t>GAAP operating income margin for Q2 2026 was 24.6 percent and GAAP net income of $234.8 million for Q2 2026, up 29.9 percent.</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19"/>
        </w:rPr>
      </w:pPr>
      <w:r>
        <w:rPr>
          <w:rFonts w:ascii="Arial" w:hAnsi="Arial"/>
          <w:color w:val="000000"/>
          <w:sz w:val="19"/>
        </w:rPr>
        <w:t xml:space="preserve">Adjusted diluted earnings per share was $1.76, up 18.1 percent.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19"/>
        </w:rPr>
      </w:pPr>
      <w:r>
        <w:rPr>
          <w:rFonts w:ascii="Arial" w:hAnsi="Arial"/>
          <w:color w:val="000000"/>
          <w:sz w:val="19"/>
        </w:rPr>
        <w:t xml:space="preserve">We look forward to hosting our clients at SS&amp;C Deliver in Orlando, FL September 20-22, 2026. </w:t>
      </w:r>
    </w:p>
    <w:p>
      <w:pPr>
        <w:pStyle w:val="TextBody"/>
        <w:bidi w:val="0"/>
        <w:jc w:val="left"/>
        <w:rPr/>
      </w:pPr>
      <w:r>
        <w:rPr/>
        <w:t> </w:t>
      </w:r>
    </w:p>
    <w:p>
      <w:pPr>
        <w:pStyle w:val="TextBody"/>
        <w:bidi w:val="0"/>
        <w:jc w:val="left"/>
        <w:rPr>
          <w:color w:val="000000"/>
        </w:rPr>
      </w:pPr>
      <w:r>
        <w:rPr>
          <w:color w:val="000000"/>
        </w:rPr>
        <w:t>“</w:t>
      </w:r>
      <w:r>
        <w:rPr>
          <w:rFonts w:ascii="Arial" w:hAnsi="Arial"/>
          <w:color w:val="000000"/>
          <w:sz w:val="20"/>
        </w:rPr>
        <w:t>SS&amp;C delivered another record quarter, organic growth of 7.6 percent, adjusted revenues of $1,697 million and adjusted consolidated EBITDA of $671 million. These numbers were driven by consistent execution,” says Bill Stone, Chairman and Chief Executive Officer. “The structural advantages of SS&amp;C's business model are reflected in the metrics that matter most: strong sales, robust renewal performance, healthy retention, and steady margin expansion. Our clients continue to invest in the relationship because our expertise, technology, and innovation are essential to their operations. Year to date, we returned 100 percent of allocated capital to shareholders through share repurchases and dividends, reflecting our confidence in the long-term value of our business.”</w:t>
      </w:r>
    </w:p>
    <w:p>
      <w:pPr>
        <w:pStyle w:val="TextBody"/>
        <w:bidi w:val="0"/>
        <w:spacing w:before="0" w:after="60"/>
        <w:jc w:val="center"/>
        <w:rPr/>
      </w:pPr>
      <w:r>
        <w:rPr/>
        <w:drawing>
          <wp:inline distT="0" distB="0" distL="0" distR="0">
            <wp:extent cx="6753225" cy="7334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753225" cy="733425"/>
                    </a:xfrm>
                    <a:prstGeom prst="rect">
                      <a:avLst/>
                    </a:prstGeom>
                  </pic:spPr>
                </pic:pic>
              </a:graphicData>
            </a:graphic>
          </wp:inline>
        </w:drawing>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drawing>
          <wp:inline distT="0" distB="0" distL="0" distR="0">
            <wp:extent cx="6858000" cy="5143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858000" cy="514350"/>
                    </a:xfrm>
                    <a:prstGeom prst="rect">
                      <a:avLst/>
                    </a:prstGeom>
                  </pic:spPr>
                </pic:pic>
              </a:graphicData>
            </a:graphic>
          </wp:inline>
        </w:drawing>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Operating Cash Flow</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SS&amp;C generated net cash from operating activities of $716.4 million for the six months ended June 30, 2026, compared to $645.1 million for the same period in 2025, a 11.1% increase. SS&amp;C ended the second quarter with $434.8 million in cash and cash equivalents and $7,613.5 million in gross debt. SS&amp;C’s consolidated net leverage ratio as defined in our credit agreement stood at 2.75 times consolidated EBITDA as of June 30, 2026. SS&amp;C’s net secured leverage ratio stood at 1.70 times consolidated EBITDA as of June 30, 2026.</w:t>
      </w:r>
    </w:p>
    <w:p>
      <w:pPr>
        <w:pStyle w:val="TextBody"/>
        <w:bidi w:val="0"/>
        <w:jc w:val="left"/>
        <w:rPr/>
      </w:pPr>
      <w:r>
        <w:rPr/>
        <w:t> </w:t>
      </w:r>
    </w:p>
    <w:p>
      <w:pPr>
        <w:pStyle w:val="TextBody"/>
        <w:bidi w:val="0"/>
        <w:jc w:val="left"/>
        <w:rPr/>
      </w:pPr>
      <w:r>
        <w:rPr/>
        <w:t> </w:t>
      </w:r>
    </w:p>
    <w:p>
      <w:pPr>
        <w:pStyle w:val="TextBody"/>
        <w:bidi w:val="0"/>
        <w:spacing w:before="0" w:after="120"/>
        <w:jc w:val="left"/>
        <w:rPr>
          <w:rFonts w:ascii="Arial" w:hAnsi="Arial"/>
          <w:b/>
          <w:color w:val="000000"/>
          <w:sz w:val="20"/>
        </w:rPr>
      </w:pPr>
      <w:r>
        <w:rPr>
          <w:rFonts w:ascii="Arial" w:hAnsi="Arial"/>
          <w:b/>
          <w:color w:val="000000"/>
          <w:sz w:val="20"/>
        </w:rPr>
        <w:t>Guidance</w:t>
      </w:r>
    </w:p>
    <w:tbl>
      <w:tblPr>
        <w:tblW w:w="6610" w:type="dxa"/>
        <w:jc w:val="left"/>
        <w:tblInd w:w="0" w:type="dxa"/>
        <w:tblLayout w:type="fixed"/>
        <w:tblCellMar>
          <w:top w:w="28" w:type="dxa"/>
          <w:left w:w="28" w:type="dxa"/>
          <w:bottom w:w="28" w:type="dxa"/>
          <w:right w:w="28" w:type="dxa"/>
        </w:tblCellMar>
      </w:tblPr>
      <w:tblGrid>
        <w:gridCol w:w="3271"/>
        <w:gridCol w:w="146"/>
        <w:gridCol w:w="1501"/>
        <w:gridCol w:w="146"/>
        <w:gridCol w:w="1546"/>
      </w:tblGrid>
      <w:tr>
        <w:trPr/>
        <w:tc>
          <w:tcPr>
            <w:tcW w:w="3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i/>
                <w:color w:val="000000"/>
                <w:sz w:val="20"/>
              </w:rPr>
            </w:pPr>
            <w:r>
              <w:rPr>
                <w:rFonts w:ascii="Arial" w:hAnsi="Arial"/>
                <w:i/>
                <w:color w:val="000000"/>
                <w:sz w:val="20"/>
              </w:rPr>
              <w:t>Q3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i/>
                <w:color w:val="000000"/>
                <w:sz w:val="20"/>
              </w:rPr>
            </w:pPr>
            <w:r>
              <w:rPr>
                <w:rFonts w:ascii="Arial" w:hAnsi="Arial"/>
                <w:i/>
                <w:color w:val="000000"/>
                <w:sz w:val="20"/>
              </w:rPr>
              <w:t>FY 2026</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Adjusted Revenue ($M)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$1,657 – $1,697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$6,672 – $6,832</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Adjusted Net Income ($M)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$413 – $429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$1,670 – $1,770</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Interest Expense</w:t>
            </w:r>
            <w:r>
              <w:rPr>
                <w:rFonts w:ascii="Arial" w:hAnsi="Arial"/>
                <w:color w:val="000000"/>
                <w:sz w:val="13"/>
              </w:rPr>
              <w:t>1</w:t>
            </w:r>
            <w:r>
              <w:rPr>
                <w:rFonts w:ascii="Times New Roman" w:hAnsi="Times New Roman"/>
                <w:color w:val="000000"/>
                <w:sz w:val="20"/>
              </w:rPr>
              <w:t> </w:t>
            </w:r>
            <w:r>
              <w:rPr>
                <w:rFonts w:ascii="Arial" w:hAnsi="Arial"/>
                <w:color w:val="000000"/>
                <w:sz w:val="20"/>
              </w:rPr>
              <w:t>($M)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$103 – $105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$406 – $416</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Adjusted Diluted 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$1.73 – $1.79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$6.93 – $7.25</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from Operating Activities ($M)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$1,717 – $1,817</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Capital Expenditures (%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4.4% – 4.8%</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Diluted Shares (M)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237.6 – 240.6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241.0 – 244.0</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Effective Income Tax Rate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21.5% – 23.5%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21.5% – 23.5%</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0"/>
        </w:rPr>
        <w:t>1</w:t>
      </w:r>
      <w:r>
        <w:rPr>
          <w:rFonts w:ascii="Arial" w:hAnsi="Arial"/>
          <w:color w:val="000000"/>
          <w:sz w:val="15"/>
        </w:rPr>
        <w:t>Interest expense is net of deferred financing cost amortization and original issue discount</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SS&amp;C does not provide reconciliations of guidance for Adjusted Revenues and Adjusted Net Income to comparable GAAP measures, in reliance on the unreasonable efforts exception provided under Item 10(e)(1)(i)(B) of Regulation S-K. SS&amp;C is unable, without unreasonable efforts, to forecast certain items required to develop meaningful comparable GAAP financial measures. These items include acquisition transactions and integration, foreign exchange rate changes, as well as other non-cash and other adjustments as defined under the Company’s Credit agreement, that are difficult to predict in advance in order to include in a GAAP estimate. The unavailable information could have a significant impact on Q3 2026 and FY 2026 GAAP financial results.</w:t>
      </w:r>
    </w:p>
    <w:p>
      <w:pPr>
        <w:pStyle w:val="TextBody"/>
        <w:bidi w:val="0"/>
        <w:jc w:val="left"/>
        <w:rPr/>
      </w:pPr>
      <w:r>
        <w:rPr/>
        <w:t> </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Non-GAAP Financial Measures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Adjusted revenue, adjusted operating income, adjusted consolidated EBITDA, adjusted net income and adjusted diluted earnings per share are non-GAAP measures. See the accompanying notes for the reconciliations and definitions for each of these non-GAAP measures and the reasons our management believes these measures provide useful information to investors regarding our financial condition and results of operations. All references above to net income, diluted earnings per share, adjusted operating income, adjusted consolidated EBITDA, and adjusted diluted earnings per share are attributable to SS&amp;C.</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6800850" cy="7429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800850" cy="742950"/>
                    </a:xfrm>
                    <a:prstGeom prst="rect">
                      <a:avLst/>
                    </a:prstGeom>
                  </pic:spPr>
                </pic:pic>
              </a:graphicData>
            </a:graphic>
          </wp:inline>
        </w:drawing>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drawing>
          <wp:inline distT="0" distB="0" distL="0" distR="0">
            <wp:extent cx="6858000" cy="5143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858000" cy="514350"/>
                    </a:xfrm>
                    <a:prstGeom prst="rect">
                      <a:avLst/>
                    </a:prstGeom>
                  </pic:spPr>
                </pic:pic>
              </a:graphicData>
            </a:graphic>
          </wp:inline>
        </w:drawing>
      </w:r>
    </w:p>
    <w:p>
      <w:pPr>
        <w:pStyle w:val="TextBody"/>
        <w:bidi w:val="0"/>
        <w:spacing w:before="200" w:after="283"/>
        <w:jc w:val="left"/>
        <w:rPr>
          <w:rFonts w:ascii="Arial" w:hAnsi="Arial"/>
          <w:b/>
          <w:color w:val="000000"/>
          <w:sz w:val="20"/>
        </w:rPr>
      </w:pPr>
      <w:r>
        <w:rPr>
          <w:rFonts w:ascii="Arial" w:hAnsi="Arial"/>
          <w:b/>
          <w:color w:val="000000"/>
          <w:sz w:val="20"/>
        </w:rPr>
        <w:t>Earnings Call and Press Release</w:t>
      </w:r>
    </w:p>
    <w:p>
      <w:pPr>
        <w:pStyle w:val="TextBody"/>
        <w:bidi w:val="0"/>
        <w:spacing w:before="200" w:after="283"/>
        <w:jc w:val="left"/>
        <w:rPr>
          <w:rFonts w:ascii="Times New Roman" w:hAnsi="Times New Roman"/>
          <w:sz w:val="20"/>
        </w:rPr>
      </w:pPr>
      <w:r>
        <w:rPr>
          <w:rFonts w:ascii="Arial" w:hAnsi="Arial"/>
          <w:color w:val="000000"/>
          <w:sz w:val="20"/>
        </w:rPr>
        <w:t xml:space="preserve">SS&amp;C’s second quarter 2026 earnings call will take place at 5:00 p.m. eastern time today, July 23, 2026. The call will discuss second quarter 2026 results. Interested parties may visit </w:t>
      </w:r>
      <w:r>
        <w:rPr>
          <w:rFonts w:ascii="Arial" w:hAnsi="Arial"/>
          <w:sz w:val="20"/>
        </w:rPr>
        <w:t>investor.ssctech.com</w:t>
      </w:r>
      <w:r>
        <w:rPr>
          <w:rFonts w:ascii="Times New Roman" w:hAnsi="Times New Roman"/>
          <w:color w:val="000000"/>
          <w:sz w:val="20"/>
        </w:rPr>
        <w:t xml:space="preserve"> </w:t>
      </w:r>
      <w:r>
        <w:rPr>
          <w:rFonts w:ascii="Arial" w:hAnsi="Arial"/>
          <w:color w:val="000000"/>
          <w:sz w:val="20"/>
        </w:rPr>
        <w:t xml:space="preserve">to access the live webcast and view accompanying slides. The call will be available for replay via the webcast on SS&amp;C’s website; access: </w:t>
      </w:r>
      <w:r>
        <w:rPr>
          <w:rFonts w:ascii="Arial" w:hAnsi="Arial"/>
          <w:sz w:val="20"/>
        </w:rPr>
        <w:t>https://investor.ssctech.com/financials/quarterly-results/default.aspx</w:t>
      </w:r>
    </w:p>
    <w:p>
      <w:pPr>
        <w:pStyle w:val="TextBody"/>
        <w:bidi w:val="0"/>
        <w:spacing w:before="200" w:after="160"/>
        <w:jc w:val="left"/>
        <w:rPr>
          <w:rFonts w:ascii="Arial" w:hAnsi="Arial"/>
          <w:i/>
          <w:color w:val="000000"/>
          <w:sz w:val="18"/>
        </w:rPr>
      </w:pPr>
      <w:r>
        <w:rPr>
          <w:rFonts w:ascii="Arial" w:hAnsi="Arial"/>
          <w:i/>
          <w:color w:val="000000"/>
          <w:sz w:val="18"/>
        </w:rPr>
        <w:t>Certain information contained in this press release, including information relating to, among other things, the Company’s financial guidance for the third quarter and full year of 2026 constitute forward-looking statements for purposes of the safe harbor provisions under the Private Securities Litigation Reform Act of 1995. Forward-looking statements include statements concerning plans, objectives, goals, strategies, expectations, intentions, projections, developments, future events, performance, underlying assumptions, and other statements that are other than statements of historical facts. Without limiting the foregoing, the words “believes”, “anticipates”, “plans”, “expects”, “estimates”, “projects”, “forecasts”, “may”, “assume”, “intend”, “will”, “continue”, “opportunity”, “predict”, “potential”, “future”, “guarantee”, “likely”, “target”, “indicate”, “would”, “could” and “should” and similar expressions are intended to identify forward-looking statements, although not all forward-looking statements are accompanied by such words. Such statements reflect management’s best judgment based on factors currently known but are subject to risks and uncertainties, which could cause actual results to differ materially from those anticipated. Such risks and uncertainties include, but are not limited to, the state of the economy and the financial services industry and other industries in which the Company’s clients operate, the Company’s ability to realize anticipated benefits from its acquisitions, the effect of customer consolidation on demand for the Company’s products and services, the variability of revenue as a result of activity in the securities markets, the focus of the Company’s business on the asset management industry, the ability to retain and attract clients, the intensity of competition with respect to the Company’s products and services, risks from cyber-attacks, breaches of digital security, IT system failures and network disruptions, risks associated with third party providers, fluctuations in the Company’s operating results, terrorist activities and other catastrophic events, risks associated with the Company’s foreign operations, privacy concerns relating to the collection and storage of personal information, evolving regulations and increased scrutiny from regulators, the Company’s ability to protect intellectual property assets and litigation regarding intellectual property rights, delays in product development, investment decisions concerning cash balances, tax risks, risks associated with the Company’s joint ventures, changes in accounting standards, evolving regulation and scrutiny from regulators, the Company’s exposure to litigation and other claims, risks related to the Company’s substantial indebtedness, and the market price of the Company’s stock prevailing from time to time, and the risks discussed in the “Risk Factors” section of the Company’s most recent Annual Report on Form 10-K and Quarterly Report on Form 10-Q, which are on file with the Securities and Exchange Commission and can also be accessed on our website. Such “Risk Factors”, among others, could cause actual results to differ materially from those indicated by forward-looking statements made herein and presented elsewhere by management from time to time. Undue reliance should not be placed on any such forward-looking statements. Forward-looking statements speak only as of the date on which they are made and, except to the extent required by applicable securities laws, we undertake no obligation to update or revise any forward-looking statements.</w:t>
      </w:r>
    </w:p>
    <w:p>
      <w:pPr>
        <w:pStyle w:val="TextBody"/>
        <w:bidi w:val="0"/>
        <w:jc w:val="left"/>
        <w:rPr/>
      </w:pPr>
      <w:r>
        <w:rPr/>
        <w:t> </w:t>
      </w:r>
    </w:p>
    <w:p>
      <w:pPr>
        <w:pStyle w:val="TextBody"/>
        <w:bidi w:val="0"/>
        <w:spacing w:before="200" w:after="283"/>
        <w:jc w:val="left"/>
        <w:rPr/>
      </w:pPr>
      <w:r>
        <w:rPr/>
        <w:t> </w:t>
      </w:r>
    </w:p>
    <w:p>
      <w:pPr>
        <w:pStyle w:val="TextBody"/>
        <w:bidi w:val="0"/>
        <w:spacing w:before="200" w:after="283"/>
        <w:jc w:val="left"/>
        <w:rPr/>
      </w:pPr>
      <w:r>
        <w:rPr/>
        <w:t> </w:t>
      </w:r>
    </w:p>
    <w:p>
      <w:pPr>
        <w:pStyle w:val="TextBody"/>
        <w:bidi w:val="0"/>
        <w:spacing w:before="200" w:after="283"/>
        <w:jc w:val="left"/>
        <w:rPr/>
      </w:pPr>
      <w:r>
        <w:rPr/>
        <w:t> </w:t>
      </w:r>
    </w:p>
    <w:p>
      <w:pPr>
        <w:pStyle w:val="TextBody"/>
        <w:bidi w:val="0"/>
        <w:spacing w:before="200" w:after="283"/>
        <w:jc w:val="left"/>
        <w:rPr/>
      </w:pPr>
      <w:r>
        <w:rPr/>
        <w:t> </w:t>
      </w:r>
    </w:p>
    <w:p>
      <w:pPr>
        <w:pStyle w:val="TextBody"/>
        <w:bidi w:val="0"/>
        <w:spacing w:before="200" w:after="283"/>
        <w:jc w:val="left"/>
        <w:rPr/>
      </w:pPr>
      <w:r>
        <w:rPr/>
        <w:t> </w:t>
      </w:r>
    </w:p>
    <w:p>
      <w:pPr>
        <w:pStyle w:val="TextBody"/>
        <w:bidi w:val="0"/>
        <w:spacing w:before="200" w:after="283"/>
        <w:jc w:val="left"/>
        <w:rPr/>
      </w:pPr>
      <w:r>
        <w:rPr/>
        <w:t> </w:t>
      </w:r>
    </w:p>
    <w:p>
      <w:pPr>
        <w:pStyle w:val="TextBody"/>
        <w:bidi w:val="0"/>
        <w:spacing w:before="200" w:after="283"/>
        <w:jc w:val="left"/>
        <w:rPr/>
      </w:pPr>
      <w:r>
        <w:rPr/>
        <w:t> </w:t>
      </w:r>
    </w:p>
    <w:p>
      <w:pPr>
        <w:pStyle w:val="TextBody"/>
        <w:bidi w:val="0"/>
        <w:spacing w:before="200" w:after="283"/>
        <w:jc w:val="left"/>
        <w:rPr/>
      </w:pPr>
      <w:r>
        <w:rPr/>
        <w:t> </w:t>
      </w:r>
    </w:p>
    <w:p>
      <w:pPr>
        <w:pStyle w:val="TextBody"/>
        <w:bidi w:val="0"/>
        <w:spacing w:before="200" w:after="283"/>
        <w:jc w:val="left"/>
        <w:rPr/>
      </w:pPr>
      <w:r>
        <w:rPr/>
        <w:t> </w:t>
      </w:r>
    </w:p>
    <w:p>
      <w:pPr>
        <w:pStyle w:val="TextBody"/>
        <w:bidi w:val="0"/>
        <w:spacing w:before="200" w:after="283"/>
        <w:jc w:val="left"/>
        <w:rPr/>
      </w:pPr>
      <w:r>
        <w:rPr/>
        <w:t> </w:t>
      </w:r>
    </w:p>
    <w:p>
      <w:pPr>
        <w:pStyle w:val="TextBody"/>
        <w:bidi w:val="0"/>
        <w:spacing w:before="200" w:after="283"/>
        <w:jc w:val="left"/>
        <w:rPr/>
      </w:pPr>
      <w:r>
        <w:rPr/>
        <w:t> </w:t>
      </w:r>
    </w:p>
    <w:p>
      <w:pPr>
        <w:pStyle w:val="TextBody"/>
        <w:bidi w:val="0"/>
        <w:spacing w:before="200" w:after="283"/>
        <w:jc w:val="center"/>
        <w:rPr/>
      </w:pPr>
      <w:r>
        <w:rPr/>
        <w:drawing>
          <wp:inline distT="0" distB="0" distL="0" distR="0">
            <wp:extent cx="6838950" cy="7429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6838950" cy="742950"/>
                    </a:xfrm>
                    <a:prstGeom prst="rect">
                      <a:avLst/>
                    </a:prstGeom>
                  </pic:spPr>
                </pic:pic>
              </a:graphicData>
            </a:graphic>
          </wp:inline>
        </w:drawing>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drawing>
          <wp:inline distT="0" distB="0" distL="0" distR="0">
            <wp:extent cx="6858000" cy="5143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6858000" cy="514350"/>
                    </a:xfrm>
                    <a:prstGeom prst="rect">
                      <a:avLst/>
                    </a:prstGeom>
                  </pic:spPr>
                </pic:pic>
              </a:graphicData>
            </a:graphic>
          </wp:inline>
        </w:drawing>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About SS&amp;C Technologies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SS&amp;C is a leading provider of mission-critical, AI-powered technology and services empowering financial services and healthcare organizations to work smarter, faster, and securely. Founded in 1986, SS&amp;C is headquartered in Windsor, Connecticut, and has offices worldwide. More than 23,000 financial services and healthcare organizations, from the world's largest companies to small and mid-market firms, rely on SS&amp;C for expertise, scale and technology.</w:t>
      </w:r>
    </w:p>
    <w:p>
      <w:pPr>
        <w:pStyle w:val="TextBody"/>
        <w:bidi w:val="0"/>
        <w:spacing w:before="240" w:after="283"/>
        <w:jc w:val="left"/>
        <w:rPr>
          <w:rFonts w:ascii="Times New Roman" w:hAnsi="Times New Roman"/>
          <w:sz w:val="20"/>
        </w:rPr>
      </w:pPr>
      <w:r>
        <w:rPr>
          <w:rFonts w:ascii="Arial" w:hAnsi="Arial"/>
          <w:color w:val="000000"/>
          <w:sz w:val="20"/>
        </w:rPr>
        <w:t>Follow SS&amp;C on Twitter, LinkedIn and Facebook.</w:t>
      </w:r>
      <w:r>
        <w:rPr>
          <w:rFonts w:ascii="Times New Roman" w:hAnsi="Times New Roman"/>
          <w:color w:val="000000"/>
          <w:sz w:val="20"/>
        </w:rPr>
        <w:t xml:space="preserve"> </w:t>
      </w:r>
    </w:p>
    <w:p>
      <w:pPr>
        <w:pStyle w:val="TextBody"/>
        <w:bidi w:val="0"/>
        <w:spacing w:before="240" w:after="283"/>
        <w:jc w:val="left"/>
        <w:rPr>
          <w:rFonts w:ascii="Arial" w:hAnsi="Arial"/>
          <w:b/>
          <w:color w:val="000000"/>
          <w:sz w:val="20"/>
        </w:rPr>
      </w:pPr>
      <w:r>
        <w:rPr>
          <w:rFonts w:ascii="Arial" w:hAnsi="Arial"/>
          <w:b/>
          <w:color w:val="000000"/>
          <w:sz w:val="20"/>
        </w:rPr>
        <w:t>For more information</w:t>
      </w:r>
    </w:p>
    <w:p>
      <w:pPr>
        <w:pStyle w:val="TextBody"/>
        <w:bidi w:val="0"/>
        <w:spacing w:before="120" w:after="283"/>
        <w:jc w:val="left"/>
        <w:rPr>
          <w:rFonts w:ascii="Times New Roman" w:hAnsi="Times New Roman"/>
          <w:sz w:val="20"/>
        </w:rPr>
      </w:pPr>
      <w:r>
        <w:rPr>
          <w:rFonts w:ascii="Arial" w:hAnsi="Arial"/>
          <w:color w:val="000000"/>
          <w:sz w:val="20"/>
        </w:rPr>
        <w:t>Brian Schell</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0"/>
        </w:rPr>
        <w:t>Chief Financial Officer</w:t>
      </w:r>
      <w:r>
        <w:rPr>
          <w:rFonts w:ascii="Times New Roman" w:hAnsi="Times New Roman"/>
          <w:color w:val="000000"/>
          <w:sz w:val="20"/>
        </w:rPr>
        <w:t xml:space="preserve"> </w:t>
      </w:r>
    </w:p>
    <w:p>
      <w:pPr>
        <w:pStyle w:val="TextBody"/>
        <w:bidi w:val="0"/>
        <w:jc w:val="left"/>
        <w:rPr>
          <w:rFonts w:ascii="Arial" w:hAnsi="Arial"/>
          <w:color w:val="000000"/>
          <w:sz w:val="20"/>
        </w:rPr>
      </w:pPr>
      <w:r>
        <w:rPr>
          <w:rFonts w:ascii="Arial" w:hAnsi="Arial"/>
          <w:color w:val="000000"/>
          <w:sz w:val="20"/>
        </w:rPr>
        <w:t>Tel: +1-816-642-0915</w:t>
      </w:r>
    </w:p>
    <w:p>
      <w:pPr>
        <w:pStyle w:val="TextBody"/>
        <w:bidi w:val="0"/>
        <w:jc w:val="left"/>
        <w:rPr>
          <w:rFonts w:ascii="Times New Roman" w:hAnsi="Times New Roman"/>
          <w:sz w:val="20"/>
        </w:rPr>
      </w:pPr>
      <w:r>
        <w:rPr>
          <w:rFonts w:ascii="Arial" w:hAnsi="Arial"/>
          <w:color w:val="000000"/>
          <w:sz w:val="20"/>
        </w:rPr>
        <w:t xml:space="preserve">E-mail: </w:t>
      </w:r>
      <w:r>
        <w:rPr>
          <w:rFonts w:ascii="Arial" w:hAnsi="Arial"/>
          <w:color w:val="000000"/>
          <w:sz w:val="20"/>
          <w:u w:val="single"/>
        </w:rPr>
        <w:t>InvestorRelations@sscinc.com</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Justine Stone</w:t>
      </w:r>
    </w:p>
    <w:p>
      <w:pPr>
        <w:pStyle w:val="TextBody"/>
        <w:bidi w:val="0"/>
        <w:jc w:val="left"/>
        <w:rPr>
          <w:rFonts w:ascii="Arial" w:hAnsi="Arial"/>
          <w:color w:val="000000"/>
          <w:sz w:val="20"/>
        </w:rPr>
      </w:pPr>
      <w:r>
        <w:rPr>
          <w:rFonts w:ascii="Arial" w:hAnsi="Arial"/>
          <w:color w:val="000000"/>
          <w:sz w:val="20"/>
        </w:rPr>
        <w:t>Head of Investor Relations</w:t>
      </w:r>
    </w:p>
    <w:p>
      <w:pPr>
        <w:pStyle w:val="TextBody"/>
        <w:bidi w:val="0"/>
        <w:jc w:val="left"/>
        <w:rPr>
          <w:rFonts w:ascii="Arial" w:hAnsi="Arial"/>
          <w:color w:val="000000"/>
          <w:sz w:val="20"/>
        </w:rPr>
      </w:pPr>
      <w:r>
        <w:rPr>
          <w:rFonts w:ascii="Arial" w:hAnsi="Arial"/>
          <w:color w:val="000000"/>
          <w:sz w:val="20"/>
        </w:rPr>
        <w:t>Tel: +1-212-367-4705</w:t>
      </w:r>
    </w:p>
    <w:p>
      <w:pPr>
        <w:pStyle w:val="TextBody"/>
        <w:bidi w:val="0"/>
        <w:jc w:val="left"/>
        <w:rPr>
          <w:rFonts w:ascii="Times New Roman" w:hAnsi="Times New Roman"/>
          <w:sz w:val="20"/>
        </w:rPr>
      </w:pPr>
      <w:r>
        <w:rPr>
          <w:rFonts w:ascii="Arial" w:hAnsi="Arial"/>
          <w:color w:val="000000"/>
          <w:sz w:val="20"/>
        </w:rPr>
        <w:t xml:space="preserve">E-mail: </w:t>
      </w:r>
      <w:r>
        <w:rPr>
          <w:rFonts w:ascii="Arial" w:hAnsi="Arial"/>
          <w:color w:val="000000"/>
          <w:sz w:val="20"/>
          <w:u w:val="single"/>
        </w:rPr>
        <w:t>InvestorRelations@sscinc.com</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Chand Madaka</w:t>
      </w:r>
    </w:p>
    <w:p>
      <w:pPr>
        <w:pStyle w:val="TextBody"/>
        <w:bidi w:val="0"/>
        <w:jc w:val="left"/>
        <w:rPr>
          <w:rFonts w:ascii="Arial" w:hAnsi="Arial"/>
          <w:color w:val="000000"/>
          <w:sz w:val="20"/>
        </w:rPr>
      </w:pPr>
      <w:r>
        <w:rPr>
          <w:rFonts w:ascii="Arial" w:hAnsi="Arial"/>
          <w:color w:val="000000"/>
          <w:sz w:val="20"/>
        </w:rPr>
        <w:t>Investor Relations</w:t>
      </w:r>
    </w:p>
    <w:p>
      <w:pPr>
        <w:pStyle w:val="TextBody"/>
        <w:bidi w:val="0"/>
        <w:jc w:val="left"/>
        <w:rPr>
          <w:rFonts w:ascii="Arial" w:hAnsi="Arial"/>
          <w:color w:val="000000"/>
          <w:sz w:val="20"/>
        </w:rPr>
      </w:pPr>
      <w:r>
        <w:rPr>
          <w:rFonts w:ascii="Arial" w:hAnsi="Arial"/>
          <w:color w:val="000000"/>
          <w:sz w:val="20"/>
        </w:rPr>
        <w:t>Tel: +1-908-845-1259</w:t>
      </w:r>
    </w:p>
    <w:p>
      <w:pPr>
        <w:pStyle w:val="TextBody"/>
        <w:bidi w:val="0"/>
        <w:jc w:val="left"/>
        <w:rPr>
          <w:rFonts w:ascii="Times New Roman" w:hAnsi="Times New Roman"/>
          <w:sz w:val="20"/>
        </w:rPr>
      </w:pPr>
      <w:r>
        <w:rPr>
          <w:rFonts w:ascii="Arial" w:hAnsi="Arial"/>
          <w:color w:val="000000"/>
          <w:sz w:val="20"/>
        </w:rPr>
        <w:t xml:space="preserve">E-mail: </w:t>
      </w:r>
      <w:r>
        <w:rPr>
          <w:rFonts w:ascii="Arial" w:hAnsi="Arial"/>
          <w:color w:val="000000"/>
          <w:sz w:val="20"/>
          <w:u w:val="single"/>
        </w:rPr>
        <w:t>InvestorRelations@sscinc.com</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40" w:after="283"/>
        <w:jc w:val="center"/>
        <w:rPr/>
      </w:pPr>
      <w:r>
        <w:rPr/>
        <w:drawing>
          <wp:inline distT="0" distB="0" distL="0" distR="0">
            <wp:extent cx="6838950" cy="7429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6838950" cy="742950"/>
                    </a:xfrm>
                    <a:prstGeom prst="rect">
                      <a:avLst/>
                    </a:prstGeom>
                  </pic:spPr>
                </pic:pic>
              </a:graphicData>
            </a:graphic>
          </wp:inline>
        </w:drawing>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SS&amp;C Technologies Holdings,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Comprehensive Income</w:t>
      </w:r>
    </w:p>
    <w:p>
      <w:pPr>
        <w:pStyle w:val="TextBody"/>
        <w:bidi w:val="0"/>
        <w:jc w:val="center"/>
        <w:rPr>
          <w:rFonts w:ascii="Times New Roman" w:hAnsi="Times New Roman"/>
          <w:b/>
          <w:color w:val="000000"/>
          <w:sz w:val="20"/>
        </w:rPr>
      </w:pPr>
      <w:r>
        <w:rPr>
          <w:rFonts w:ascii="Times New Roman" w:hAnsi="Times New Roman"/>
          <w:b/>
          <w:color w:val="000000"/>
          <w:sz w:val="20"/>
        </w:rPr>
        <w:t>(in millions, except per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934"/>
        <w:gridCol w:w="146"/>
        <w:gridCol w:w="213"/>
        <w:gridCol w:w="704"/>
        <w:gridCol w:w="180"/>
        <w:gridCol w:w="158"/>
        <w:gridCol w:w="213"/>
        <w:gridCol w:w="704"/>
        <w:gridCol w:w="166"/>
        <w:gridCol w:w="146"/>
        <w:gridCol w:w="200"/>
        <w:gridCol w:w="662"/>
        <w:gridCol w:w="170"/>
        <w:gridCol w:w="149"/>
        <w:gridCol w:w="200"/>
        <w:gridCol w:w="662"/>
        <w:gridCol w:w="598"/>
      </w:tblGrid>
      <w:tr>
        <w:trPr/>
        <w:tc>
          <w:tcPr>
            <w:tcW w:w="49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49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9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Technology-enabled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1,408.2</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2,815.5</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2,537.6</w:t>
            </w:r>
          </w:p>
        </w:tc>
        <w:tc>
          <w:tcPr>
            <w:tcW w:w="5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License, maintenance and related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287.5</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527.3</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513.1</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93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1,695.7</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1,536.8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3,342.8</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3,050.7</w:t>
            </w:r>
          </w:p>
        </w:tc>
        <w:tc>
          <w:tcPr>
            <w:tcW w:w="5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Cost of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9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Technology-enabled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771.6</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1,512.1</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1,361.2</w:t>
            </w:r>
          </w:p>
        </w:tc>
        <w:tc>
          <w:tcPr>
            <w:tcW w:w="5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License, maintenance and related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105.8</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210.6</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205.5</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93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cost of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877.4</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1,722.7</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1,566.7</w:t>
            </w:r>
          </w:p>
        </w:tc>
        <w:tc>
          <w:tcPr>
            <w:tcW w:w="5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818.3</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736.9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1,620.1</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1,484.0</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9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Selling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160.5</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312.2</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304.7</w:t>
            </w:r>
          </w:p>
        </w:tc>
        <w:tc>
          <w:tcPr>
            <w:tcW w:w="5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132.3</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266.9</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257.2</w:t>
            </w:r>
          </w:p>
        </w:tc>
        <w:tc>
          <w:tcPr>
            <w:tcW w:w="5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108.4</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225.7</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219.7</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93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401.2</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804.8</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781.6</w:t>
            </w:r>
          </w:p>
        </w:tc>
        <w:tc>
          <w:tcPr>
            <w:tcW w:w="5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417.1</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344.5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815.3</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702.4</w:t>
            </w:r>
          </w:p>
        </w:tc>
        <w:tc>
          <w:tcPr>
            <w:tcW w:w="5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(107.0</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(212.4</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(210.7</w:t>
            </w:r>
          </w:p>
        </w:tc>
        <w:tc>
          <w:tcPr>
            <w:tcW w:w="5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9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w:t>
            </w:r>
          </w:p>
        </w:tc>
        <w:tc>
          <w:tcPr>
            <w:tcW w:w="5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Equity in earnings of unconsolidated affiliates,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w:t>
            </w:r>
          </w:p>
        </w:tc>
        <w:tc>
          <w:tcPr>
            <w:tcW w:w="5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Loss on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9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314.2</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617.3</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500.8</w:t>
            </w:r>
          </w:p>
        </w:tc>
        <w:tc>
          <w:tcPr>
            <w:tcW w:w="5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78.9</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155.7</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106.5</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235.3</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461.6</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394.3</w:t>
            </w:r>
          </w:p>
        </w:tc>
        <w:tc>
          <w:tcPr>
            <w:tcW w:w="5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income attributable to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9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income attributable to SS&amp;C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234.8</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180.8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460.9</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393.8</w:t>
            </w:r>
          </w:p>
        </w:tc>
        <w:tc>
          <w:tcPr>
            <w:tcW w:w="5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Basic earnings per share attributable to SS&amp;C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0.99</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Diluted earnings per share attributable to SS&amp;C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0.97</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Basic weighted-average number of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238.1</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239.8</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245.4</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Diluted weighted-average number of common and common equivalent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242.0</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244.6</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253.5</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235.3</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181.1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461.6</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394.3</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Other comprehensive (loss) income,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9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Foreign currency exchange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(74.7</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300.3</w:t>
            </w:r>
          </w:p>
        </w:tc>
        <w:tc>
          <w:tcPr>
            <w:tcW w:w="5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 in defined benefit pension obligation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other comprehensive (loss) income,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(74.5</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300.3</w:t>
            </w:r>
          </w:p>
        </w:tc>
        <w:tc>
          <w:tcPr>
            <w:tcW w:w="5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232.5</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387.1</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694.6</w:t>
            </w:r>
          </w:p>
        </w:tc>
        <w:tc>
          <w:tcPr>
            <w:tcW w:w="5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Comprehensive income attributable to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w:t>
            </w:r>
          </w:p>
        </w:tc>
        <w:tc>
          <w:tcPr>
            <w:tcW w:w="5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9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Comprehensive income attributable to SS&amp;C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232.0</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388.6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386.4</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694.1</w:t>
            </w:r>
          </w:p>
        </w:tc>
        <w:tc>
          <w:tcPr>
            <w:tcW w:w="5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SS&amp;C Technologies Holdings,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millions)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7067" w:type="dxa"/>
        <w:jc w:val="left"/>
        <w:tblInd w:w="0" w:type="dxa"/>
        <w:tblLayout w:type="fixed"/>
        <w:tblCellMar>
          <w:top w:w="28" w:type="dxa"/>
          <w:left w:w="28" w:type="dxa"/>
          <w:bottom w:w="28" w:type="dxa"/>
          <w:right w:w="28" w:type="dxa"/>
        </w:tblCellMar>
      </w:tblPr>
      <w:tblGrid>
        <w:gridCol w:w="4011"/>
        <w:gridCol w:w="146"/>
        <w:gridCol w:w="196"/>
        <w:gridCol w:w="736"/>
        <w:gridCol w:w="146"/>
        <w:gridCol w:w="146"/>
        <w:gridCol w:w="230"/>
        <w:gridCol w:w="865"/>
        <w:gridCol w:w="591"/>
      </w:tblGrid>
      <w:tr>
        <w:trPr/>
        <w:tc>
          <w:tcPr>
            <w:tcW w:w="4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462.1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Funds receivable and funds held on behalf of clients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3,984.5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3,799.5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978.7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Contract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5,699.6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5,487.7</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plant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289.5</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233.3</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174.4</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Unconsolidated affiliates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307.7</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Contract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9,991.3</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Intangible and other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3,873.8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4,094.7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20,608.6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20,711.7</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 and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Current portion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Client funds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3,984.5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3,799.5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Income taxes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employee compensation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348.9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303.4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492.4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5,354.2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5,111.3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Long-term debt,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7,312.2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7,408.4</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213.2</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846.8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13,898.1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13,769.9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SS&amp;C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6,640.7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6,887.6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6,710.5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6,941.8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Total liabilities and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20,608.6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20,711.7</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SS&amp;C Technologies Holdings,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millions)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181"/>
        <w:gridCol w:w="146"/>
        <w:gridCol w:w="202"/>
        <w:gridCol w:w="669"/>
        <w:gridCol w:w="171"/>
        <w:gridCol w:w="150"/>
        <w:gridCol w:w="202"/>
        <w:gridCol w:w="669"/>
        <w:gridCol w:w="815"/>
      </w:tblGrid>
      <w:tr>
        <w:trPr/>
        <w:tc>
          <w:tcPr>
            <w:tcW w:w="7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r>
      <w:tr>
        <w:trPr/>
        <w:tc>
          <w:tcPr>
            <w:tcW w:w="7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 from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461.6</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394.3</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Adjustments to reconcile net income to 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1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361.9</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345.7</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Equity in earnings of unconsolidated affiliates,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71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Distributions received from unconsolidated affiliates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123.7</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112.9</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Unrealized net (gains) losses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Amortization of debt financing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Loss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Loss on sale or disposition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(41.8</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71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Provision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Changes in operating assets and liabilities, excluding effects from acquisitions: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1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(27.8</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71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Prepaid expenses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(32.5</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(35.5</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71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Contract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71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71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Accrued expenses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(113.2</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71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Income taxes prepaid and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(35.2</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71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718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18"/>
              </w:rPr>
            </w:pPr>
            <w:r>
              <w:rPr>
                <w:rFonts w:ascii="Times New Roman" w:hAnsi="Times New Roman"/>
                <w:b/>
                <w:color w:val="000000"/>
                <w:sz w:val="18"/>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716.4</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645.1</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1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Business acquisitions, net of cash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71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Additions to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(35.6</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71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Proceeds from sale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Additions to capitalized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(125.9</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(99.8</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71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Investments in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71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Proceeds from sales / maturities of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Distributions received from (contributions to) unconsolidated affiliates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71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Collection of other non-current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718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18"/>
              </w:rPr>
            </w:pPr>
            <w:r>
              <w:rPr>
                <w:rFonts w:ascii="Times New Roman" w:hAnsi="Times New Roman"/>
                <w:b/>
                <w:color w:val="000000"/>
                <w:sz w:val="18"/>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(135.0</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(148.1</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7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1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Cash received from debt 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450.0</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122.0</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Repayments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(310.0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(312.0</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71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Net decrease in client funds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(132.1</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(391.2</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71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Proceeds from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31.9</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240.5</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Withholding taxes paid related to equity award net share settlement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(55.8</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(47.4</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71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Purchases of common stock for treasury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(605.7</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(477.2</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71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Dividends paid on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(129.3</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(122.5</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71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Proceeds from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718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18"/>
              </w:rPr>
            </w:pPr>
            <w:r>
              <w:rPr>
                <w:rFonts w:ascii="Times New Roman" w:hAnsi="Times New Roman"/>
                <w:b/>
                <w:color w:val="000000"/>
                <w:sz w:val="18"/>
              </w:rPr>
              <w:t>Net 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(736.1</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(987.8</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w:t>
            </w:r>
          </w:p>
        </w:tc>
      </w:tr>
      <w:tr>
        <w:trPr/>
        <w:tc>
          <w:tcPr>
            <w:tcW w:w="71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Effect of exchange rate changes on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decrease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(161.6</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(479.1</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cash equivalents and restricted cash and cash equivalents,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3,573.8</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3,370.5</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cash equivalents and restricted cash and cash equivalents,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3,412.2</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2,891.4</w:t>
            </w:r>
          </w:p>
        </w:tc>
        <w:tc>
          <w:tcPr>
            <w:tcW w:w="8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390" w:type="dxa"/>
            <w:gridSpan w:val="8"/>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Reconciliation of cash, cash equivalents and restricted cash and cash equivalents:</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434.8</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480.3</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Restricted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Restricted cash and cash equivalents included in funds receivable and funds held on behalf of clients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2,975.1</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2,408.5</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3,412.2</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2,891.4</w:t>
            </w:r>
          </w:p>
        </w:tc>
        <w:tc>
          <w:tcPr>
            <w:tcW w:w="8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SS&amp;C Technologies Holdings,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Disclosures Relating to Non-GAAP Financial Measures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 Reconciliation of Revenues to Adjusted Revenues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revenues represents revenues adjusted to include a) amounts that would have been recognized if deferred revenue were not adjusted to fair value at the date of acquisition and b) amounts that would have been recognized if not for adjustments to deferred revenue and retained earnings related to the adoption of ASC 606. Adjusted revenues is presented because we use this measure to evaluate performance of our business against prior periods and believe it is a useful indicator of the underlying performance of our business. Adjusted revenues is not a recognized term under generally accepted accounting principles (“GAAP”). Adjusted revenues does not represent revenues, as that term is defined under GAAP, and should not be considered as an alternative to revenues as an indicator of our operating performance. Adjusted revenues as presented herein is not necessarily comparable to similarly titled measures presented by other companies. Below is a reconciliation of adjusted revenues to revenues, the GAAP measure we believe to be most directly comparable to adjusted revenues.</w:t>
      </w:r>
    </w:p>
    <w:p>
      <w:pPr>
        <w:pStyle w:val="TextBody"/>
        <w:bidi w:val="0"/>
        <w:spacing w:before="120" w:after="283"/>
        <w:jc w:val="left"/>
        <w:rPr/>
      </w:pPr>
      <w:r>
        <w:rPr/>
        <w:t> </w:t>
      </w:r>
    </w:p>
    <w:tbl>
      <w:tblPr>
        <w:tblW w:w="8757" w:type="dxa"/>
        <w:jc w:val="left"/>
        <w:tblInd w:w="0" w:type="dxa"/>
        <w:tblLayout w:type="fixed"/>
        <w:tblCellMar>
          <w:top w:w="28" w:type="dxa"/>
          <w:left w:w="28" w:type="dxa"/>
          <w:bottom w:w="28" w:type="dxa"/>
          <w:right w:w="28" w:type="dxa"/>
        </w:tblCellMar>
      </w:tblPr>
      <w:tblGrid>
        <w:gridCol w:w="3796"/>
        <w:gridCol w:w="146"/>
        <w:gridCol w:w="224"/>
        <w:gridCol w:w="740"/>
        <w:gridCol w:w="167"/>
        <w:gridCol w:w="167"/>
        <w:gridCol w:w="224"/>
        <w:gridCol w:w="740"/>
        <w:gridCol w:w="146"/>
        <w:gridCol w:w="146"/>
        <w:gridCol w:w="205"/>
        <w:gridCol w:w="677"/>
        <w:gridCol w:w="153"/>
        <w:gridCol w:w="153"/>
        <w:gridCol w:w="205"/>
        <w:gridCol w:w="677"/>
        <w:gridCol w:w="191"/>
      </w:tblGrid>
      <w:tr>
        <w:trPr/>
        <w:tc>
          <w:tcPr>
            <w:tcW w:w="3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1,695.7</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3,342.8</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3,050.7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 accounting adjustments impact on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Adjusted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1,696.9</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1,537.8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3,345.1</w:t>
            </w:r>
          </w:p>
        </w:tc>
        <w:tc>
          <w:tcPr>
            <w:tcW w:w="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3,052.6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is a breakdown of technology-enabled services and license, maintenance and related revenues and adjusted technology-enabled services and license, maintenance and related revenues.</w:t>
      </w:r>
    </w:p>
    <w:p>
      <w:pPr>
        <w:pStyle w:val="TextBody"/>
        <w:bidi w:val="0"/>
        <w:jc w:val="left"/>
        <w:rPr/>
      </w:pPr>
      <w:r>
        <w:rPr/>
        <w:t> </w:t>
      </w:r>
    </w:p>
    <w:tbl>
      <w:tblPr>
        <w:tblW w:w="7392" w:type="dxa"/>
        <w:jc w:val="left"/>
        <w:tblInd w:w="0" w:type="dxa"/>
        <w:tblLayout w:type="fixed"/>
        <w:tblCellMar>
          <w:top w:w="28" w:type="dxa"/>
          <w:left w:w="28" w:type="dxa"/>
          <w:bottom w:w="28" w:type="dxa"/>
          <w:right w:w="28" w:type="dxa"/>
        </w:tblCellMar>
      </w:tblPr>
      <w:tblGrid>
        <w:gridCol w:w="2431"/>
        <w:gridCol w:w="146"/>
        <w:gridCol w:w="224"/>
        <w:gridCol w:w="740"/>
        <w:gridCol w:w="167"/>
        <w:gridCol w:w="167"/>
        <w:gridCol w:w="224"/>
        <w:gridCol w:w="740"/>
        <w:gridCol w:w="146"/>
        <w:gridCol w:w="146"/>
        <w:gridCol w:w="205"/>
        <w:gridCol w:w="677"/>
        <w:gridCol w:w="153"/>
        <w:gridCol w:w="153"/>
        <w:gridCol w:w="205"/>
        <w:gridCol w:w="677"/>
        <w:gridCol w:w="191"/>
      </w:tblGrid>
      <w:tr>
        <w:trPr/>
        <w:tc>
          <w:tcPr>
            <w:tcW w:w="2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Technology-enabled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1,408.2</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2,815.5</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2,537.6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License, maintenance and related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287.5</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527.3</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513.1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1,695.7</w:t>
            </w:r>
          </w:p>
        </w:tc>
        <w:tc>
          <w:tcPr>
            <w:tcW w:w="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1,536.8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3,342.8</w:t>
            </w:r>
          </w:p>
        </w:tc>
        <w:tc>
          <w:tcPr>
            <w:tcW w:w="1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3,050.7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Technology-enabled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1,409.4</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2,817.8</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2,539.5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License, maintenance and related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287.5</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527.3</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513.1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adjusted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1,696.9</w:t>
            </w:r>
          </w:p>
        </w:tc>
        <w:tc>
          <w:tcPr>
            <w:tcW w:w="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1,537.8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3,345.1</w:t>
            </w:r>
          </w:p>
        </w:tc>
        <w:tc>
          <w:tcPr>
            <w:tcW w:w="1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3,052.6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Note 2. Reconciliation of Operating Income to Adjusted Operating Income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operating income represents operating income adjusted for amortization of intangible assets, stock-based compensation, purchase accounting adjustments for deferred revenue and related costs, ASC 606 adoption impact and other expenses. Adjusted operating income is presented because we use this measure to evaluate performance of our business and believe it is a useful indicator of our underlying performance. Adjusted operating income is not a recognized term under GAAP. Adjusted operating income does not represent operating income, as that term is defined under GAAP, and should not be considered as an alternative to operating income as an indicator of our operating performance. Adjusted operating income as presented herein is not necessarily comparable to similarly titled measures by other companies. The following is a reconciliation between adjusted operating income and operating income, the GAAP measure we believe to be most directly comparable to adjusted operating income.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102"/>
        <w:gridCol w:w="146"/>
        <w:gridCol w:w="247"/>
        <w:gridCol w:w="644"/>
        <w:gridCol w:w="208"/>
        <w:gridCol w:w="183"/>
        <w:gridCol w:w="247"/>
        <w:gridCol w:w="644"/>
        <w:gridCol w:w="166"/>
        <w:gridCol w:w="146"/>
        <w:gridCol w:w="201"/>
        <w:gridCol w:w="666"/>
        <w:gridCol w:w="171"/>
        <w:gridCol w:w="150"/>
        <w:gridCol w:w="201"/>
        <w:gridCol w:w="666"/>
        <w:gridCol w:w="417"/>
      </w:tblGrid>
      <w:tr>
        <w:trPr/>
        <w:tc>
          <w:tcPr>
            <w:tcW w:w="51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r>
      <w:tr>
        <w:trPr/>
        <w:tc>
          <w:tcPr>
            <w:tcW w:w="51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417.1</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815.3</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702.4</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Amortization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163.3</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326.2</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310.0</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62.0</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123.7</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112.9</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Acquisition related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Facilities and workforce restructuring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24.2</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1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Adjusted 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655.4</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1,290.2</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1,160.8</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Adjusted operating income attributable to noncontrolling interest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1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Adjusted operating income attributable to SS&amp;C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653.8</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583.5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1,287.4</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1,158.8</w:t>
            </w:r>
          </w:p>
        </w:tc>
        <w:tc>
          <w:tcPr>
            <w:tcW w:w="4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Other includes additional expenses and income that are permitted to be excluded per the terms of our Credit Agreement from Consolidated EBITDA, a financial measure used in calculating our covenant compliance.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 xml:space="preserve">Adjusted operating income attributable to noncontrolling interest represents the proportionate share of adjusted operating income of DomaniRx, LLC (a consolidated joint venture) retained by our joint venture partners.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60" w:after="283"/>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Note 3. Reconciliation of Net Income to EBITDA, Consolidated EBITDA and Adjusted Consolidated EBITDA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EBITDA represents net income before interest expense, income taxes, depreciation and amortization. Consolidated EBITDA, defined under our Credit Agreement entered into in April 2018, as amended, is used in calculating covenant compliance, and is EBITDA adjusted for certain items. Consolidated EBITDA is calculated by subtracting from or adding to EBITDA items of income or expense described below. Adjusted Consolidated EBITDA is calculated by subtracting acquired EBITDA (as defined below) from Consolidated EBITDA. EBITDA, Consolidated EBITDA and Adjusted Consolidated EBITDA are presented because we use these measures to evaluate performance of our business and believe them to be useful indicators of an entity’s debt capacity and its ability to service debt. EBITDA, Consolidated EBITDA and Adjusted Consolidated EBITDA are not recognized terms under GAAP and should not be considered in isolation or as alternatives to operating income, net income or cash flows from operating activities as indicators of our operating performance. These measures are not necessarily comparable to similarly titled measures by other companies. The following is a reconciliation of EBITDA, Consolidated EBITDA and Adjusted Consolidated EBITDA to net income.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22"/>
        <w:gridCol w:w="146"/>
        <w:gridCol w:w="222"/>
        <w:gridCol w:w="581"/>
        <w:gridCol w:w="188"/>
        <w:gridCol w:w="165"/>
        <w:gridCol w:w="222"/>
        <w:gridCol w:w="581"/>
        <w:gridCol w:w="166"/>
        <w:gridCol w:w="146"/>
        <w:gridCol w:w="199"/>
        <w:gridCol w:w="656"/>
        <w:gridCol w:w="168"/>
        <w:gridCol w:w="148"/>
        <w:gridCol w:w="199"/>
        <w:gridCol w:w="656"/>
        <w:gridCol w:w="166"/>
        <w:gridCol w:w="146"/>
        <w:gridCol w:w="351"/>
        <w:gridCol w:w="1159"/>
        <w:gridCol w:w="418"/>
      </w:tblGrid>
      <w:tr>
        <w:trPr/>
        <w:tc>
          <w:tcPr>
            <w:tcW w:w="35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35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Twelve Months Ended June 30,</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235.3</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461.6</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866.0</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107.0</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212.4</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428.0</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78.9</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155.7</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225.4</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180.9</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361.9</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720.0</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602.1</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1,191.6</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2,239.4</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62.0</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123.7</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268.5</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Acquired EBITDA and cost savings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 in earnings of unconsolidated affiliates,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Investment gains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5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Facilities and workforce restructuring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39.5</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Acquisition related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47.5</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Consolidated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672.3</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1,324.5</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2,614.5</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Acquired EBITDA and cost savings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5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Adjusted Consolidated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672.3</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1,324.5</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2,596.0</w:t>
            </w:r>
          </w:p>
        </w:tc>
        <w:tc>
          <w:tcPr>
            <w:tcW w:w="4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Adjusted Consolidated EBITDA attributable to noncontrolling interest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5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Adjusted Consolidated EBITDA attributable to SS&amp;C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5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670.7</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5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600.4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1,321.7</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1,192.3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2,591.9</w:t>
            </w:r>
          </w:p>
        </w:tc>
        <w:tc>
          <w:tcPr>
            <w:tcW w:w="4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Acquired EBITDA reflects the EBITDA impact of significant businesses that were acquired during the last twelve months as if the acquisition occurred at the beginning of the trailing twelve-month period, as well as cost savings enacted in connection with acquisitions.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Investment gains includes unrealized fair value adjustments of investments and dividend income received on investments.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Other includes additional expenses and income that are permitted to be excluded per the terms of our Credit Agreement from Consolidated EBITDA, a financial measure used in calculating our covenant compliance, and includes a loss on the sale of fixed assets of $33.3 million during the twelve months ended June 30, 2026.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 xml:space="preserve">Adjusted Consolidated EBITDA attributable to noncontrolling interest represents the proportionate share of adjusted Consolidated EBITDA of DomaniRx, LLC (a consolidated joint venture) retained by our joint venture partners.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60" w:after="283"/>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Note 4. Reconciliation of Net Income to Adjusted Net Income and Diluted Earnings Per Share Attributable to SS&amp;C to Adjusted Diluted Earnings Per Share Attributable to SS&amp;C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net income and adjusted diluted earnings per share attributable to SS&amp;C represent net income and earnings per share attributable to SS&amp;C before amortization of intangible assets and deferred financing costs, stock-based compensation, purchase accounting adjustments and other items. We consider adjusted net income and adjusted diluted earnings per share attributable to SS&amp;C to be important to management and investors because they represent our operational performance exclusive of the effects of amortization of intangible assets and deferred financing costs, stock-based compensation, purchase accounting adjustments, loss on extinguishment of debt and other items, that are not operational in nature or comparable to those of our competitors. Adjusted net income and adjusted diluted earnings per share are not recognized terms under GAAP. Adjusted net income and adjusted diluted earnings per share do not represent net income or diluted earnings per share, as those terms are defined under GAAP, and should not be considered as alternatives to net income or diluted earnings per share as indicators of our operating performance. Adjusted net income and adjusted diluted earnings per share attributable to SS&amp;C as presented herein are not necessarily comparable to similarly titled measures presented by other companies. Below is a reconciliation of adjusted net income and adjusted diluted earnings per share attributable to SS&amp;C to net income and diluted earnings per share attributable to SS&amp;C, the GAAP measures we believe to be most directly comparable to adjusted net income and adjusted diluted earnings per share.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121"/>
        <w:gridCol w:w="146"/>
        <w:gridCol w:w="248"/>
        <w:gridCol w:w="647"/>
        <w:gridCol w:w="209"/>
        <w:gridCol w:w="184"/>
        <w:gridCol w:w="248"/>
        <w:gridCol w:w="647"/>
        <w:gridCol w:w="166"/>
        <w:gridCol w:w="146"/>
        <w:gridCol w:w="222"/>
        <w:gridCol w:w="580"/>
        <w:gridCol w:w="188"/>
        <w:gridCol w:w="165"/>
        <w:gridCol w:w="222"/>
        <w:gridCol w:w="649"/>
        <w:gridCol w:w="417"/>
      </w:tblGrid>
      <w:tr>
        <w:trPr/>
        <w:tc>
          <w:tcPr>
            <w:tcW w:w="5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r>
      <w:tr>
        <w:trPr/>
        <w:tc>
          <w:tcPr>
            <w:tcW w:w="51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millions, except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GAAP – 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235.3</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461.6</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394.3</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Amortization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163.3</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326.2</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310.0</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62.0</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123.7</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112.9</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 in earnings of unconsolidated affiliates,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Investment (gains) losses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Facilities and workforce restructuring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24.2</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Acquisition related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effect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(45.1</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(89.9</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(106.3</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1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Adjusted 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427.2</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846.1</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754.4</w:t>
            </w:r>
          </w:p>
        </w:tc>
        <w:tc>
          <w:tcPr>
            <w:tcW w:w="4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Adjusted net income attributable to noncontrolling interest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1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Adjusted net income attributable to SS&amp;C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425.6</w:t>
            </w:r>
          </w:p>
        </w:tc>
        <w:tc>
          <w:tcPr>
            <w:tcW w:w="2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375.6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5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843.3</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751.7</w:t>
            </w:r>
          </w:p>
        </w:tc>
        <w:tc>
          <w:tcPr>
            <w:tcW w:w="4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Adjusted diluted earnings per share attributable to SS&amp;C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3.45</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2.97</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GAAP diluted earnings per share attributable to SS&amp;C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0.97</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Diluted weighted-average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242.0</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244.6</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253.5</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Investment (gains) losses includes unrealized fair value adjustments of investments.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Other includes additional expenses and income that are permitted to be excluded per the terms of our Credit Agreement from Consolidated EBITDA, a financial measure used in calculating our covenant compliance.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 estimated effective tax rate of 22.5% has been used to adjust the provision for income taxes for the purpose of computing adjusted net income for the three and six months ended June 30, 2026. An effective tax rate of 22% has been used to retroactively adjust the provision for income taxes for the purpose of computing adjusted net income for the three and six months ended June 30, 2025.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 xml:space="preserve">Adjusted net income attributable to noncontrolling interest represents the proportionate share of adjusted net income of DomaniRx, LLC (a consolidated joint venture) retained by our joint venture partners.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center"/>
        <w:rPr/>
      </w:pPr>
      <w:bookmarkStart w:id="4" w:name="ssnc-ex99_2.htm"/>
      <w:bookmarkStart w:id="5" w:name="ksssncex99_2"/>
      <w:bookmarkEnd w:id="4"/>
      <w:bookmarkEnd w:id="5"/>
      <w:r>
        <w:rPr/>
        <w:drawing>
          <wp:inline distT="0" distB="0" distL="0" distR="0">
            <wp:extent cx="9144000" cy="160686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144000" cy="16068675"/>
                    </a:xfrm>
                    <a:prstGeom prst="rect">
                      <a:avLst/>
                    </a:prstGeom>
                  </pic:spPr>
                </pic:pic>
              </a:graphicData>
            </a:graphic>
          </wp:inline>
        </w:drawing>
      </w:r>
      <w:r>
        <w:br w:type="page"/>
      </w:r>
    </w:p>
    <w:p>
      <w:pPr>
        <w:pStyle w:val="TextBody"/>
        <w:bidi w:val="0"/>
        <w:jc w:val="left"/>
        <w:rPr>
          <w:rFonts w:ascii="Times New Roman" w:hAnsi="Times New Roman"/>
          <w:color w:val="FFFFFF"/>
          <w:sz w:val="2"/>
        </w:rPr>
      </w:pPr>
      <w:r>
        <w:rPr>
          <w:rFonts w:ascii="Times New Roman" w:hAnsi="Times New Roman"/>
          <w:color w:val="FFFFFF"/>
          <w:sz w:val="2"/>
        </w:rPr>
        <w:t>SS&amp;C Technologies (NASDAQ:SSNC)?Q2 2026 Earnings Results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 SS&amp;C Technologies, Inc. This presentation contains forward-looking statements, as defined by federal and state securities laws, which are made pursuant to the safe harbor provisions of the Private Securities Litigation Reform Act of 1995. Forward-looking statements include statements concerning plans, objectives, goals, strategies, expectations, intentions, projections, developments, future events, performance or products, underlying assumptions, and other statements which are other than statements of historical facts. In some cases, you can identify forward-looking statements by terminology such as ''may,'' ''will,'' ''should,'' "hope,'' "expects,'' ''intends,'' ''plans,'' ''anticipates,'' "contemplates," ''believes,'' ''estimates,'' ''predicts,'' ''projects,'' ''potential,'' ''continue,'' and other similar terminology or the negative of these terms. From time to time, we may publish or otherwise make available forward-looking statements of this nature. All such forward-looking statements, whether written or oral, and whether made by us or on our behalf, are expressly qualified by the cautionary statements described on this message including those set forth below. All statements contained in this presentation are made only as of the date of this presentation. In addition, except to the extent required by applicable securities laws, we undertake no obligation to update or revise any forward-looking statements to reflect events, circumstances, or new information after the date of the information or to reflect the occurrence or likelihood of unanticipated events, and we disclaim any such obligation.? ?Forward-looking statements are only predictions that relate to future events or our future performance and are subject to known and unknown risks, uncertainties, assumptions, and other factors that may cause actual results, outcomes, levels of activity, performance, developments, or achievements to be materially different from any future results, outcomes, levels of activity, performance, developments, or achievements expressed, anticipated, or implied by these forward-looking statements. Other factors that could affect actual results, outcomes, levels of activity, performance, developments or achievements can be found under the heading “Risk Factors” in SS&amp;C Technologies Holdings, Inc.’s most recent Annual Report on Form 10-K and Quarterly Report on Form 10-Q. As a result, we cannot guarantee future results, outcomes, levels of activity, performance, developments, or achievements, and there can be no assurance that our expectations, intentions, anticipations, beliefs, or projections will result or be achieved or accomplished. SAFE HARBOR STATEMENT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 SS&amp;C Technologies, Inc. Record Adjusted Revenue of $1,696.9 million, up 10.3 percent. Q2 2026 Adjusted Organic Revenue Growth was 7.6 percent. Net cash generated from operating activities of $716.4 million for the six months ended June 30, 2026, up 11.1 percent compared to the same period in 2025. Returned $499.2 million to shareholders in Q2 2026, which included a record 6.4 million shares repurchased for $435.2 million and $64.0 million in common stock dividends. Record adjusted consolidated EBITDA of $670.7 million, up 11.7 percent, with a margin of 39.5 percent. Record adjusted diluted earnings per share of $1.76, up 18.1 percent. Q2 2026 HIGHLIGHTS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 SS&amp;C Technologies, Inc. Q2 2026 FINANCIAL HIGHLIGHTS Note: See appendix for reconciliation of non-GAAP financial measures Metric Q2 2026 Q2 2025 $ +/- % +/- Adjusted Revenues ($M) $1,696.9 $1,537.8 $159.1 10.3% Adjusted Operating Income ($M) $653.8 $583.5 $70.3 12.0% Adjusted Consolidated EBITDA ($M) $670.7 $600.4 $70.3 11.7% Adjusted Consolidated EBITDA margin 39.5% 39.0% - 50 bps Operating Cash Flow for the six months ended June 30, 2026 ($M) $716.4 $645.1 $71.3 11.1% Adjusted Diluted Earnings Per Share $1.76 $1.49 $0.27 18.1%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DEBT REVIEW AND CAPITAL ALLOCATION © SS&amp;C Technologies, Inc. SS&amp;C generated net cash from operating activities of $716.4 million for the six months ended June 30, 2026, compared to $645.1 million for the same period in 2025. Debt Net leverage ratio is 2.75x, secured net leverage ratio is 1.70x LTM consolidated EBITDA of $2,610.4 million. Shareholder Returns Q2 2026 we bought back 6.4 million shares for $435.2 million, at an average price of $67.57 per share. Paid $64.0 million in common stock dividends for the three months ended June 30, 2026. 100% directly to shareholders 100% directly to shareholders Mix of Capital Allocation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 SS&amp;C Technologies, Inc. ORGANIC GROWTH CALCULATIONS 2026 Q1 2026 Q2 2026 Total Adjusted Revenues ($M) 1,648.2 1,696.9 FX ($M) (22.4) (5.4) Acquisitions ($M) (34.9) (35.9) Organic Revenues ($M) 1,590.9 1,655.6 Organic Revenue Growth Rate (%) 5.0% 7.6%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 SS&amp;C Technologies, Inc. ADJUSTED ORGANIC GROWTH BY BUSINESS 1Hedge Fund Admin, Private Markets Admin, Registered Services, Retail Alternatives 2Includes Retirement and Distribution Solutions 3Includes Advent, Eze/Financial Markets, I&amp;IM, ALPS Advisors, &amp; other technology 4Includes Blue Prism, Regulatory Solutions, Algorithmics Business 2025 Revenue Base Q1 2026 Q2 2026 Consolidated $6.28 B 5.0% 7.6% GlobeOp1 $1.77 B 6.7% 9.0% GIDS and related2 $1.60 B 10.4% 8.9% Wealth and Investment Technologies3 $1.51 B (0.4%) 9.8% Intralinks $569 M 3.2% 7.4% Intelligent Automation &amp; Analytics4 $565 M 0.5% (1.0%) Healthcare $261 M 3.7% (3.1%)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Adjusted consolidated EBITDA ($M) and EBITDA margin (%) 38.8% 39.2% 39.8%1 © SS&amp;C Technologies, Inc. ADJUSTED REVENUE AND ADJUSTED CONSOLIDATED EBITDA Adjusted revenue ($M) Note: See appendix for reconciliation of non-GAAP financial measures 1Midpoint of 2026 guidance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 SS&amp;C Technologies, Inc. Quarterly retention rate is based on a rolling prior twelve months for all of SS&amp;C. Acquisitions are not included in retention rate calculation until one year post-acquisition. REVENUE RETENTION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 SS&amp;C Technologies, Inc. ADJUSTED NET INCOME &amp; ADJUSTED DILUTED EPS Adjusted net income ($M) Adjusted diluted EPS Note: See appendix for reconciliation of non-GAAP financial measures * 2025 quarterly amounts presented using an effective tax rate of 22.0%; refer to appendix for additional information 1Midpoint of 2026 guidance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 SS&amp;C Technologies, Inc. ALTERNATIVE ASSETS UNDER ADMINISTRATION ($B) Up $593 billion over 2 years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QUARTERLY GUIDANCE Q3 2026 Adjusted Revenues ($M) $1,657 – $1,697 Organic growth Midpoint (%) 5.0% Interest Expense ($M)1 $103 – $105 Adjusted Net Income ($M) $413 – $429 Adjusted Diluted Earnings Per Share $1.73 – $1.79 Cash from Operating Activities ($M) – Capital Expenditures (% of revenue) – Diluted Shares (M) 237.6 – 240.6 Effective Income Tax Rate (%) 21.5% – 23.5% SS&amp;C does not provide reconciliations of guidance for Adjusted Revenues and Adjusted Net Income to comparable GAAP measures, in reliance on the unreasonable efforts exception provided under Item 10(e)(1)(i)(B) of Regulation S-K. SS&amp;C is unable, without unreasonable efforts, to forecast certain items required to develop meaningful comparable GAAP financial measures. These items include acquisition transactions and integration, foreign exchange rate changes, as well as other non-cash and other adjustments as defined under the Company’s Credit agreement, that are difficult to predict in advance in order to include in a GAAP estimate. The unavailable information could have a significant impact on Q3 2026 and FY 2026 GAAP financial results. 1Interest expense is net of deferred financing cost amortization and original issue discount © SS&amp;C Technologies, Inc.</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FULL YEAR GUIDANCE FY 2026 (as of 7/23/26) FY 2026 (as of 4/23/26) Adjusted Revenues ($M) Midpoint $6,672 – $6,832 $6,752 $6,664 – $6,824 $6,744 Organic growth Midpoint (%) 5.5% 5.3% Interest Expense ($M)1 $406 – $416 $398 – $408 Adjusted Net Income ($M) $1,670 – $1,770 $1,665 – $1,765 Adjusted Diluted Earnings Per Share Midpoint $6.93 – $7.25 $7.09 $6.74 – $7.06 $6.90 Cash from Operating Activities ($M) $1,717 – $1,817 $1,713 – $1,813 Capital Expenditures (% of revenue) 4.4% – 4.8% 4.4% – 4.8% Diluted Shares (M) 241.0 – 244.0 245.6 – 251.6 Effective Income Tax Rate (%) 21.5% – 23.5% 21.5% – 23.5% SS&amp;C does not provide reconciliations of guidance for Adjusted Revenues and Adjusted Net Income to comparable GAAP measures, in reliance on the unreasonable efforts exception provided under Item 10(e)(1)(i)(B) of Regulation S-K. SS&amp;C is unable, without unreasonable efforts, to forecast certain items required to develop meaningful comparable GAAP financial measures. These items include acquisition transactions and integration, foreign exchange rate changes, as well as other non-cash and other adjustments as defined under the Company’s Credit agreement, that are difficult to predict in advance in order to include in a GAAP estimate. The unavailable information could have a significant impact on Q3 2026 and FY 2026 GAAP financial results. 1Interest expense is net of deferred financing cost amortization and original issue discount © SS&amp;C Technologies, Inc.</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APPENDIX</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Adjusted revenues represents revenues adjusted to include a) amounts that would have been recognized if deferred revenue were not adjusted to fair value at the date of acquisition and b) amounts that would have been recognized if not for adjustments to deferred revenue and retained earnings related to the adoption of ASC 606. Adjusted revenues is presented because we use this measure to evaluate performance of our business against prior periods and believe it is a useful indicator of the underlying performance of our business. Adjusted revenues is not a recognized term under generally accepted accounting principles (“GAAP”). Adjusted revenues does not represent revenues, as that term is defined under GAAP, and should not be considered as an alternative to revenues as an indicator of our operating performance. Adjusted revenues as presented herein is not necessarily comparable to similarly titled measures presented by other companies. Below is a reconciliation of adjusted revenues to revenues, the GAAP measure we believe to be most directly comparable to adjusted revenues. Reconciliation of revenues to adjusted revenues The following is a breakdown of technology-enabled services and license, maintenance and related revenues and adjusted technology-enabled services and license, maintenance and related revenues.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Adjusted operating income represents operating income adjusted for amortization of intangible assets, stock-based compensation, purchase accounting adjustments for deferred revenue and related costs, ASC 606 adoption impact and other expenses. Adjusted operating income is presented because we use this measure to evaluate performance of our business and believe it is a useful indicator of our underlying performance. Adjusted operating income is not a recognized term under GAAP. Adjusted operating income does not represent operating income, as that term is defined under GAAP, and should not be considered as an alternative to operating income as an indicator of our operating performance. Adjusted operating income as presented herein is not necessarily comparable to similarly titled measures by other companies. The following is a reconciliation between adjusted operating income and operating income, the GAAP measure we believe to be most directly comparable to adjusted operating income. Reconciliation of operating income to adjusted operating income Other includes additional expenses and income that are permitted to be excluded per the terms of our Credit Agreement from Consolidated EBITDA, a financial measure used in calculating our covenant compliance. Acquisition related includes costs related to both current acquisitions and the resolution of pre-acquisition matters for prior period acquisitions. Adjusted operating income attributable to noncontrolling interest represents the proportionate share of adjusted operating income of DomaniRx, LLC (a consolidated joint venture) retained by our joint venture partners.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EBITDA represents net income before interest expense, income taxes, depreciation and amortization. Consolidated EBITDA, defined under our Credit Agreement entered into in April 2018, as amended, is used in calculating covenant compliance, and is EBITDA adjusted for certain items. Consolidated EBITDA is calculated by subtracting from or adding to EBITDA items of income or expense described below. Adjusted Consolidated EBITDA is calculated by subtracting acquired EBITDA (as defined below) from Consolidated EBITDA. EBITDA, Consolidated EBITDA and Adjusted Consolidated EBITDA are presented because we use these measures to evaluate performance of our business and believe them to be useful indicators of an entity’s debt capacity and its ability to service debt. EBITDA, Consolidated EBITDA and Adjusted Consolidated EBITDA are not recognized terms under GAAP and should not be considered in isolation or as alternatives to operating income, net income or cash flows from operating activities as indicators of our operating performance. These measures are not necessarily comparable to similarly titled measures by other companies. The following is a reconciliation of EBITDA, Consolidated EBITDA and Adjusted Consolidated EBITDA to net income. Reconciliation of net income to EBITDA, consolidated EBITDA and adjusted consolidated EBITDA</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Acquired EBITDA reflects the EBITDA impact of significant businesses that were acquired during the last twelve months as if the acquisition occurred at the beginning of the trailing twelve-month period, as well as cost savings enacted in connection with acquisitions. Investment gains includes unrealized fair value adjustments of investments and dividend income received on investments. Other includes additional expenses and income that are permitted to be excluded per the terms of our Credit Agreement from Consolidated EBITDA, a financial measure used in calculating our covenant compliance, and includes a loss on the sale of fixed assets of $33.3 million during the twelve months ended June 30, 2026. Adjusted Consolidated EBITDA attributable to noncontrolling interest represents the proportionate share of adjusted Consolidated EBITDA of DomaniRx, LLC (a consolidated joint venture) retained by our joint venture partners. Reconciliation of net income to EBITDA, consolidated EBITDA and adjusted consolidated EBITDA</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Adjusted net income and adjusted diluted earnings per share attributable to SS&amp;C represent net income and earnings per share attributable to SS&amp;C before amortization of intangible assets and deferred financing costs, stock-based compensation, purchase accounting adjustments and other items. We consider adjusted net income and adjusted diluted earnings per share attributable to SS&amp;C to be important to management and investors because they represent our operational performance exclusive of the effects of amortization of intangible assets and deferred financing costs, stock-based compensation, purchase accounting adjustments, loss on extinguishment of debt and other items, that are not operational in nature or comparable to those of our competitors. Adjusted net income and adjusted diluted earnings per share are not recognized terms under GAAP. Adjusted net income and adjusted diluted earnings per share do not represent net income or diluted earnings per share, as those terms are defined under GAAP, and should not be considered as alternatives to net income or diluted earnings per share as indicators of our operating performance. Adjusted net income and adjusted diluted earnings per share attributable to SS&amp;C as presented herein are not necessarily comparable to similarly titled measures presented by other companies. Below is a reconciliation of adjusted net income and adjusted diluted earnings per share attributable to SS&amp;C to net income and diluted earnings per share attributable to SS&amp;C, the GAAP measures we believe to be most directly comparable to adjusted net income and adjusted diluted earnings per share. Reconciliation of net income to adjusted net income attributable to SS&amp;C and diluted earnings per share to adjusted diluted earnings per share attributable to SS&amp;C</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Investment (gains) losses includes unrealized fair value adjustments of investments. Other includes additional expenses and income that are permitted to be excluded per the terms of our Credit Agreement from Consolidated EBITDA, a financial measure used in calculating our covenant compliance. An estimated effective tax rate of 22.5% has been used to adjust the provision for income taxes for the purpose of computing adjusted net income for the three and six months ended June 30, 2026. An effective tax rate of 22% has been used to retroactively adjust the provision for income taxes for the purpose of computing adjusted net income for the three and six months ended June 30, 2025. Adjusted net income attributable to noncontrolling interest represents the proportionate share of adjusted net income of DomaniRx, LLC (a consolidated joint venture) retained by our joint venture partners. Reconciliation of net income to adjusted net income and diluted earnings per share to adjusted diluted earnings per share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9144000" cy="16068675"/>
                    </a:xfrm>
                    <a:prstGeom prst="rect">
                      <a:avLst/>
                    </a:prstGeom>
                  </pic:spPr>
                </pic:pic>
              </a:graphicData>
            </a:graphic>
          </wp:inline>
        </w:drawing>
      </w:r>
    </w:p>
    <w:p>
      <w:pPr>
        <w:pStyle w:val="TextBody"/>
        <w:bidi w:val="0"/>
        <w:spacing w:before="0" w:after="283"/>
        <w:jc w:val="left"/>
        <w:rPr>
          <w:rFonts w:ascii="Times New Roman" w:hAnsi="Times New Roman"/>
          <w:color w:val="FFFFFF"/>
          <w:sz w:val="2"/>
        </w:rPr>
      </w:pPr>
      <w:r>
        <w:rPr>
          <w:rFonts w:ascii="Times New Roman" w:hAnsi="Times New Roman"/>
          <w:color w:val="FFFFFF"/>
          <w:sz w:val="2"/>
        </w:rPr>
        <w:t>THANK YOU. © SS&amp;C Technologies, Inc.</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fontTable" Target="fontTable.xml"/><Relationship Id="rId3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7426</Words>
  <Characters>42408</Characters>
  <CharactersWithSpaces>50361</CharactersWithSpaces>
  <Paragraphs>2959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