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 w:hAnsi="Times New Roman"/>
          <w:b/>
          <w:color w:val="000000"/>
          <w:sz w:val="20"/>
        </w:rPr>
      </w:pPr>
      <w:bookmarkStart w:id="0" w:name="ssnc-20260729.htm"/>
      <w:bookmarkStart w:id="1" w:name="ksssnc20260729"/>
      <w:bookmarkEnd w:id="0"/>
      <w:bookmarkEnd w:id="1"/>
      <w:r>
        <w:rPr>
          <w:rFonts w:ascii="Times New Roman" w:hAnsi="Times New Roman"/>
          <w:b/>
          <w:color w:val="000000"/>
          <w:sz w:val="20"/>
        </w:rPr>
        <w:t>As filed with the Securities and Exchange Commission on July 29, 2026</w:t>
      </w:r>
    </w:p>
    <w:p>
      <w:pPr>
        <w:pStyle w:val="TextBody"/>
        <w:pBdr>
          <w:bottom w:val="single" w:sz="24" w:space="1" w:color="000000"/>
        </w:pBdr>
        <w:bidi w:val="0"/>
        <w:jc w:val="right"/>
        <w:rPr>
          <w:rFonts w:ascii="Times New Roman" w:hAnsi="Times New Roman"/>
          <w:b/>
          <w:color w:val="000000"/>
          <w:sz w:val="20"/>
        </w:rPr>
      </w:pPr>
      <w:r>
        <w:rPr>
          <w:rFonts w:ascii="Times New Roman" w:hAnsi="Times New Roman"/>
          <w:b/>
          <w:color w:val="000000"/>
          <w:sz w:val="20"/>
        </w:rPr>
        <w:t>Registration No. 333-______</w:t>
      </w:r>
    </w:p>
    <w:p>
      <w:pPr>
        <w:pStyle w:val="TextBody"/>
        <w:bidi w:val="0"/>
        <w:jc w:val="center"/>
        <w:rPr>
          <w:rFonts w:ascii="Times New Roman" w:hAnsi="Times New Roman"/>
          <w:color w:val="000000"/>
          <w:sz w:val="20"/>
        </w:rPr>
      </w:pPr>
      <w:r>
        <w:rPr>
          <w:rFonts w:ascii="Times New Roman" w:hAnsi="Times New Roman"/>
          <w:color w:val="000000"/>
          <w:sz w:val="20"/>
        </w:rPr>
        <w:t>UNITED STATES</w:t>
        <w:b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pBdr>
          <w:top w:val="single" w:sz="4" w:space="1" w:color="000000"/>
        </w:pBdr>
        <w:bidi w:val="0"/>
        <w:spacing w:before="120" w:after="283"/>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S-8</w:t>
      </w:r>
    </w:p>
    <w:p>
      <w:pPr>
        <w:pStyle w:val="TextBody"/>
        <w:pBdr>
          <w:top w:val="single" w:sz="4" w:space="1" w:color="000000"/>
        </w:pBdr>
        <w:bidi w:val="0"/>
        <w:spacing w:before="120" w:after="12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REGISTRATION STATEMENT</w:t>
        <w:br/>
        <w:t>UNDER</w:t>
        <w:br/>
        <w:t>THE SECURITIES ACT OF 1933</w:t>
      </w:r>
      <w:r>
        <w:rPr>
          <w:rFonts w:ascii="Times New Roman" w:hAnsi="Times New Roman"/>
          <w:color w:val="000000"/>
          <w:sz w:val="20"/>
        </w:rPr>
        <w:t xml:space="preserve"> </w:t>
      </w:r>
    </w:p>
    <w:p>
      <w:pPr>
        <w:pStyle w:val="TextBody"/>
        <w:pBdr>
          <w:top w:val="single" w:sz="4" w:space="1" w:color="000000"/>
        </w:pBdr>
        <w:bidi w:val="0"/>
        <w:spacing w:before="120" w:after="283"/>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SS&amp;C TECHNOLOGIES HOLDINGS, INC.</w:t>
      </w:r>
    </w:p>
    <w:p>
      <w:pPr>
        <w:pStyle w:val="TextBody"/>
        <w:bidi w:val="0"/>
        <w:spacing w:before="0" w:after="10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top w:val="single" w:sz="4" w:space="1" w:color="000000"/>
        </w:pBdr>
        <w:bidi w:val="0"/>
        <w:spacing w:before="20" w:after="120"/>
        <w:jc w:val="center"/>
        <w:rPr/>
      </w:pPr>
      <w:r>
        <w:rPr/>
        <w:t> </w:t>
      </w:r>
    </w:p>
    <w:tbl>
      <w:tblPr>
        <w:tblW w:w="6198" w:type="dxa"/>
        <w:jc w:val="left"/>
        <w:tblInd w:w="0" w:type="dxa"/>
        <w:tblLayout w:type="fixed"/>
        <w:tblCellMar>
          <w:top w:w="28" w:type="dxa"/>
          <w:left w:w="28" w:type="dxa"/>
          <w:bottom w:w="28" w:type="dxa"/>
          <w:right w:w="28" w:type="dxa"/>
        </w:tblCellMar>
      </w:tblPr>
      <w:tblGrid>
        <w:gridCol w:w="2611"/>
        <w:gridCol w:w="1936"/>
        <w:gridCol w:w="1651"/>
      </w:tblGrid>
      <w:tr>
        <w:trPr/>
        <w:tc>
          <w:tcPr>
            <w:tcW w:w="261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9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71-0987913</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w:t>
              <w:br/>
              <w:t>Incorporation or Organization)</w:t>
            </w:r>
          </w:p>
        </w:tc>
        <w:tc>
          <w:tcPr>
            <w:tcW w:w="1936" w:type="dxa"/>
            <w:tcBorders/>
            <w:tcMar>
              <w:top w:w="0" w:type="dxa"/>
              <w:left w:w="0" w:type="dxa"/>
              <w:bottom w:w="0" w:type="dxa"/>
              <w:right w:w="0" w:type="dxa"/>
            </w:tcMar>
            <w:vAlign w:val="center"/>
          </w:tcPr>
          <w:p>
            <w:pPr>
              <w:pStyle w:val="TableContents"/>
              <w:bidi w:val="0"/>
              <w:spacing w:before="0" w:after="80"/>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r>
        <w:trPr/>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80 Lamberton Road</w:t>
            </w:r>
          </w:p>
          <w:p>
            <w:pPr>
              <w:pStyle w:val="TableContents"/>
              <w:bidi w:val="0"/>
              <w:jc w:val="center"/>
              <w:rPr>
                <w:rFonts w:ascii="Times New Roman" w:hAnsi="Times New Roman"/>
                <w:b/>
                <w:color w:val="000000"/>
                <w:sz w:val="20"/>
              </w:rPr>
            </w:pPr>
            <w:r>
              <w:rPr>
                <w:rFonts w:ascii="Times New Roman" w:hAnsi="Times New Roman"/>
                <w:b/>
                <w:color w:val="000000"/>
                <w:sz w:val="20"/>
              </w:rPr>
              <w:t>Windsor, Connecticut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06095</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9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including zip code of Principal Executive Offices)</w:t>
            </w:r>
          </w:p>
        </w:tc>
      </w:tr>
    </w:tbl>
    <w:p>
      <w:pPr>
        <w:pStyle w:val="TextBody"/>
        <w:pBdr>
          <w:top w:val="single" w:sz="4" w:space="1" w:color="000000"/>
        </w:pBdr>
        <w:bidi w:val="0"/>
        <w:spacing w:before="120" w:after="283"/>
        <w:jc w:val="center"/>
        <w:rPr/>
      </w:pPr>
      <w:r>
        <w:rPr/>
        <w:t> </w:t>
      </w:r>
    </w:p>
    <w:tbl>
      <w:tblPr>
        <w:tblW w:w="5153" w:type="dxa"/>
        <w:jc w:val="left"/>
        <w:tblInd w:w="0" w:type="dxa"/>
        <w:tblLayout w:type="fixed"/>
        <w:tblCellMar>
          <w:top w:w="28" w:type="dxa"/>
          <w:left w:w="28" w:type="dxa"/>
          <w:bottom w:w="28" w:type="dxa"/>
          <w:right w:w="28" w:type="dxa"/>
        </w:tblCellMar>
      </w:tblPr>
      <w:tblGrid>
        <w:gridCol w:w="161"/>
        <w:gridCol w:w="480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SS&amp;C Technologies Holdings, Inc. </w:t>
              <w:br/>
              <w:t>Third Amended and Restated 2023 Stock Incentive Plan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5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(Full Title of the Plan)</w:t>
            </w:r>
          </w:p>
        </w:tc>
      </w:tr>
    </w:tbl>
    <w:p>
      <w:pPr>
        <w:pStyle w:val="TextBody"/>
        <w:pBdr>
          <w:top w:val="single" w:sz="4" w:space="1" w:color="000000"/>
        </w:pBdr>
        <w:bidi w:val="0"/>
        <w:spacing w:before="120" w:after="283"/>
        <w:jc w:val="center"/>
        <w:rPr/>
      </w:pPr>
      <w:r>
        <w:rPr/>
        <w:t> </w:t>
      </w:r>
    </w:p>
    <w:tbl>
      <w:tblPr>
        <w:tblW w:w="5385" w:type="dxa"/>
        <w:jc w:val="left"/>
        <w:tblInd w:w="0" w:type="dxa"/>
        <w:tblLayout w:type="fixed"/>
        <w:tblCellMar>
          <w:top w:w="28" w:type="dxa"/>
          <w:left w:w="28" w:type="dxa"/>
          <w:bottom w:w="28" w:type="dxa"/>
          <w:right w:w="28" w:type="dxa"/>
        </w:tblCellMar>
      </w:tblPr>
      <w:tblGrid>
        <w:gridCol w:w="173"/>
        <w:gridCol w:w="5007"/>
        <w:gridCol w:w="205"/>
      </w:tblGrid>
      <w:tr>
        <w:trPr/>
        <w:tc>
          <w:tcPr>
            <w:tcW w:w="173" w:type="dxa"/>
            <w:tcBorders/>
            <w:vAlign w:val="center"/>
          </w:tcPr>
          <w:p>
            <w:pPr>
              <w:pStyle w:val="TableContents"/>
              <w:bidi w:val="0"/>
              <w:spacing w:before="0" w:after="283"/>
              <w:jc w:val="left"/>
              <w:rPr>
                <w:sz w:val="4"/>
                <w:szCs w:val="4"/>
              </w:rPr>
            </w:pPr>
            <w:r>
              <w:rPr>
                <w:sz w:val="4"/>
                <w:szCs w:val="4"/>
              </w:rPr>
            </w:r>
          </w:p>
        </w:tc>
        <w:tc>
          <w:tcPr>
            <w:tcW w:w="500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73" w:type="dxa"/>
            <w:tcBorders/>
            <w:tcMar>
              <w:top w:w="0" w:type="dxa"/>
              <w:left w:w="0" w:type="dxa"/>
              <w:bottom w:w="0" w:type="dxa"/>
              <w:right w:w="0" w:type="dxa"/>
            </w:tcMar>
            <w:vAlign w:val="center"/>
          </w:tcPr>
          <w:p>
            <w:pPr>
              <w:pStyle w:val="TableContents"/>
              <w:bidi w:val="0"/>
              <w:spacing w:before="0" w:after="283"/>
              <w:jc w:val="left"/>
              <w:rPr/>
            </w:pPr>
            <w:r>
              <w:rPr/>
              <w:t> </w:t>
            </w:r>
          </w:p>
        </w:tc>
        <w:tc>
          <w:tcPr>
            <w:tcW w:w="500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Jason White</w:t>
            </w:r>
          </w:p>
          <w:p>
            <w:pPr>
              <w:pStyle w:val="TableContents"/>
              <w:bidi w:val="0"/>
              <w:jc w:val="center"/>
              <w:rPr>
                <w:rFonts w:ascii="Times New Roman" w:hAnsi="Times New Roman"/>
                <w:b/>
                <w:color w:val="000000"/>
                <w:sz w:val="20"/>
              </w:rPr>
            </w:pPr>
            <w:r>
              <w:rPr>
                <w:rFonts w:ascii="Times New Roman" w:hAnsi="Times New Roman"/>
                <w:b/>
                <w:color w:val="000000"/>
                <w:sz w:val="20"/>
              </w:rPr>
              <w:t>Senior Vice President, General Counsel and Secretary</w:t>
            </w:r>
          </w:p>
          <w:p>
            <w:pPr>
              <w:pStyle w:val="TableContents"/>
              <w:bidi w:val="0"/>
              <w:jc w:val="center"/>
              <w:rPr>
                <w:rFonts w:ascii="Times New Roman" w:hAnsi="Times New Roman"/>
                <w:b/>
                <w:color w:val="000000"/>
                <w:sz w:val="20"/>
              </w:rPr>
            </w:pPr>
            <w:r>
              <w:rPr>
                <w:rFonts w:ascii="Times New Roman" w:hAnsi="Times New Roman"/>
                <w:b/>
                <w:color w:val="000000"/>
                <w:sz w:val="20"/>
              </w:rPr>
              <w:t>SS&amp;C Technologies Holdings, Inc.</w:t>
            </w:r>
          </w:p>
          <w:p>
            <w:pPr>
              <w:pStyle w:val="TableContents"/>
              <w:bidi w:val="0"/>
              <w:jc w:val="center"/>
              <w:rPr>
                <w:rFonts w:ascii="Times New Roman" w:hAnsi="Times New Roman"/>
                <w:b/>
                <w:color w:val="000000"/>
                <w:sz w:val="20"/>
              </w:rPr>
            </w:pPr>
            <w:r>
              <w:rPr>
                <w:rFonts w:ascii="Times New Roman" w:hAnsi="Times New Roman"/>
                <w:b/>
                <w:color w:val="000000"/>
                <w:sz w:val="20"/>
              </w:rPr>
              <w:t>80 Lamberton Road</w:t>
            </w:r>
          </w:p>
          <w:p>
            <w:pPr>
              <w:pStyle w:val="TableContents"/>
              <w:bidi w:val="0"/>
              <w:jc w:val="center"/>
              <w:rPr>
                <w:rFonts w:ascii="Times New Roman" w:hAnsi="Times New Roman"/>
                <w:b/>
                <w:color w:val="000000"/>
                <w:sz w:val="20"/>
              </w:rPr>
            </w:pPr>
            <w:r>
              <w:rPr>
                <w:rFonts w:ascii="Times New Roman" w:hAnsi="Times New Roman"/>
                <w:b/>
                <w:color w:val="000000"/>
                <w:sz w:val="20"/>
              </w:rPr>
              <w:t>Windsor, CT 06095</w:t>
            </w:r>
          </w:p>
          <w:p>
            <w:pPr>
              <w:pStyle w:val="TableContents"/>
              <w:bidi w:val="0"/>
              <w:jc w:val="center"/>
              <w:rPr/>
            </w:pPr>
            <w:r>
              <w:rPr>
                <w:color w:val="000000"/>
              </w:rPr>
              <w:t> </w:t>
            </w:r>
            <w:r>
              <w:rPr>
                <w:rFonts w:ascii="Times New Roman" w:hAnsi="Times New Roman"/>
                <w:b/>
                <w:color w:val="000000"/>
                <w:sz w:val="20"/>
              </w:rPr>
              <w:br/>
              <w:t>Telephone: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(860) 298-4500</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(Telephone Number, Including Area Code, of Agent For Service)</w:t>
            </w:r>
          </w:p>
        </w:tc>
      </w:tr>
    </w:tbl>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w:t>
      </w:r>
    </w:p>
    <w:tbl>
      <w:tblPr>
        <w:tblW w:w="10205" w:type="dxa"/>
        <w:jc w:val="left"/>
        <w:tblInd w:w="0" w:type="dxa"/>
        <w:tblLayout w:type="fixed"/>
        <w:tblCellMar>
          <w:top w:w="28" w:type="dxa"/>
          <w:left w:w="28" w:type="dxa"/>
          <w:bottom w:w="28" w:type="dxa"/>
          <w:right w:w="28" w:type="dxa"/>
        </w:tblCellMar>
      </w:tblPr>
      <w:tblGrid>
        <w:gridCol w:w="6903"/>
        <w:gridCol w:w="3302"/>
      </w:tblGrid>
      <w:tr>
        <w:trPr/>
        <w:tc>
          <w:tcPr>
            <w:tcW w:w="6903" w:type="dxa"/>
            <w:tcBorders/>
            <w:vAlign w:val="center"/>
          </w:tcPr>
          <w:p>
            <w:pPr>
              <w:pStyle w:val="TableContents"/>
              <w:bidi w:val="0"/>
              <w:spacing w:before="0" w:after="283"/>
              <w:jc w:val="left"/>
              <w:rPr>
                <w:sz w:val="4"/>
                <w:szCs w:val="4"/>
              </w:rPr>
            </w:pPr>
            <w:r>
              <w:rPr>
                <w:sz w:val="4"/>
                <w:szCs w:val="4"/>
              </w:rPr>
            </w:r>
          </w:p>
        </w:tc>
        <w:tc>
          <w:tcPr>
            <w:tcW w:w="3302" w:type="dxa"/>
            <w:tcBorders/>
            <w:vAlign w:val="center"/>
          </w:tcPr>
          <w:p>
            <w:pPr>
              <w:pStyle w:val="TableContents"/>
              <w:bidi w:val="0"/>
              <w:spacing w:before="0" w:after="283"/>
              <w:jc w:val="left"/>
              <w:rPr>
                <w:sz w:val="4"/>
                <w:szCs w:val="4"/>
              </w:rPr>
            </w:pPr>
            <w:r>
              <w:rPr>
                <w:sz w:val="4"/>
                <w:szCs w:val="4"/>
              </w:rPr>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 </w:t>
            </w:r>
          </w:p>
        </w:tc>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  (Do not check if a smaller reporting company)</w:t>
            </w:r>
          </w:p>
        </w:tc>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2"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Emerging growth company </w:t>
            </w:r>
          </w:p>
          <w:p>
            <w:pPr>
              <w:pStyle w:val="TableContents"/>
              <w:bidi w:val="0"/>
              <w:spacing w:before="0" w:after="283"/>
              <w:jc w:val="left"/>
              <w:rPr/>
            </w:pPr>
            <w:r>
              <w:rPr/>
              <w:t> </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Pursuant to General Instruction E to Form S-8, this Registration Statement on Form S-8 (the “Registration Statement”) is being filed for the purpose of registering an additional 10,000,000 shares of common stock, par value $0.01 per share (“Shares”), of SS&amp;C Technologies Holdings, Inc. (the “Registrant”) authorized for issuance pursuant to the Registrant’s Third Amended and Restated 2023 Stock Incentive Plan (the “Plan”), which was approved by the Registrant’s Board of Directors on March 11, 2026 and its shareholders on May 20, 2026. This Registration Statement hereby incorporates by reference the contents of the registration statements on Form S-8 (File Nos. 333-272295, 333-281105 and 333-289036) previously filed by the Registrant on May 31, 2023, July 30, 2024, and July 29, 2025, respectively, to the extent not superseded hereby.</w:t>
      </w:r>
    </w:p>
    <w:p>
      <w:pPr>
        <w:pStyle w:val="TextBody"/>
        <w:bidi w:val="0"/>
        <w:spacing w:before="0" w:after="20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0" w:after="200"/>
        <w:jc w:val="left"/>
        <w:rPr>
          <w:rFonts w:ascii="Times New Roman" w:hAnsi="Times New Roman"/>
          <w:sz w:val="20"/>
        </w:rPr>
      </w:pPr>
      <w:r>
        <w:rPr>
          <w:rFonts w:ascii="Times New Roman" w:hAnsi="Times New Roman"/>
          <w:b/>
          <w:color w:val="000000"/>
          <w:sz w:val="20"/>
        </w:rPr>
        <w:t xml:space="preserve">Item 3. </w:t>
      </w:r>
      <w:r>
        <w:rPr>
          <w:rFonts w:ascii="Times New Roman" w:hAnsi="Times New Roman"/>
          <w:b/>
          <w:caps/>
          <w:color w:val="000000"/>
          <w:sz w:val="20"/>
        </w:rPr>
        <w:t>INCORPORATION BY REFERENCE.</w:t>
      </w:r>
    </w:p>
    <w:p>
      <w:pPr>
        <w:pStyle w:val="TextBody"/>
        <w:bidi w:val="0"/>
        <w:jc w:val="left"/>
        <w:rPr>
          <w:rFonts w:ascii="Times New Roman" w:hAnsi="Times New Roman"/>
          <w:color w:val="000000"/>
          <w:sz w:val="20"/>
        </w:rPr>
      </w:pPr>
      <w:r>
        <w:rPr>
          <w:rFonts w:ascii="Times New Roman" w:hAnsi="Times New Roman"/>
          <w:color w:val="000000"/>
          <w:sz w:val="20"/>
        </w:rPr>
        <w:t>The Registrant is subject to the informational and reporting requirements of Sections 13(a), 14, and 15(d) of the Securities Exchange Act of 1934, as amended (the “Exchange Act”), and in accordance therewith files reports and other information with the Securities and Exchange Commission (the “Commission”). The following documents, which are on file with the Commission, are incorporated in this Registration Statement by reference:</w:t>
      </w:r>
    </w:p>
    <w:p>
      <w:pPr>
        <w:pStyle w:val="TextBody"/>
        <w:bidi w:val="0"/>
        <w:jc w:val="left"/>
        <w:rPr/>
      </w:pPr>
      <w:r>
        <w:rPr/>
        <w:t> </w:t>
      </w:r>
    </w:p>
    <w:p>
      <w:pPr>
        <w:pStyle w:val="TextBody"/>
        <w:bidi w:val="0"/>
        <w:spacing w:before="0" w:after="200"/>
        <w:jc w:val="left"/>
        <w:rPr/>
      </w:pPr>
      <w:r>
        <w:rPr>
          <w:rFonts w:ascii="Times New Roman" w:hAnsi="Times New Roman"/>
          <w:color w:val="000000"/>
          <w:sz w:val="20"/>
        </w:rPr>
        <w:t xml:space="preserve">(a) The Registrant’s Annual Report on Form 10-K for the fiscal year ended December 31, 2025, as filed with the Commission on </w:t>
      </w:r>
      <w:hyperlink r:id="rId2">
        <w:r>
          <w:rPr>
            <w:rStyle w:val="InternetLink"/>
            <w:rFonts w:ascii="Times New Roman" w:hAnsi="Times New Roman"/>
            <w:color w:val="0000FF"/>
            <w:sz w:val="20"/>
            <w:u w:val="single"/>
          </w:rPr>
          <w:t>February 26, 2026</w:t>
        </w:r>
      </w:hyperlink>
      <w:r>
        <w:rPr>
          <w:rFonts w:ascii="Times New Roman" w:hAnsi="Times New Roman"/>
          <w:color w:val="000000"/>
          <w:sz w:val="20"/>
        </w:rPr>
        <w:t xml:space="preserve"> (the “Annual Report”), including the sections of the </w:t>
      </w:r>
      <w:hyperlink r:id="rId3">
        <w:r>
          <w:rPr>
            <w:rStyle w:val="InternetLink"/>
            <w:rFonts w:ascii="Times New Roman" w:hAnsi="Times New Roman"/>
            <w:color w:val="0000FF"/>
            <w:sz w:val="20"/>
            <w:u w:val="single"/>
          </w:rPr>
          <w:t>Registrant’s Definitive Proxy Statement on Schedule 14A for the Registrant’s 2026 Annual Meeting of Stockholders, as filed with the Commission on April 8, 2026</w:t>
        </w:r>
      </w:hyperlink>
      <w:r>
        <w:rPr>
          <w:rFonts w:ascii="Times New Roman" w:hAnsi="Times New Roman"/>
          <w:color w:val="000000"/>
          <w:sz w:val="20"/>
        </w:rPr>
        <w:t xml:space="preserve">, incorporated by reference in the Annual Report; </w:t>
      </w:r>
    </w:p>
    <w:p>
      <w:pPr>
        <w:pStyle w:val="TextBody"/>
        <w:bidi w:val="0"/>
        <w:spacing w:before="0" w:after="200"/>
        <w:jc w:val="left"/>
        <w:rPr/>
      </w:pPr>
      <w:r>
        <w:rPr>
          <w:rFonts w:ascii="Times New Roman" w:hAnsi="Times New Roman"/>
          <w:color w:val="000000"/>
          <w:sz w:val="20"/>
        </w:rPr>
        <w:t xml:space="preserve">(b) All other reports filed pursuant to Section 13(a) or 15(d) of the Exchange Act since the end of the fiscal year covered by the document referred to in (a) above, including </w:t>
      </w:r>
      <w:hyperlink r:id="rId4">
        <w:r>
          <w:rPr>
            <w:rStyle w:val="InternetLink"/>
            <w:rFonts w:ascii="Times New Roman" w:hAnsi="Times New Roman"/>
            <w:color w:val="0000FF"/>
            <w:sz w:val="20"/>
            <w:u w:val="single"/>
          </w:rPr>
          <w:t>the Registrant’s Quarterly Report on Form 10-Q for the quarter ended March 31, 2026, as filed with the Commission on April 30, 2026</w:t>
        </w:r>
      </w:hyperlink>
      <w:r>
        <w:rPr>
          <w:rFonts w:ascii="Times New Roman" w:hAnsi="Times New Roman"/>
          <w:color w:val="000000"/>
          <w:sz w:val="20"/>
        </w:rPr>
        <w:t xml:space="preserve">, and the Registrant’s Current Report on Form 8-K, as filed with the Commission on </w:t>
      </w:r>
      <w:hyperlink r:id="rId5">
        <w:r>
          <w:rPr>
            <w:rStyle w:val="InternetLink"/>
            <w:rFonts w:ascii="Times New Roman" w:hAnsi="Times New Roman"/>
            <w:color w:val="0000FF"/>
            <w:sz w:val="20"/>
            <w:u w:val="single"/>
          </w:rPr>
          <w:t>May 22, 2026</w:t>
        </w:r>
      </w:hyperlink>
      <w:r>
        <w:rPr>
          <w:rFonts w:ascii="Times New Roman" w:hAnsi="Times New Roman"/>
          <w:color w:val="000000"/>
          <w:sz w:val="20"/>
        </w:rPr>
        <w:t>; and</w:t>
      </w:r>
    </w:p>
    <w:p>
      <w:pPr>
        <w:pStyle w:val="TextBody"/>
        <w:bidi w:val="0"/>
        <w:spacing w:before="0" w:after="200"/>
        <w:jc w:val="left"/>
        <w:rPr/>
      </w:pPr>
      <w:hyperlink r:id="rId6">
        <w:r>
          <w:rPr>
            <w:rStyle w:val="InternetLink"/>
            <w:rFonts w:ascii="Times New Roman" w:hAnsi="Times New Roman"/>
            <w:color w:val="0000FF"/>
            <w:sz w:val="20"/>
            <w:u w:val="single"/>
          </w:rPr>
          <w:t>(c) The description of the Registrant’s common stock included as Exhibit 4.3 to the Annual Report, including any amendment or report filed for purposes of updating such description.</w:t>
        </w:r>
      </w:hyperlink>
    </w:p>
    <w:p>
      <w:pPr>
        <w:pStyle w:val="TextBody"/>
        <w:bidi w:val="0"/>
        <w:jc w:val="left"/>
        <w:rPr>
          <w:rFonts w:ascii="Times New Roman" w:hAnsi="Times New Roman"/>
          <w:color w:val="000000"/>
          <w:sz w:val="20"/>
        </w:rPr>
      </w:pPr>
      <w:r>
        <w:rPr>
          <w:rFonts w:ascii="Times New Roman" w:hAnsi="Times New Roman"/>
          <w:color w:val="000000"/>
          <w:sz w:val="20"/>
        </w:rPr>
        <w:t>In addition, all documents subsequently filed by the Registrant pursuant to Sections 13(a), 13(c), 14 and 15(d) of the Exchange Act, prior to the filing of the post-effective amendment which indicates that all securities offered have been sold or which deregisters all securities then remaining unsold, shall be deemed to be incorporated by reference in the Registration Statement and to be part thereof from the date of filing of such documents. The Registrant is not incorporating by reference any documents or portions thereof, whether specifically listed above or filed in the future, that are not deemed “filed” with the Commission.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006"/>
        <w:gridCol w:w="9199"/>
      </w:tblGrid>
      <w:tr>
        <w:trPr/>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9199" w:type="dxa"/>
            <w:tcBorders/>
            <w:shd w:fill="FFFFFF" w:val="clear"/>
            <w:vAlign w:val="center"/>
          </w:tcPr>
          <w:p>
            <w:pPr>
              <w:pStyle w:val="TableContents"/>
              <w:bidi w:val="0"/>
              <w:spacing w:before="0" w:after="283"/>
              <w:jc w:val="left"/>
              <w:rPr>
                <w:sz w:val="4"/>
                <w:szCs w:val="4"/>
              </w:rPr>
            </w:pPr>
            <w:r>
              <w:rPr>
                <w:sz w:val="4"/>
                <w:szCs w:val="4"/>
              </w:rPr>
            </w:r>
          </w:p>
        </w:tc>
      </w:tr>
      <w:tr>
        <w:trPr/>
        <w:tc>
          <w:tcPr>
            <w:tcW w:w="1006" w:type="dxa"/>
            <w:tcBorders/>
            <w:tcMar>
              <w:top w:w="0" w:type="dxa"/>
              <w:left w:w="0" w:type="dxa"/>
              <w:bottom w:w="0" w:type="dxa"/>
              <w:right w:w="0" w:type="dxa"/>
            </w:tcMar>
            <w:vAlign w:val="center"/>
          </w:tcPr>
          <w:p>
            <w:pPr>
              <w:pStyle w:val="TableContents"/>
              <w:bidi w:val="0"/>
              <w:spacing w:before="20" w:after="120"/>
              <w:jc w:val="left"/>
              <w:rPr>
                <w:rFonts w:ascii="Times New Roman" w:hAnsi="Times New Roman"/>
                <w:b/>
                <w:color w:val="000000"/>
                <w:sz w:val="20"/>
                <w:u w:val="single"/>
              </w:rPr>
            </w:pPr>
            <w:r>
              <w:rPr>
                <w:rFonts w:ascii="Times New Roman" w:hAnsi="Times New Roman"/>
                <w:b/>
                <w:color w:val="000000"/>
                <w:sz w:val="20"/>
                <w:u w:val="single"/>
              </w:rPr>
              <w:t>Exhibit Number</w:t>
            </w:r>
          </w:p>
        </w:tc>
        <w:tc>
          <w:tcPr>
            <w:tcW w:w="9199" w:type="dxa"/>
            <w:tcBorders/>
            <w:tcMar>
              <w:top w:w="0" w:type="dxa"/>
              <w:left w:w="0" w:type="dxa"/>
              <w:bottom w:w="0" w:type="dxa"/>
              <w:right w:w="0" w:type="dxa"/>
            </w:tcMar>
            <w:vAlign w:val="center"/>
          </w:tcPr>
          <w:p>
            <w:pPr>
              <w:pStyle w:val="TableContents"/>
              <w:bidi w:val="0"/>
              <w:spacing w:before="20" w:after="120"/>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9199"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Restated Certificate of Incorporation of the Registrant (incorporated herein by reference to Exhibit 3.1 to the Registrant’s Quarterly Report on Form 10-Q, filed on August 5, 2016 (File No. 001-34675)</w:t>
              </w:r>
            </w:hyperlink>
          </w:p>
        </w:tc>
      </w:tr>
      <w:tr>
        <w:trPr/>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9199"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Second Amended and Restated Bylaws of the Registrant (incorporated herein by reference to Exhibit 3.1 to the Registrant’s Current Report on Form 8-K, filed on November 22, 2022 (File No. 001-34675)</w:t>
              </w:r>
            </w:hyperlink>
          </w:p>
        </w:tc>
      </w:tr>
      <w:tr>
        <w:trPr/>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9199" w:type="dxa"/>
            <w:tcBorders/>
            <w:tcMar>
              <w:top w:w="0" w:type="dxa"/>
              <w:left w:w="0" w:type="dxa"/>
              <w:bottom w:w="0" w:type="dxa"/>
              <w:right w:w="0" w:type="dxa"/>
            </w:tcMar>
            <w:vAlign w:val="center"/>
          </w:tcPr>
          <w:p>
            <w:pPr>
              <w:pStyle w:val="TableContents"/>
              <w:bidi w:val="0"/>
              <w:spacing w:before="0" w:after="283"/>
              <w:jc w:val="left"/>
              <w:rPr/>
            </w:pPr>
            <w:hyperlink w:anchor="ssnc-ex5_1.htm">
              <w:r>
                <w:rPr>
                  <w:rStyle w:val="InternetLink"/>
                  <w:rFonts w:ascii="Times New Roman" w:hAnsi="Times New Roman"/>
                  <w:color w:val="0000FF"/>
                  <w:sz w:val="20"/>
                  <w:u w:val="single"/>
                </w:rPr>
                <w:t>Opinion of Davis Polk &amp; Wardwell LLP (filed herewith)</w:t>
              </w:r>
            </w:hyperlink>
          </w:p>
        </w:tc>
      </w:tr>
      <w:tr>
        <w:trPr/>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9199" w:type="dxa"/>
            <w:tcBorders/>
            <w:tcMar>
              <w:top w:w="0" w:type="dxa"/>
              <w:left w:w="0" w:type="dxa"/>
              <w:bottom w:w="0" w:type="dxa"/>
              <w:right w:w="0" w:type="dxa"/>
            </w:tcMar>
            <w:vAlign w:val="center"/>
          </w:tcPr>
          <w:p>
            <w:pPr>
              <w:pStyle w:val="TableContents"/>
              <w:bidi w:val="0"/>
              <w:spacing w:before="0" w:after="283"/>
              <w:jc w:val="left"/>
              <w:rPr/>
            </w:pPr>
            <w:hyperlink w:anchor="ssnc-ex5_1.htm">
              <w:r>
                <w:rPr>
                  <w:rStyle w:val="InternetLink"/>
                  <w:rFonts w:ascii="Times New Roman" w:hAnsi="Times New Roman"/>
                  <w:color w:val="0000FF"/>
                  <w:sz w:val="20"/>
                  <w:u w:val="single"/>
                </w:rPr>
                <w:t>Consent of Davis Polk &amp; Wardwell LLP (included in Exhibit 5.1)</w:t>
              </w:r>
            </w:hyperlink>
          </w:p>
        </w:tc>
      </w:tr>
      <w:tr>
        <w:trPr/>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9199" w:type="dxa"/>
            <w:tcBorders/>
            <w:tcMar>
              <w:top w:w="0" w:type="dxa"/>
              <w:left w:w="0" w:type="dxa"/>
              <w:bottom w:w="0" w:type="dxa"/>
              <w:right w:w="0" w:type="dxa"/>
            </w:tcMar>
            <w:vAlign w:val="center"/>
          </w:tcPr>
          <w:p>
            <w:pPr>
              <w:pStyle w:val="TableContents"/>
              <w:bidi w:val="0"/>
              <w:spacing w:before="0" w:after="283"/>
              <w:jc w:val="left"/>
              <w:rPr/>
            </w:pPr>
            <w:hyperlink w:anchor="ssnc-ex23_2.htm">
              <w:r>
                <w:rPr>
                  <w:rStyle w:val="InternetLink"/>
                  <w:rFonts w:ascii="Times New Roman" w:hAnsi="Times New Roman"/>
                  <w:color w:val="0000FF"/>
                  <w:sz w:val="20"/>
                  <w:u w:val="single"/>
                </w:rPr>
                <w:t>Consent of PricewaterhouseCoopers LLP, independent registered public accounting firm (filed herewith)</w:t>
              </w:r>
            </w:hyperlink>
          </w:p>
        </w:tc>
      </w:tr>
      <w:tr>
        <w:trPr/>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9199" w:type="dxa"/>
            <w:tcBorders/>
            <w:tcMar>
              <w:top w:w="0" w:type="dxa"/>
              <w:left w:w="0" w:type="dxa"/>
              <w:bottom w:w="0" w:type="dxa"/>
              <w:right w:w="0" w:type="dxa"/>
            </w:tcMar>
            <w:vAlign w:val="center"/>
          </w:tcPr>
          <w:p>
            <w:pPr>
              <w:pStyle w:val="TableContents"/>
              <w:bidi w:val="0"/>
              <w:spacing w:before="0" w:after="283"/>
              <w:jc w:val="left"/>
              <w:rPr/>
            </w:pPr>
            <w:hyperlink w:anchor="powerofattorney">
              <w:r>
                <w:rPr>
                  <w:rStyle w:val="InternetLink"/>
                  <w:rFonts w:ascii="Times New Roman" w:hAnsi="Times New Roman"/>
                  <w:color w:val="0000FF"/>
                  <w:sz w:val="20"/>
                  <w:u w:val="single"/>
                </w:rPr>
                <w:t>Power of Attorney (included on the signature page of this Registration Statement)</w:t>
              </w:r>
            </w:hyperlink>
          </w:p>
        </w:tc>
      </w:tr>
      <w:tr>
        <w:trPr/>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199"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"https://www.sec.gov/ix?doc=/Archives/edgar/data/0001402436/000119312526147619/ssnc-20260408.htm" \l "appendixb_ssc_technologies_holdings_inc"</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SS&amp;C Technologies Holdings, Inc. Third Amended and Restated 2023 Stock Incentive Plan (incorporated by reference to Appendix B of the Registrant's Definitive Proxy Statement on Schedule 14A for the Registrants 2026 Annual Meeting of Stockholders, as filed with the Commission on April 8, 2026) (File No. 001-34675)</w:t>
            </w:r>
            <w:r>
              <w:rPr>
                <w:rStyle w:val="InternetLink"/>
                <w:sz w:val="20"/>
                <w:u w:val="single"/>
                <w:rFonts w:ascii="Times New Roman" w:hAnsi="Times New Roman"/>
                <w:color w:val="0000FF"/>
              </w:rPr>
              <w:fldChar w:fldCharType="end"/>
            </w:r>
          </w:p>
        </w:tc>
      </w:tr>
      <w:tr>
        <w:trPr/>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9199" w:type="dxa"/>
            <w:tcBorders/>
            <w:tcMar>
              <w:top w:w="0" w:type="dxa"/>
              <w:left w:w="0" w:type="dxa"/>
              <w:bottom w:w="0" w:type="dxa"/>
              <w:right w:w="0" w:type="dxa"/>
            </w:tcMar>
            <w:vAlign w:val="center"/>
          </w:tcPr>
          <w:p>
            <w:pPr>
              <w:pStyle w:val="TableContents"/>
              <w:bidi w:val="0"/>
              <w:spacing w:before="0" w:after="283"/>
              <w:jc w:val="left"/>
              <w:rPr/>
            </w:pPr>
            <w:hyperlink w:anchor="ssnc_exfilingfees.htm">
              <w:r>
                <w:rPr>
                  <w:rStyle w:val="InternetLink"/>
                  <w:rFonts w:ascii="Times New Roman" w:hAnsi="Times New Roman"/>
                  <w:color w:val="0000FF"/>
                  <w:sz w:val="20"/>
                  <w:u w:val="single"/>
                </w:rPr>
                <w:t>Filing Fee Table (filed herewith)</w:t>
              </w:r>
            </w:hyperlink>
          </w:p>
        </w:tc>
      </w:tr>
    </w:tbl>
    <w:p>
      <w:pPr>
        <w:pStyle w:val="TextBody"/>
        <w:bidi w:val="0"/>
        <w:spacing w:before="0" w:after="20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on this 29th day of July 2026.</w:t>
      </w:r>
    </w:p>
    <w:tbl>
      <w:tblPr>
        <w:tblW w:w="6072" w:type="dxa"/>
        <w:jc w:val="left"/>
        <w:tblInd w:w="0" w:type="dxa"/>
        <w:tblLayout w:type="fixed"/>
        <w:tblCellMar>
          <w:top w:w="28" w:type="dxa"/>
          <w:left w:w="28" w:type="dxa"/>
          <w:bottom w:w="28" w:type="dxa"/>
          <w:right w:w="28" w:type="dxa"/>
        </w:tblCellMar>
      </w:tblPr>
      <w:tblGrid>
        <w:gridCol w:w="716"/>
        <w:gridCol w:w="5356"/>
      </w:tblGrid>
      <w:tr>
        <w:trPr/>
        <w:tc>
          <w:tcPr>
            <w:tcW w:w="716" w:type="dxa"/>
            <w:tcBorders/>
            <w:vAlign w:val="center"/>
          </w:tcPr>
          <w:p>
            <w:pPr>
              <w:pStyle w:val="TableContents"/>
              <w:bidi w:val="0"/>
              <w:spacing w:before="0" w:after="283"/>
              <w:jc w:val="left"/>
              <w:rPr>
                <w:sz w:val="4"/>
                <w:szCs w:val="4"/>
              </w:rPr>
            </w:pPr>
            <w:r>
              <w:rPr>
                <w:sz w:val="4"/>
                <w:szCs w:val="4"/>
              </w:rPr>
            </w:r>
          </w:p>
        </w:tc>
        <w:tc>
          <w:tcPr>
            <w:tcW w:w="5356" w:type="dxa"/>
            <w:tcBorders/>
            <w:vAlign w:val="center"/>
          </w:tcPr>
          <w:p>
            <w:pPr>
              <w:pStyle w:val="TableContents"/>
              <w:bidi w:val="0"/>
              <w:spacing w:before="0" w:after="283"/>
              <w:jc w:val="left"/>
              <w:rPr>
                <w:sz w:val="4"/>
                <w:szCs w:val="4"/>
              </w:rPr>
            </w:pPr>
            <w:r>
              <w:rPr>
                <w:sz w:val="4"/>
                <w:szCs w:val="4"/>
              </w:rPr>
            </w:r>
          </w:p>
        </w:tc>
      </w:tr>
      <w:tr>
        <w:trPr/>
        <w:tc>
          <w:tcPr>
            <w:tcW w:w="6072" w:type="dxa"/>
            <w:gridSpan w:val="2"/>
            <w:tcBorders/>
            <w:tcMar>
              <w:top w:w="0" w:type="dxa"/>
              <w:left w:w="0" w:type="dxa"/>
              <w:bottom w:w="0" w:type="dxa"/>
              <w:right w:w="0" w:type="dxa"/>
            </w:tcMar>
            <w:vAlign w:val="center"/>
          </w:tcPr>
          <w:p>
            <w:pPr>
              <w:pStyle w:val="TableContents"/>
              <w:bidi w:val="0"/>
              <w:spacing w:before="0" w:after="480"/>
              <w:jc w:val="left"/>
              <w:rPr>
                <w:rFonts w:ascii="Times New Roman" w:hAnsi="Times New Roman"/>
                <w:color w:val="000000"/>
                <w:sz w:val="20"/>
              </w:rPr>
            </w:pPr>
            <w:r>
              <w:rPr>
                <w:rFonts w:ascii="Times New Roman" w:hAnsi="Times New Roman"/>
                <w:color w:val="000000"/>
                <w:sz w:val="20"/>
              </w:rPr>
              <w:t>SS&amp;C TECHNOLOGIES HOLDINGS, INC.</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Stone</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William C. Stone</w:t>
            </w:r>
          </w:p>
        </w:tc>
      </w:tr>
      <w:tr>
        <w:trPr/>
        <w:tc>
          <w:tcPr>
            <w:tcW w:w="716" w:type="dxa"/>
            <w:tcBorders/>
            <w:tcMar>
              <w:top w:w="0" w:type="dxa"/>
              <w:left w:w="0" w:type="dxa"/>
              <w:bottom w:w="0" w:type="dxa"/>
              <w:right w:w="0" w:type="dxa"/>
            </w:tcMar>
            <w:vAlign w:val="center"/>
          </w:tcPr>
          <w:p>
            <w:pPr>
              <w:pStyle w:val="TableContents"/>
              <w:bidi w:val="0"/>
              <w:spacing w:before="0" w:after="283"/>
              <w:ind w:left="0" w:right="0" w:firstLine="555"/>
              <w:jc w:val="left"/>
              <w:rPr/>
            </w:pPr>
            <w:r>
              <w:rPr/>
              <w:t> </w:t>
            </w:r>
          </w:p>
        </w:tc>
        <w:tc>
          <w:tcPr>
            <w:tcW w:w="5356" w:type="dxa"/>
            <w:tcBorders/>
            <w:tcMar>
              <w:top w:w="0" w:type="dxa"/>
              <w:left w:w="0" w:type="dxa"/>
              <w:bottom w:w="0" w:type="dxa"/>
              <w:right w:w="0" w:type="dxa"/>
            </w:tcMar>
            <w:vAlign w:val="center"/>
          </w:tcPr>
          <w:p>
            <w:pPr>
              <w:pStyle w:val="TableContents"/>
              <w:bidi w:val="0"/>
              <w:spacing w:before="0" w:after="283"/>
              <w:ind w:left="0" w:right="0" w:firstLine="555"/>
              <w:jc w:val="left"/>
              <w:rPr>
                <w:rFonts w:ascii="Times New Roman" w:hAnsi="Times New Roman"/>
                <w:color w:val="000000"/>
                <w:sz w:val="20"/>
              </w:rPr>
            </w:pPr>
            <w:r>
              <w:rPr>
                <w:rFonts w:ascii="Times New Roman" w:hAnsi="Times New Roman"/>
                <w:color w:val="000000"/>
                <w:sz w:val="20"/>
              </w:rPr>
              <w:t>Title: Chairman of the Board and Chief Executive Officer</w:t>
            </w:r>
          </w:p>
        </w:tc>
      </w:tr>
    </w:tbl>
    <w:p>
      <w:pPr>
        <w:pStyle w:val="TextBody"/>
        <w:bidi w:val="0"/>
        <w:spacing w:before="0" w:after="200"/>
        <w:jc w:val="left"/>
        <w:rPr/>
      </w:pPr>
      <w:r>
        <w:rPr/>
        <w:t> </w:t>
      </w:r>
    </w:p>
    <w:p>
      <w:pPr>
        <w:pStyle w:val="TextBody"/>
        <w:bidi w:val="0"/>
        <w:spacing w:before="0" w:after="200"/>
        <w:jc w:val="center"/>
        <w:rPr/>
      </w:pPr>
      <w:r>
        <w:rPr/>
        <w:t> </w:t>
      </w:r>
    </w:p>
    <w:p>
      <w:pPr>
        <w:pStyle w:val="TextBody"/>
        <w:bidi w:val="0"/>
        <w:spacing w:before="0" w:after="20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center"/>
        <w:rPr>
          <w:rFonts w:ascii="Times New Roman" w:hAnsi="Times New Roman"/>
          <w:b/>
          <w:color w:val="000000"/>
          <w:sz w:val="20"/>
        </w:rPr>
      </w:pPr>
      <w:bookmarkStart w:id="2" w:name="powerofattorney"/>
      <w:bookmarkEnd w:id="2"/>
      <w:r>
        <w:rPr>
          <w:rFonts w:ascii="Times New Roman" w:hAnsi="Times New Roman"/>
          <w:b/>
          <w:color w:val="000000"/>
          <w:sz w:val="20"/>
        </w:rPr>
        <w:t>POWER OF ATTORNEY AND SIGNATURES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the undersigned officers and directors of SS&amp;C Technologies Holdings, Inc., hereby severally constitute William C. Stone, Brian N. Schell, Rahul Kanwar and Jason White, Esq. (with full power to each of them to act alone), and each of them singly, our true and lawful attorneys-in-fact and agents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SS&amp;C Technologies Holdings, Inc. to comply with all requirements of the Securities and Exchange Commission, hereby ratifying and confirming our signatures as they may be signed by said attorneys-in-fact, or any of them, to said Registration Statement and any and all amendments thereto.</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below by the following persons in the capacities and on the dates indicated.</w:t>
      </w:r>
    </w:p>
    <w:tbl>
      <w:tblPr>
        <w:tblW w:w="8268" w:type="dxa"/>
        <w:jc w:val="left"/>
        <w:tblInd w:w="0" w:type="dxa"/>
        <w:tblLayout w:type="fixed"/>
        <w:tblCellMar>
          <w:top w:w="28" w:type="dxa"/>
          <w:left w:w="28" w:type="dxa"/>
          <w:bottom w:w="28" w:type="dxa"/>
          <w:right w:w="28" w:type="dxa"/>
        </w:tblCellMar>
      </w:tblPr>
      <w:tblGrid>
        <w:gridCol w:w="2611"/>
        <w:gridCol w:w="4396"/>
        <w:gridCol w:w="1261"/>
      </w:tblGrid>
      <w:tr>
        <w:trPr/>
        <w:tc>
          <w:tcPr>
            <w:tcW w:w="2611" w:type="dxa"/>
            <w:tcBorders/>
            <w:vAlign w:val="center"/>
          </w:tcPr>
          <w:p>
            <w:pPr>
              <w:pStyle w:val="TableContents"/>
              <w:bidi w:val="0"/>
              <w:spacing w:before="0" w:after="283"/>
              <w:jc w:val="left"/>
              <w:rPr>
                <w:sz w:val="4"/>
                <w:szCs w:val="4"/>
              </w:rPr>
            </w:pPr>
            <w:r>
              <w:rPr>
                <w:sz w:val="4"/>
                <w:szCs w:val="4"/>
              </w:rPr>
            </w:r>
          </w:p>
        </w:tc>
        <w:tc>
          <w:tcPr>
            <w:tcW w:w="439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20" w:after="40"/>
              <w:jc w:val="left"/>
              <w:rPr>
                <w:rFonts w:ascii="Times New Roman" w:hAnsi="Times New Roman"/>
                <w:b/>
                <w:color w:val="000000"/>
                <w:sz w:val="20"/>
                <w:u w:val="single"/>
              </w:rPr>
            </w:pPr>
            <w:r>
              <w:rPr>
                <w:rFonts w:ascii="Times New Roman" w:hAnsi="Times New Roman"/>
                <w:b/>
                <w:color w:val="000000"/>
                <w:sz w:val="20"/>
                <w:u w:val="single"/>
              </w:rPr>
              <w:t>Signature</w:t>
            </w:r>
          </w:p>
        </w:tc>
        <w:tc>
          <w:tcPr>
            <w:tcW w:w="4396" w:type="dxa"/>
            <w:tcBorders/>
            <w:tcMar>
              <w:top w:w="0" w:type="dxa"/>
              <w:left w:w="0" w:type="dxa"/>
              <w:bottom w:w="0" w:type="dxa"/>
              <w:right w:w="0" w:type="dxa"/>
            </w:tcMar>
            <w:vAlign w:val="center"/>
          </w:tcPr>
          <w:p>
            <w:pPr>
              <w:pStyle w:val="TableContents"/>
              <w:bidi w:val="0"/>
              <w:spacing w:before="20" w:after="40"/>
              <w:jc w:val="center"/>
              <w:rPr>
                <w:rFonts w:ascii="Times New Roman" w:hAnsi="Times New Roman"/>
                <w:b/>
                <w:color w:val="000000"/>
                <w:sz w:val="20"/>
                <w:u w:val="single"/>
              </w:rPr>
            </w:pPr>
            <w:r>
              <w:rPr>
                <w:rFonts w:ascii="Times New Roman" w:hAnsi="Times New Roman"/>
                <w:b/>
                <w:color w:val="000000"/>
                <w:sz w:val="20"/>
                <w:u w:val="single"/>
              </w:rPr>
              <w:t>Title</w:t>
            </w:r>
          </w:p>
        </w:tc>
        <w:tc>
          <w:tcPr>
            <w:tcW w:w="1261" w:type="dxa"/>
            <w:tcBorders/>
            <w:tcMar>
              <w:top w:w="0" w:type="dxa"/>
              <w:left w:w="0" w:type="dxa"/>
              <w:bottom w:w="0" w:type="dxa"/>
              <w:right w:w="0" w:type="dxa"/>
            </w:tcMar>
            <w:vAlign w:val="center"/>
          </w:tcPr>
          <w:p>
            <w:pPr>
              <w:pStyle w:val="TableContents"/>
              <w:bidi w:val="0"/>
              <w:spacing w:before="20" w:after="40"/>
              <w:jc w:val="right"/>
              <w:rPr>
                <w:rFonts w:ascii="Times New Roman" w:hAnsi="Times New Roman"/>
                <w:b/>
                <w:color w:val="000000"/>
                <w:sz w:val="20"/>
                <w:u w:val="single"/>
              </w:rPr>
            </w:pPr>
            <w:r>
              <w:rPr>
                <w:rFonts w:ascii="Times New Roman" w:hAnsi="Times New Roman"/>
                <w:b/>
                <w:color w:val="000000"/>
                <w:sz w:val="20"/>
                <w:u w:val="single"/>
              </w:rPr>
              <w:t>Date</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Stone</w:t>
            </w:r>
          </w:p>
        </w:tc>
        <w:tc>
          <w:tcPr>
            <w:tcW w:w="4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and Chief Executive Officer</w:t>
              <w:br/>
              <w:t>(Principal Executive Officer)</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29, 2026</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c>
          <w:tcPr>
            <w:tcW w:w="43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N. Schell</w:t>
            </w:r>
          </w:p>
        </w:tc>
        <w:tc>
          <w:tcPr>
            <w:tcW w:w="4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and Chief Financial Officer</w:t>
              <w:br/>
              <w:t>(Principal Financial and Accounting Officer)</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29, 2026</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Brian N. Schell </w:t>
            </w:r>
          </w:p>
        </w:tc>
        <w:tc>
          <w:tcPr>
            <w:tcW w:w="43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Normand A. Boulanger</w:t>
            </w:r>
          </w:p>
        </w:tc>
        <w:tc>
          <w:tcPr>
            <w:tcW w:w="4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29, 2026</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Normand A. Boulanger</w:t>
            </w:r>
          </w:p>
        </w:tc>
        <w:tc>
          <w:tcPr>
            <w:tcW w:w="43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Smita Conjeevaram</w:t>
            </w:r>
          </w:p>
        </w:tc>
        <w:tc>
          <w:tcPr>
            <w:tcW w:w="4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29, 2026</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Smita Conjeevaram</w:t>
            </w:r>
          </w:p>
        </w:tc>
        <w:tc>
          <w:tcPr>
            <w:tcW w:w="43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Jonathan E. Michael</w:t>
            </w:r>
          </w:p>
        </w:tc>
        <w:tc>
          <w:tcPr>
            <w:tcW w:w="4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29, 2026</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E. Michael</w:t>
            </w:r>
          </w:p>
        </w:tc>
        <w:tc>
          <w:tcPr>
            <w:tcW w:w="43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Francesco Vanni d'Archirafi</w:t>
            </w:r>
          </w:p>
        </w:tc>
        <w:tc>
          <w:tcPr>
            <w:tcW w:w="4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29, 2026</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Francesco Vanni d'Archirafi</w:t>
            </w:r>
          </w:p>
        </w:tc>
        <w:tc>
          <w:tcPr>
            <w:tcW w:w="43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A. Varsano</w:t>
            </w:r>
          </w:p>
        </w:tc>
        <w:tc>
          <w:tcPr>
            <w:tcW w:w="4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29, 2026</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A. Varsano</w:t>
            </w:r>
          </w:p>
        </w:tc>
        <w:tc>
          <w:tcPr>
            <w:tcW w:w="43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Debra Walton-Ruskin</w:t>
            </w:r>
          </w:p>
        </w:tc>
        <w:tc>
          <w:tcPr>
            <w:tcW w:w="4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29, 2026</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Debra Walton-Ruskin</w:t>
            </w:r>
          </w:p>
        </w:tc>
        <w:tc>
          <w:tcPr>
            <w:tcW w:w="43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J. Zamkow</w:t>
            </w:r>
          </w:p>
        </w:tc>
        <w:tc>
          <w:tcPr>
            <w:tcW w:w="4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29, 2026</w:t>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J. Zamkow</w:t>
            </w:r>
          </w:p>
        </w:tc>
        <w:tc>
          <w:tcPr>
            <w:tcW w:w="43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bookmarkStart w:id="3" w:name="start"/>
      <w:bookmarkEnd w:id="3"/>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snc-ex5_1.htm"/>
      <w:bookmarkStart w:id="5" w:name="ksssncex5_1"/>
      <w:bookmarkStart w:id="6" w:name="ssnc-ex5_1.htm"/>
      <w:bookmarkStart w:id="7" w:name="ksssncex5_1"/>
      <w:bookmarkEnd w:id="6"/>
      <w:bookmarkEnd w:id="7"/>
      <w:r>
        <w:br w:type="page"/>
      </w:r>
    </w:p>
    <w:tbl>
      <w:tblPr>
        <w:tblW w:w="4549" w:type="dxa"/>
        <w:jc w:val="left"/>
        <w:tblInd w:w="0" w:type="dxa"/>
        <w:tblLayout w:type="fixed"/>
        <w:tblCellMar>
          <w:top w:w="28" w:type="dxa"/>
          <w:left w:w="28" w:type="dxa"/>
          <w:bottom w:w="28" w:type="dxa"/>
          <w:right w:w="28" w:type="dxa"/>
        </w:tblCellMar>
      </w:tblPr>
      <w:tblGrid>
        <w:gridCol w:w="2486"/>
        <w:gridCol w:w="1726"/>
        <w:gridCol w:w="146"/>
        <w:gridCol w:w="191"/>
      </w:tblGrid>
      <w:tr>
        <w:trPr/>
        <w:tc>
          <w:tcPr>
            <w:tcW w:w="248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1514475" cy="285750"/>
                          </a:xfrm>
                          <a:prstGeom prst="rect">
                            <a:avLst/>
                          </a:prstGeom>
                        </pic:spPr>
                      </pic:pic>
                    </a:graphicData>
                  </a:graphic>
                </wp:inline>
              </w:drawing>
            </w:r>
          </w:p>
        </w:tc>
        <w:tc>
          <w:tcPr>
            <w:tcW w:w="1726" w:type="dxa"/>
            <w:tcBorders/>
            <w:tcMar>
              <w:top w:w="0" w:type="dxa"/>
              <w:left w:w="0" w:type="dxa"/>
              <w:bottom w:w="0" w:type="dxa"/>
              <w:right w:w="0" w:type="dxa"/>
            </w:tcMar>
            <w:vAlign w:val="center"/>
          </w:tcPr>
          <w:p>
            <w:pPr>
              <w:pStyle w:val="TableContents"/>
              <w:bidi w:val="0"/>
              <w:jc w:val="left"/>
              <w:rPr>
                <w:rFonts w:ascii="Times New Roman" w:hAnsi="Times New Roman"/>
                <w:sz w:val="14"/>
              </w:rPr>
            </w:pPr>
            <w:r>
              <w:rPr>
                <w:rFonts w:ascii="Arial" w:hAnsi="Arial"/>
                <w:color w:val="140BE3"/>
                <w:sz w:val="14"/>
              </w:rPr>
              <w:t xml:space="preserve">Davis Polk &amp; Wardwell </w:t>
            </w:r>
            <w:r>
              <w:rPr>
                <w:rFonts w:ascii="Arial" w:hAnsi="Arial"/>
                <w:smallCaps/>
                <w:color w:val="140BE3"/>
                <w:sz w:val="14"/>
              </w:rPr>
              <w:t>llp</w:t>
            </w:r>
          </w:p>
          <w:p>
            <w:pPr>
              <w:pStyle w:val="TableContents"/>
              <w:bidi w:val="0"/>
              <w:jc w:val="left"/>
              <w:rPr>
                <w:rFonts w:ascii="Arial" w:hAnsi="Arial"/>
                <w:color w:val="140BE3"/>
                <w:sz w:val="14"/>
              </w:rPr>
            </w:pPr>
            <w:r>
              <w:rPr>
                <w:rFonts w:ascii="Arial" w:hAnsi="Arial"/>
                <w:color w:val="140BE3"/>
                <w:sz w:val="14"/>
              </w:rPr>
              <w:t>450 Lexington Avenue</w:t>
              <w:br/>
              <w:t>New York, NY 10017</w:t>
            </w:r>
          </w:p>
          <w:p>
            <w:pPr>
              <w:pStyle w:val="TableContents"/>
              <w:bidi w:val="0"/>
              <w:spacing w:before="0" w:after="283"/>
              <w:jc w:val="left"/>
              <w:rPr>
                <w:rFonts w:ascii="Arial" w:hAnsi="Arial"/>
                <w:color w:val="140BE3"/>
                <w:sz w:val="14"/>
              </w:rPr>
            </w:pPr>
            <w:r>
              <w:rPr>
                <w:rFonts w:ascii="Arial" w:hAnsi="Arial"/>
                <w:color w:val="140BE3"/>
                <w:sz w:val="14"/>
              </w:rPr>
              <w:t>davispolk.com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360"/>
        <w:jc w:val="right"/>
        <w:rPr>
          <w:rFonts w:ascii="Arial" w:hAnsi="Arial"/>
          <w:b/>
          <w:color w:val="000000"/>
          <w:sz w:val="21"/>
        </w:rPr>
      </w:pPr>
      <w:r>
        <w:rPr>
          <w:rFonts w:ascii="Arial" w:hAnsi="Arial"/>
          <w:b/>
          <w:color w:val="000000"/>
          <w:sz w:val="21"/>
        </w:rPr>
        <w:t>EXHIBIT 5.1</w:t>
      </w:r>
    </w:p>
    <w:p>
      <w:pPr>
        <w:pStyle w:val="TextBody"/>
        <w:bidi w:val="0"/>
        <w:spacing w:before="0" w:after="240"/>
        <w:jc w:val="center"/>
        <w:rPr>
          <w:rFonts w:ascii="Arial" w:hAnsi="Arial"/>
          <w:b/>
          <w:color w:val="000000"/>
          <w:sz w:val="21"/>
        </w:rPr>
      </w:pPr>
      <w:r>
        <w:rPr>
          <w:rFonts w:ascii="Arial" w:hAnsi="Arial"/>
          <w:b/>
          <w:color w:val="000000"/>
          <w:sz w:val="21"/>
        </w:rPr>
        <w:t>OPINION OF DAVIS POLK &amp; WARDWELL LLP</w:t>
      </w:r>
    </w:p>
    <w:p>
      <w:pPr>
        <w:pStyle w:val="TextBody"/>
        <w:bidi w:val="0"/>
        <w:spacing w:before="0" w:after="240"/>
        <w:jc w:val="left"/>
        <w:rPr>
          <w:rFonts w:ascii="Arial" w:hAnsi="Arial"/>
          <w:color w:val="000000"/>
          <w:sz w:val="20"/>
        </w:rPr>
      </w:pPr>
      <w:r>
        <w:rPr>
          <w:rFonts w:ascii="Arial" w:hAnsi="Arial"/>
          <w:color w:val="000000"/>
          <w:sz w:val="20"/>
        </w:rPr>
        <w:t>July 29, 2026</w:t>
      </w:r>
    </w:p>
    <w:p>
      <w:pPr>
        <w:pStyle w:val="TextBody"/>
        <w:bidi w:val="0"/>
        <w:jc w:val="left"/>
        <w:rPr>
          <w:rFonts w:ascii="Arial" w:hAnsi="Arial"/>
          <w:color w:val="000000"/>
          <w:sz w:val="20"/>
        </w:rPr>
      </w:pPr>
      <w:r>
        <w:rPr>
          <w:rFonts w:ascii="Arial" w:hAnsi="Arial"/>
          <w:color w:val="000000"/>
          <w:sz w:val="20"/>
        </w:rPr>
        <w:t>SS&amp;C Technologies Holdings, Inc.</w:t>
        <w:br/>
        <w:t>80 Lamberton Road</w:t>
      </w:r>
    </w:p>
    <w:p>
      <w:pPr>
        <w:pStyle w:val="TextBody"/>
        <w:bidi w:val="0"/>
        <w:jc w:val="left"/>
        <w:rPr>
          <w:rFonts w:ascii="Arial" w:hAnsi="Arial"/>
          <w:color w:val="000000"/>
          <w:sz w:val="20"/>
        </w:rPr>
      </w:pPr>
      <w:r>
        <w:rPr>
          <w:rFonts w:ascii="Arial" w:hAnsi="Arial"/>
          <w:color w:val="000000"/>
          <w:sz w:val="20"/>
        </w:rPr>
        <w:t>Windsor, Connecticut 06095</w:t>
      </w:r>
    </w:p>
    <w:p>
      <w:pPr>
        <w:pStyle w:val="TextBody"/>
        <w:bidi w:val="0"/>
        <w:spacing w:before="240" w:after="260"/>
        <w:jc w:val="left"/>
        <w:rPr>
          <w:rFonts w:ascii="Arial" w:hAnsi="Arial"/>
          <w:color w:val="000000"/>
          <w:sz w:val="20"/>
        </w:rPr>
      </w:pPr>
      <w:r>
        <w:rPr>
          <w:rFonts w:ascii="Arial" w:hAnsi="Arial"/>
          <w:color w:val="000000"/>
          <w:sz w:val="20"/>
        </w:rPr>
        <w:t>Ladies and Gentlemen:</w:t>
      </w:r>
    </w:p>
    <w:p>
      <w:pPr>
        <w:pStyle w:val="TextBody"/>
        <w:bidi w:val="0"/>
        <w:spacing w:before="0" w:after="260"/>
        <w:jc w:val="both"/>
        <w:rPr>
          <w:rFonts w:ascii="Times New Roman" w:hAnsi="Times New Roman"/>
          <w:sz w:val="20"/>
        </w:rPr>
      </w:pPr>
      <w:r>
        <w:rPr>
          <w:rFonts w:ascii="Arial" w:hAnsi="Arial"/>
          <w:color w:val="000000"/>
          <w:sz w:val="20"/>
        </w:rPr>
        <w:t>We have acted as special counsel to SS&amp;C Technologies Holdings, Inc., a Delaware corporation (the “</w:t>
      </w:r>
      <w:r>
        <w:rPr>
          <w:rFonts w:ascii="Arial" w:hAnsi="Arial"/>
          <w:b/>
          <w:color w:val="000000"/>
          <w:sz w:val="20"/>
        </w:rPr>
        <w:t>Company</w:t>
      </w:r>
      <w:r>
        <w:rPr>
          <w:rFonts w:ascii="Times New Roman" w:hAnsi="Times New Roman"/>
          <w:color w:val="000000"/>
          <w:sz w:val="20"/>
        </w:rPr>
        <w:t>”</w:t>
      </w:r>
      <w:r>
        <w:rPr>
          <w:rFonts w:ascii="Arial" w:hAnsi="Arial"/>
          <w:color w:val="000000"/>
          <w:sz w:val="20"/>
        </w:rPr>
        <w:t>), and are delivering this opinion in connection with the Company’s Registration Statement on Form S-8 (the “</w:t>
      </w:r>
      <w:r>
        <w:rPr>
          <w:rFonts w:ascii="Arial" w:hAnsi="Arial"/>
          <w:b/>
          <w:color w:val="000000"/>
          <w:sz w:val="20"/>
        </w:rPr>
        <w:t>Registration Statement</w:t>
      </w:r>
      <w:r>
        <w:rPr>
          <w:rFonts w:ascii="Times New Roman" w:hAnsi="Times New Roman"/>
          <w:color w:val="000000"/>
          <w:sz w:val="20"/>
        </w:rPr>
        <w:t>”</w:t>
      </w:r>
      <w:r>
        <w:rPr>
          <w:rFonts w:ascii="Arial" w:hAnsi="Arial"/>
          <w:color w:val="000000"/>
          <w:sz w:val="20"/>
        </w:rPr>
        <w:t>) filed with the Securities and Exchange Commission pursuant to the Securities Act of 1933, as amended, for the registration of 10,000,000 shares (the “</w:t>
      </w:r>
      <w:r>
        <w:rPr>
          <w:rFonts w:ascii="Arial" w:hAnsi="Arial"/>
          <w:b/>
          <w:color w:val="000000"/>
          <w:sz w:val="20"/>
        </w:rPr>
        <w:t>Shares</w:t>
      </w:r>
      <w:r>
        <w:rPr>
          <w:rFonts w:ascii="Times New Roman" w:hAnsi="Times New Roman"/>
          <w:color w:val="000000"/>
          <w:sz w:val="20"/>
        </w:rPr>
        <w:t>”</w:t>
      </w:r>
      <w:r>
        <w:rPr>
          <w:rFonts w:ascii="Arial" w:hAnsi="Arial"/>
          <w:color w:val="000000"/>
          <w:sz w:val="20"/>
        </w:rPr>
        <w:t>) of the Company’s Common Stock, par value $0.01 per share, issuable pursuant to the SS&amp;C Technologies Holdings, Inc. Third Amended and Restated 2023 Stock Incentive Plan (the “</w:t>
      </w:r>
      <w:r>
        <w:rPr>
          <w:rFonts w:ascii="Arial" w:hAnsi="Arial"/>
          <w:b/>
          <w:color w:val="000000"/>
          <w:sz w:val="20"/>
        </w:rPr>
        <w:t>Plan</w:t>
      </w:r>
      <w:r>
        <w:rPr>
          <w:rFonts w:ascii="Times New Roman" w:hAnsi="Times New Roman"/>
          <w:color w:val="000000"/>
          <w:sz w:val="20"/>
        </w:rPr>
        <w:t>”</w:t>
      </w:r>
      <w:r>
        <w:rPr>
          <w:rFonts w:ascii="Arial" w:hAnsi="Arial"/>
          <w:color w:val="000000"/>
          <w:sz w:val="20"/>
        </w:rPr>
        <w:t>).</w:t>
      </w:r>
    </w:p>
    <w:p>
      <w:pPr>
        <w:pStyle w:val="TextBody"/>
        <w:bidi w:val="0"/>
        <w:spacing w:before="0" w:after="240"/>
        <w:jc w:val="both"/>
        <w:rPr>
          <w:rFonts w:ascii="Arial" w:hAnsi="Arial"/>
          <w:color w:val="000000"/>
          <w:sz w:val="20"/>
        </w:rPr>
      </w:pPr>
      <w:r>
        <w:rPr>
          <w:rFonts w:ascii="Arial" w:hAnsi="Arial"/>
          <w:color w:val="000000"/>
          <w:sz w:val="20"/>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0" w:after="240"/>
        <w:jc w:val="both"/>
        <w:rPr>
          <w:rFonts w:ascii="Arial" w:hAnsi="Arial"/>
          <w:color w:val="000000"/>
          <w:sz w:val="20"/>
        </w:rPr>
      </w:pPr>
      <w:r>
        <w:rPr>
          <w:rFonts w:ascii="Arial" w:hAnsi="Arial"/>
          <w:color w:val="000000"/>
          <w:sz w:val="20"/>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pStyle w:val="TextBody"/>
        <w:bidi w:val="0"/>
        <w:spacing w:before="0" w:after="240"/>
        <w:jc w:val="both"/>
        <w:rPr>
          <w:rFonts w:ascii="Arial" w:hAnsi="Arial"/>
          <w:color w:val="000000"/>
          <w:sz w:val="20"/>
        </w:rPr>
      </w:pPr>
      <w:r>
        <w:rPr>
          <w:rFonts w:ascii="Arial" w:hAnsi="Arial"/>
          <w:color w:val="000000"/>
          <w:sz w:val="20"/>
        </w:rPr>
        <w:t>On the basis of the foregoing, we are of the opinion that the Shares have been duly authorized and, when and to the extent issued pursuant to the Plan upon receipt by the Company of the consideration for the Shares specified therein, will be validly issued, fully paid and non-assessable.</w:t>
      </w:r>
    </w:p>
    <w:p>
      <w:pPr>
        <w:pStyle w:val="TextBody"/>
        <w:bidi w:val="0"/>
        <w:spacing w:before="0" w:after="240"/>
        <w:jc w:val="both"/>
        <w:rPr>
          <w:rFonts w:ascii="Arial" w:hAnsi="Arial"/>
          <w:color w:val="000000"/>
          <w:sz w:val="20"/>
        </w:rPr>
      </w:pPr>
      <w:r>
        <w:rPr>
          <w:rFonts w:ascii="Arial" w:hAnsi="Arial"/>
          <w:color w:val="000000"/>
          <w:sz w:val="20"/>
        </w:rPr>
        <w:t>We are members of the Bar of the State of New York and the foregoing opinion is limited to the laws of the State of New York and the General Corporation Law of the State of Delaware.</w:t>
      </w:r>
    </w:p>
    <w:p>
      <w:pPr>
        <w:pStyle w:val="TextBody"/>
        <w:bidi w:val="0"/>
        <w:spacing w:before="0" w:after="240"/>
        <w:jc w:val="both"/>
        <w:rPr>
          <w:rFonts w:ascii="Arial" w:hAnsi="Arial"/>
          <w:color w:val="000000"/>
          <w:sz w:val="20"/>
        </w:rPr>
      </w:pPr>
      <w:r>
        <w:rPr>
          <w:rFonts w:ascii="Arial" w:hAnsi="Arial"/>
          <w:color w:val="000000"/>
          <w:sz w:val="20"/>
        </w:rPr>
        <w:t>We hereby consent to the filing of this opinion as an exhibit to the Registration Statement. In giving this consent, we do not admit that we are in the category of persons whose consent is required under Section 7 of the Securities Act.</w:t>
      </w:r>
    </w:p>
    <w:p>
      <w:pPr>
        <w:pStyle w:val="TextBody"/>
        <w:bidi w:val="0"/>
        <w:spacing w:before="0" w:after="240"/>
        <w:jc w:val="left"/>
        <w:rPr>
          <w:rFonts w:ascii="Arial" w:hAnsi="Arial"/>
          <w:color w:val="000000"/>
          <w:sz w:val="20"/>
        </w:rPr>
      </w:pPr>
      <w:r>
        <w:rPr>
          <w:rFonts w:ascii="Arial" w:hAnsi="Arial"/>
          <w:color w:val="000000"/>
          <w:sz w:val="20"/>
        </w:rPr>
        <w:t>Very truly yours,</w:t>
      </w:r>
    </w:p>
    <w:p>
      <w:pPr>
        <w:pStyle w:val="TextBody"/>
        <w:bidi w:val="0"/>
        <w:spacing w:before="0" w:after="240"/>
        <w:jc w:val="left"/>
        <w:rPr>
          <w:rFonts w:ascii="Arial" w:hAnsi="Arial"/>
          <w:color w:val="000000"/>
          <w:sz w:val="20"/>
        </w:rPr>
      </w:pPr>
      <w:r>
        <w:rPr>
          <w:rFonts w:ascii="Arial" w:hAnsi="Arial"/>
          <w:color w:val="000000"/>
          <w:sz w:val="20"/>
        </w:rPr>
        <w:t>/s/ Davis Polk &amp; Wardwell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8" w:name="ssnc-ex23_2.htm"/>
      <w:bookmarkStart w:id="9" w:name="ksssncex23_2"/>
      <w:bookmarkEnd w:id="8"/>
      <w:bookmarkEnd w:id="9"/>
      <w:r>
        <w:rPr>
          <w:rFonts w:ascii="Times New Roman" w:hAnsi="Times New Roman"/>
          <w:b/>
          <w:color w:val="000000"/>
          <w:sz w:val="24"/>
        </w:rPr>
        <w:t>Exhibit 23.2</w:t>
      </w:r>
      <w:r>
        <w:br w:type="page"/>
      </w:r>
    </w:p>
    <w:p>
      <w:pPr>
        <w:pStyle w:val="TextBody"/>
        <w:bidi w:val="0"/>
        <w:jc w:val="left"/>
        <w:rPr/>
      </w:pPr>
      <w:r>
        <w:rPr/>
        <w:t> </w:t>
      </w:r>
    </w:p>
    <w:p>
      <w:pPr>
        <w:pStyle w:val="TextBody"/>
        <w:bidi w:val="0"/>
        <w:spacing w:before="480" w:after="48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jc w:val="left"/>
        <w:rPr>
          <w:rFonts w:ascii="Georgia;serif" w:hAnsi="Georgia;serif"/>
          <w:color w:val="000000"/>
          <w:sz w:val="20"/>
        </w:rPr>
      </w:pPr>
      <w:r>
        <w:rPr>
          <w:rFonts w:ascii="Georgia;serif" w:hAnsi="Georgia;serif"/>
          <w:color w:val="000000"/>
          <w:sz w:val="20"/>
        </w:rPr>
        <w:t>We hereby consent to the incorporation by reference in this Registration Statement on Form S-8 of SS&amp;C Technologies Holdings, Inc. of our report dated February 26, 2026 relating to the financial statements and the effectiveness of internal control over financial reporting, which appears in SS&amp;C Technologies Holdings, Inc.’s Annual Report on Form 10-K for the year ended December 31, 2025.</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120" w:after="283"/>
        <w:jc w:val="left"/>
        <w:rPr>
          <w:rFonts w:ascii="Georgia;serif" w:hAnsi="Georgia;serif"/>
          <w:color w:val="000000"/>
          <w:sz w:val="20"/>
        </w:rPr>
      </w:pPr>
      <w:r>
        <w:rPr>
          <w:rFonts w:ascii="Georgia;serif" w:hAnsi="Georgia;serif"/>
          <w:color w:val="000000"/>
          <w:sz w:val="20"/>
        </w:rPr>
        <w:t>/s/ PricewaterhouseCoopers LLP</w:t>
      </w:r>
    </w:p>
    <w:p>
      <w:pPr>
        <w:pStyle w:val="TextBody"/>
        <w:bidi w:val="0"/>
        <w:spacing w:before="240" w:after="283"/>
        <w:jc w:val="left"/>
        <w:rPr>
          <w:rFonts w:ascii="Times New Roman" w:hAnsi="Times New Roman"/>
          <w:sz w:val="20"/>
        </w:rPr>
      </w:pPr>
      <w:r>
        <w:rPr>
          <w:rFonts w:ascii="Georgia;serif" w:hAnsi="Georgia;serif"/>
          <w:color w:val="000000"/>
          <w:sz w:val="20"/>
        </w:rPr>
        <w:br/>
        <w:t>Hartford, Connecticut</w:t>
      </w:r>
      <w:r>
        <w:rPr>
          <w:rFonts w:ascii="Georgia;serif" w:hAnsi="Georgia;serif"/>
          <w:b/>
          <w:color w:val="FF0000"/>
          <w:sz w:val="20"/>
        </w:rPr>
        <w:br/>
      </w:r>
      <w:r>
        <w:rPr>
          <w:rFonts w:ascii="Georgia;serif" w:hAnsi="Georgia;serif"/>
          <w:color w:val="000000"/>
          <w:sz w:val="20"/>
        </w:rPr>
        <w:t>July 29, 2026</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 w:name="ssnc_exfilingfees.htm"/>
      <w:bookmarkStart w:id="11" w:name="ksssnc_exfilingfees"/>
      <w:bookmarkEnd w:id="10"/>
      <w:bookmarkEnd w:id="11"/>
      <w:r>
        <w:rPr/>
        <w:t> </w:t>
      </w:r>
      <w:r>
        <w:br w:type="page"/>
      </w:r>
    </w:p>
    <w:p>
      <w:pPr>
        <w:pStyle w:val="TextBody"/>
        <w:bidi w:val="0"/>
        <w:spacing w:before="0" w:after="360"/>
        <w:jc w:val="right"/>
        <w:rPr>
          <w:rFonts w:ascii="Times New Roman" w:hAnsi="Times New Roman"/>
          <w:b/>
          <w:color w:val="000000"/>
          <w:sz w:val="24"/>
        </w:rPr>
      </w:pPr>
      <w:r>
        <w:rPr>
          <w:rFonts w:ascii="Times New Roman" w:hAnsi="Times New Roman"/>
          <w:b/>
          <w:color w:val="000000"/>
          <w:sz w:val="24"/>
        </w:rPr>
        <w:t>Exhibit 107</w:t>
      </w:r>
    </w:p>
    <w:p>
      <w:pPr>
        <w:pStyle w:val="TextBody"/>
        <w:bidi w:val="0"/>
        <w:spacing w:before="0" w:after="360"/>
        <w:jc w:val="center"/>
        <w:rPr>
          <w:rFonts w:ascii="Times New Roman" w:hAnsi="Times New Roman"/>
          <w:sz w:val="20"/>
        </w:rPr>
      </w:pPr>
      <w:r>
        <w:rPr>
          <w:rFonts w:ascii="Times New Roman" w:hAnsi="Times New Roman"/>
          <w:color w:val="000000"/>
          <w:sz w:val="24"/>
        </w:rPr>
        <w:t>Calculation of Filing Fee</w:t>
      </w:r>
      <w:r>
        <w:rPr>
          <w:rFonts w:ascii="Times New Roman" w:hAnsi="Times New Roman"/>
          <w:color w:val="000000"/>
          <w:sz w:val="20"/>
        </w:rPr>
        <w:t xml:space="preserve"> </w:t>
      </w:r>
      <w:r>
        <w:rPr>
          <w:rFonts w:ascii="Times New Roman" w:hAnsi="Times New Roman"/>
          <w:color w:val="000000"/>
          <w:sz w:val="24"/>
        </w:rPr>
        <w:t>Table</w:t>
      </w:r>
    </w:p>
    <w:p>
      <w:pPr>
        <w:pStyle w:val="TextBody"/>
        <w:bidi w:val="0"/>
        <w:jc w:val="center"/>
        <w:rPr>
          <w:rFonts w:ascii="Times New Roman" w:hAnsi="Times New Roman"/>
          <w:color w:val="000000"/>
          <w:sz w:val="24"/>
        </w:rPr>
      </w:pPr>
      <w:r>
        <w:rPr>
          <w:rFonts w:ascii="Times New Roman" w:hAnsi="Times New Roman"/>
          <w:color w:val="000000"/>
          <w:sz w:val="24"/>
        </w:rPr>
        <w:t>Form S-8</w:t>
      </w:r>
    </w:p>
    <w:p>
      <w:pPr>
        <w:pStyle w:val="TextBody"/>
        <w:bidi w:val="0"/>
        <w:jc w:val="center"/>
        <w:rPr>
          <w:rFonts w:ascii="Times New Roman" w:hAnsi="Times New Roman"/>
          <w:color w:val="000000"/>
          <w:sz w:val="24"/>
        </w:rPr>
      </w:pPr>
      <w:r>
        <w:rPr>
          <w:rFonts w:ascii="Times New Roman" w:hAnsi="Times New Roman"/>
          <w:color w:val="000000"/>
          <w:sz w:val="24"/>
        </w:rPr>
        <w:t>(Form Type)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SS&amp;C Technologies Holdings, Inc.</w:t>
      </w:r>
    </w:p>
    <w:p>
      <w:pPr>
        <w:pStyle w:val="TextBody"/>
        <w:bidi w:val="0"/>
        <w:jc w:val="center"/>
        <w:rPr>
          <w:rFonts w:ascii="Times New Roman" w:hAnsi="Times New Roman"/>
          <w:color w:val="000000"/>
          <w:sz w:val="24"/>
        </w:rPr>
      </w:pPr>
      <w:r>
        <w:rPr>
          <w:rFonts w:ascii="Times New Roman" w:hAnsi="Times New Roman"/>
          <w:color w:val="000000"/>
          <w:sz w:val="24"/>
        </w:rPr>
        <w:t>(Exact Name of Registrant as Specified in its Charter)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Newly Registered Securities</w:t>
      </w:r>
    </w:p>
    <w:p>
      <w:pPr>
        <w:pStyle w:val="TextBody"/>
        <w:bidi w:val="0"/>
        <w:spacing w:before="120" w:after="120"/>
        <w:jc w:val="left"/>
        <w:rPr/>
      </w:pPr>
      <w:r>
        <w:rPr/>
        <w:t> </w:t>
      </w:r>
    </w:p>
    <w:tbl>
      <w:tblPr>
        <w:tblW w:w="10205" w:type="dxa"/>
        <w:jc w:val="left"/>
        <w:tblInd w:w="0" w:type="dxa"/>
        <w:tblLayout w:type="fixed"/>
        <w:tblCellMar>
          <w:top w:w="28" w:type="dxa"/>
          <w:left w:w="28" w:type="dxa"/>
          <w:bottom w:w="28" w:type="dxa"/>
          <w:right w:w="28" w:type="dxa"/>
        </w:tblCellMar>
      </w:tblPr>
      <w:tblGrid>
        <w:gridCol w:w="861"/>
        <w:gridCol w:w="1226"/>
        <w:gridCol w:w="571"/>
        <w:gridCol w:w="1174"/>
        <w:gridCol w:w="1127"/>
        <w:gridCol w:w="1323"/>
        <w:gridCol w:w="1493"/>
        <w:gridCol w:w="1096"/>
        <w:gridCol w:w="1334"/>
      </w:tblGrid>
      <w:tr>
        <w:trPr/>
        <w:tc>
          <w:tcPr>
            <w:tcW w:w="86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861" w:type="dxa"/>
            <w:tcBorders>
              <w:top w:val="single" w:sz="12" w:space="0" w:color="000000"/>
              <w:left w:val="single" w:sz="12" w:space="0" w:color="000000"/>
              <w:bottom w:val="single" w:sz="12" w:space="0" w:color="000000"/>
              <w:right w:val="single" w:sz="12" w:space="0" w:color="000000"/>
            </w:tcBorders>
            <w:tcMar>
              <w:left w:w="108"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Security Type</w:t>
            </w:r>
          </w:p>
        </w:tc>
        <w:tc>
          <w:tcPr>
            <w:tcW w:w="1226"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Security Class Title</w:t>
            </w:r>
          </w:p>
        </w:tc>
        <w:tc>
          <w:tcPr>
            <w:tcW w:w="571"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Notes</w:t>
            </w:r>
          </w:p>
        </w:tc>
        <w:tc>
          <w:tcPr>
            <w:tcW w:w="1174"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Fee Calculation Rule</w:t>
            </w:r>
          </w:p>
        </w:tc>
        <w:tc>
          <w:tcPr>
            <w:tcW w:w="1127"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Amount Registered</w:t>
            </w:r>
          </w:p>
        </w:tc>
        <w:tc>
          <w:tcPr>
            <w:tcW w:w="1323"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Proposed Maximum Offering Price Per Unit</w:t>
            </w:r>
          </w:p>
        </w:tc>
        <w:tc>
          <w:tcPr>
            <w:tcW w:w="1493"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Maximum Aggregate Offering Price</w:t>
            </w:r>
          </w:p>
        </w:tc>
        <w:tc>
          <w:tcPr>
            <w:tcW w:w="1096"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Fee Rate</w:t>
            </w:r>
          </w:p>
        </w:tc>
        <w:tc>
          <w:tcPr>
            <w:tcW w:w="1334" w:type="dxa"/>
            <w:tcBorders>
              <w:top w:val="single" w:sz="12" w:space="0" w:color="000000"/>
              <w:bottom w:val="single" w:sz="12" w:space="0" w:color="000000"/>
              <w:right w:val="single" w:sz="12" w:space="0" w:color="000000"/>
            </w:tcBorders>
            <w:tcMar>
              <w:left w:w="0" w:type="dxa"/>
              <w:right w:w="108"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Amount of Registration Fee</w:t>
            </w:r>
          </w:p>
        </w:tc>
      </w:tr>
      <w:tr>
        <w:trPr/>
        <w:tc>
          <w:tcPr>
            <w:tcW w:w="861" w:type="dxa"/>
            <w:tcBorders>
              <w:left w:val="single" w:sz="12" w:space="0" w:color="000000"/>
              <w:bottom w:val="single" w:sz="12" w:space="0" w:color="000000"/>
              <w:right w:val="single" w:sz="12" w:space="0" w:color="000000"/>
            </w:tcBorders>
            <w:tcMar>
              <w:top w:w="0" w:type="dxa"/>
              <w:left w:w="108"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Equity</w:t>
            </w:r>
          </w:p>
        </w:tc>
        <w:tc>
          <w:tcPr>
            <w:tcW w:w="1226"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Common Stock, $0.01 per value per share</w:t>
            </w:r>
          </w:p>
        </w:tc>
        <w:tc>
          <w:tcPr>
            <w:tcW w:w="571"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w:t>
            </w:r>
          </w:p>
        </w:tc>
        <w:tc>
          <w:tcPr>
            <w:tcW w:w="1174"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Other</w:t>
            </w:r>
          </w:p>
        </w:tc>
        <w:tc>
          <w:tcPr>
            <w:tcW w:w="1127"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10,000,000</w:t>
            </w:r>
          </w:p>
        </w:tc>
        <w:tc>
          <w:tcPr>
            <w:tcW w:w="1323"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$66.72</w:t>
            </w:r>
          </w:p>
        </w:tc>
        <w:tc>
          <w:tcPr>
            <w:tcW w:w="1493"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$667,200,000</w:t>
            </w:r>
          </w:p>
        </w:tc>
        <w:tc>
          <w:tcPr>
            <w:tcW w:w="1096"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0.00013810</w:t>
            </w:r>
          </w:p>
        </w:tc>
        <w:tc>
          <w:tcPr>
            <w:tcW w:w="1334"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$92,140.32</w:t>
            </w:r>
          </w:p>
        </w:tc>
      </w:tr>
      <w:tr>
        <w:trPr/>
        <w:tc>
          <w:tcPr>
            <w:tcW w:w="4959" w:type="dxa"/>
            <w:gridSpan w:val="5"/>
            <w:tcBorders>
              <w:left w:val="single" w:sz="12" w:space="0" w:color="000000"/>
              <w:bottom w:val="single" w:sz="12" w:space="0" w:color="000000"/>
              <w:right w:val="single" w:sz="12" w:space="0" w:color="000000"/>
            </w:tcBorders>
            <w:tcMar>
              <w:top w:w="0" w:type="dxa"/>
              <w:left w:w="108" w:type="dxa"/>
              <w:right w:w="108"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Total Offering Amounts</w:t>
            </w:r>
          </w:p>
        </w:tc>
        <w:tc>
          <w:tcPr>
            <w:tcW w:w="1323"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493"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$667,200,000</w:t>
            </w:r>
          </w:p>
        </w:tc>
        <w:tc>
          <w:tcPr>
            <w:tcW w:w="1096"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334"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$92,140.32</w:t>
            </w:r>
          </w:p>
        </w:tc>
      </w:tr>
      <w:tr>
        <w:trPr/>
        <w:tc>
          <w:tcPr>
            <w:tcW w:w="4959" w:type="dxa"/>
            <w:gridSpan w:val="5"/>
            <w:tcBorders>
              <w:left w:val="single" w:sz="12" w:space="0" w:color="000000"/>
              <w:bottom w:val="single" w:sz="12" w:space="0" w:color="000000"/>
              <w:right w:val="single" w:sz="12" w:space="0" w:color="000000"/>
            </w:tcBorders>
            <w:tcMar>
              <w:top w:w="0" w:type="dxa"/>
              <w:left w:w="108" w:type="dxa"/>
              <w:right w:w="108"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Total Fee Offsets</w:t>
            </w:r>
          </w:p>
        </w:tc>
        <w:tc>
          <w:tcPr>
            <w:tcW w:w="1323"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493"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096"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334"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w:t>
            </w:r>
          </w:p>
        </w:tc>
      </w:tr>
      <w:tr>
        <w:trPr/>
        <w:tc>
          <w:tcPr>
            <w:tcW w:w="4959" w:type="dxa"/>
            <w:gridSpan w:val="5"/>
            <w:tcBorders>
              <w:left w:val="single" w:sz="12" w:space="0" w:color="000000"/>
              <w:bottom w:val="single" w:sz="12" w:space="0" w:color="000000"/>
              <w:right w:val="single" w:sz="12" w:space="0" w:color="000000"/>
            </w:tcBorders>
            <w:tcMar>
              <w:top w:w="0" w:type="dxa"/>
              <w:left w:w="108" w:type="dxa"/>
              <w:right w:w="108"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Net Fee Due</w:t>
            </w:r>
          </w:p>
        </w:tc>
        <w:tc>
          <w:tcPr>
            <w:tcW w:w="1323"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493"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096"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pPr>
            <w:r>
              <w:rPr/>
              <w:t> </w:t>
            </w:r>
          </w:p>
        </w:tc>
        <w:tc>
          <w:tcPr>
            <w:tcW w:w="1334" w:type="dxa"/>
            <w:tcBorders>
              <w:bottom w:val="single" w:sz="12" w:space="0" w:color="000000"/>
              <w:right w:val="single" w:sz="12"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$92,140.32</w:t>
            </w:r>
          </w:p>
        </w:tc>
      </w:tr>
    </w:tbl>
    <w:p>
      <w:pPr>
        <w:pStyle w:val="TextBody"/>
        <w:bidi w:val="0"/>
        <w:spacing w:before="20" w:after="60"/>
        <w:jc w:val="left"/>
        <w:rPr>
          <w:rFonts w:ascii="Times New Roman" w:hAnsi="Times New Roman"/>
          <w:color w:val="000000"/>
          <w:sz w:val="18"/>
        </w:rPr>
      </w:pPr>
      <w:r>
        <w:rPr>
          <w:rFonts w:ascii="Times New Roman" w:hAnsi="Times New Roman"/>
          <w:color w:val="000000"/>
          <w:sz w:val="18"/>
        </w:rPr>
        <w:t xml:space="preserve">(1) </w:t>
      </w:r>
    </w:p>
    <w:p>
      <w:pPr>
        <w:pStyle w:val="TextBody"/>
        <w:bidi w:val="0"/>
        <w:spacing w:before="0" w:after="60"/>
        <w:jc w:val="left"/>
        <w:rPr>
          <w:rFonts w:ascii="Times New Roman" w:hAnsi="Times New Roman"/>
          <w:sz w:val="20"/>
        </w:rPr>
      </w:pPr>
      <w:r>
        <w:rPr>
          <w:rFonts w:ascii="Times New Roman" w:hAnsi="Times New Roman"/>
          <w:color w:val="000000"/>
          <w:sz w:val="18"/>
        </w:rPr>
        <w:t>(a) This Registration Statement on Form S-8 covers 10,000,000 shares of common stock, par value $0.01</w:t>
      </w:r>
      <w:r>
        <w:rPr>
          <w:rFonts w:ascii="Times New Roman" w:hAnsi="Times New Roman"/>
          <w:color w:val="000000"/>
          <w:sz w:val="20"/>
        </w:rPr>
        <w:t xml:space="preserve"> </w:t>
      </w:r>
      <w:r>
        <w:rPr>
          <w:rFonts w:ascii="Times New Roman" w:hAnsi="Times New Roman"/>
          <w:color w:val="000000"/>
          <w:sz w:val="18"/>
        </w:rPr>
        <w:t>per share (“Shares”), of SS&amp;C Technologies Holdings, Inc. (the “Registrant”) (i) authorized for issuance under the Third Amended and Restated 2023 Stock Incentive Plan (the “Plan”) and (ii) pursuant to Rule 416(a) under the Securities Act of 1933, as amended (the “Securities Act”), any additional Shares that may become issuable under the Plan by reason of any stock dividend, stock split, or other similar transaction.</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(b) Estimated pursuant to Rule 457(c) and Rule 457(h) under the Securities Act, solely for the purpose of computing the registration fee, based on the average of the high and low prices reported for the Registrant’s Shares on the NASDAQ Global Select Market on July 23, 2026.</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(c) Rounded to the nearest cent.</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(d) There are no fee offsets.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2436/000119312526076745/ssnc-20251231.htm" TargetMode="External"/><Relationship Id="rId3" Type="http://schemas.openxmlformats.org/officeDocument/2006/relationships/hyperlink" Target="https://www.sec.gov/Archives/edgar/data/1402436/000119312526147619/ssnc-20260408.htm" TargetMode="External"/><Relationship Id="rId4" Type="http://schemas.openxmlformats.org/officeDocument/2006/relationships/hyperlink" Target="https://www.sec.gov/Archives/edgar/data/1402436/000119312526197201/ssnc-20260331.htm" TargetMode="External"/><Relationship Id="rId5" Type="http://schemas.openxmlformats.org/officeDocument/2006/relationships/hyperlink" Target="https://www.sec.gov/Archives/edgar/data/1402436/000119312526236866/ssnc-20260520.htm" TargetMode="External"/><Relationship Id="rId6" Type="http://schemas.openxmlformats.org/officeDocument/2006/relationships/hyperlink" Target="https://www.sec.gov/Archives/edgar/data/1402436/000156459020007695/ssnc-ex43_12.htm" TargetMode="External"/><Relationship Id="rId7" Type="http://schemas.openxmlformats.org/officeDocument/2006/relationships/hyperlink" Target="https://www.sec.gov/Archives/edgar/data/1402436/000156459016023009/ssnc-ex31_283.htm" TargetMode="External"/><Relationship Id="rId8" Type="http://schemas.openxmlformats.org/officeDocument/2006/relationships/hyperlink" Target="https://www.sec.gov/Archives/edgar/data/1402436/000095017022025610/ssnc-ex3_1.htm" TargetMode="External"/><Relationship Id="rId9" Type="http://schemas.openxmlformats.org/officeDocument/2006/relationships/image" Target="media/image1.gif"/><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2059</Words>
  <Characters>11181</Characters>
  <CharactersWithSpaces>13165</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