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ind w:left="700" w:right="20" w:hanging="679"/>
        <w:spacing w:after="0" w:line="249" w:lineRule="auto"/>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-321310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21" w:lineRule="exact"/>
        <w:rPr>
          <w:sz w:val="24"/>
          <w:szCs w:val="24"/>
          <w:color w:val="auto"/>
        </w:rPr>
      </w:pPr>
    </w:p>
    <w:p>
      <w:pPr>
        <w:ind w:left="700" w:hanging="679"/>
        <w:spacing w:after="0" w:line="249" w:lineRule="auto"/>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40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64770</wp:posOffset>
            </wp:positionV>
            <wp:extent cx="1885950" cy="109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SS&amp;C TECHNOLOGIES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619" w:right="379" w:bottom="1440" w:gutter="0" w:footer="0" w:header="0"/>
        </w:sectPr>
      </w:pPr>
    </w:p>
    <w:p>
      <w:pPr>
        <w:spacing w:after="0" w:line="21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23" w:lineRule="exact"/>
        <w:rPr>
          <w:sz w:val="24"/>
          <w:szCs w:val="24"/>
          <w:color w:val="auto"/>
        </w:rPr>
      </w:pPr>
    </w:p>
    <w:p>
      <w:pPr>
        <w:sectPr>
          <w:pgSz w:w="11900" w:h="16838" w:orient="portrait"/>
          <w:cols w:equalWidth="0" w:num="2">
            <w:col w:w="7340" w:space="720"/>
            <w:col w:w="3140"/>
          </w:cols>
          <w:pgMar w:left="320" w:top="619" w:right="37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3" w:lineRule="exact"/>
        <w:rPr>
          <w:sz w:val="24"/>
          <w:szCs w:val="24"/>
          <w:color w:val="auto"/>
        </w:rPr>
      </w:pPr>
    </w:p>
    <w:p>
      <w:pPr>
        <w:sectPr>
          <w:pgSz w:w="11900" w:h="16838" w:orient="portrait"/>
          <w:cols w:equalWidth="0" w:num="2">
            <w:col w:w="7340" w:space="720"/>
            <w:col w:w="3140"/>
          </w:cols>
          <w:pgMar w:left="320" w:top="619" w:right="37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b w:val="1"/>
          <w:bCs w:val="1"/>
          <w:color w:val="auto"/>
        </w:rPr>
        <w:t>80 Lamberton Road</w:t>
      </w:r>
    </w:p>
    <w:p>
      <w:pPr>
        <w:spacing w:after="0" w:line="1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Windsor, CT 06095</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00"/>
          </w:cols>
          <w:pgMar w:left="320" w:top="619" w:right="379" w:bottom="1440" w:gutter="0" w:footer="0" w:header="0"/>
          <w:type w:val="continuous"/>
        </w:sectPr>
      </w:pPr>
    </w:p>
    <w:p>
      <w:pPr>
        <w:spacing w:after="0" w:line="163" w:lineRule="exact"/>
        <w:rPr>
          <w:sz w:val="24"/>
          <w:szCs w:val="24"/>
          <w:color w:val="auto"/>
        </w:rPr>
      </w:pPr>
    </w:p>
    <w:p>
      <w:pPr>
        <w:ind w:right="4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80" w:firstLine="509"/>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120" w:firstLine="509"/>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jc w:val="both"/>
        <w:ind w:right="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3"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8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4"/>
        </w:trPr>
        <w:tc>
          <w:tcPr>
            <w:tcW w:w="2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8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254,780,904 shares of the registrant’s common stock outstanding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396875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9"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04"/>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2022 and December 31,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2021, filed with the Securities and Exchange Commission on February 25, 2022,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6"/>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$18.9 and $17.9, respectively (Note 3)</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4,127.7</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4,252.2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6)</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9,055.2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8,045.5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$3,028.8 and $2,890.5, respectively</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4,498.1</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18,891.1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17,333.0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 and Stockholders’ Equity</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7)</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3,806.1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7)</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12,647.5</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(Note 3)</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 (Note 8):</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300" w:type="dxa"/>
            <w:vAlign w:val="bottom"/>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30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 shares issued</w:t>
            </w:r>
          </w:p>
        </w:tc>
        <w:tc>
          <w:tcPr>
            <w:tcW w:w="30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270.1 million shares</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269.1 million shares issued, respectively, and 254.8 million shares and 256.0 million shares</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 respectively</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4,984.1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(270.2 )</w:t>
            </w:r>
          </w:p>
        </w:tc>
        <w:tc>
          <w:tcPr>
            <w:tcW w:w="2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(242.0 )</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2,414.0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2,293.0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Less: cost of common stock in treasury, 15.4 and 13.1 million shares, respectively</w:t>
            </w: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(954.9 )</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(784.0 )</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6,175.7</w:t>
            </w:r>
          </w:p>
        </w:tc>
        <w:tc>
          <w:tcPr>
            <w:tcW w:w="2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6,165.4</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(Note 9)</w:t>
            </w:r>
          </w:p>
        </w:tc>
        <w:tc>
          <w:tcPr>
            <w:tcW w:w="3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6,232.7</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redeemable noncontrolling interest and stockholders’ equity</w:t>
            </w: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18,891.1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17,333.0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-3856990</wp:posOffset>
            </wp:positionV>
            <wp:extent cx="43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-3839845</wp:posOffset>
            </wp:positionV>
            <wp:extent cx="43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-3856990</wp:posOffset>
            </wp:positionV>
            <wp:extent cx="4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-3839845</wp:posOffset>
            </wp:positionV>
            <wp:extent cx="43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-2150745</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-2150745</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-728345</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-728345</wp:posOffset>
            </wp:positionV>
            <wp:extent cx="431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43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-265430</wp:posOffset>
            </wp:positionV>
            <wp:extent cx="43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-265430</wp:posOffset>
            </wp:positionV>
            <wp:extent cx="43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4600"/>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4"/>
          <w:szCs w:val="14"/>
          <w:b w:val="1"/>
          <w:bCs w:val="1"/>
          <w:color w:val="auto"/>
        </w:rPr>
        <w:t>(In millions, except per share data)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3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6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of revenues</w:t>
            </w: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(49.3 )</w:t>
            </w:r>
          </w:p>
        </w:tc>
        <w:tc>
          <w:tcPr>
            <w:tcW w:w="1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(51.4 )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(9.0 )</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6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116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116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1160" w:type="dxa"/>
            <w:vAlign w:val="bottom"/>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40" w:type="dxa"/>
            <w:vAlign w:val="bottom"/>
          </w:tcPr>
          <w:p>
            <w:pPr>
              <w:spacing w:after="0"/>
              <w:rPr>
                <w:sz w:val="17"/>
                <w:szCs w:val="17"/>
                <w:color w:val="auto"/>
              </w:rPr>
            </w:pPr>
          </w:p>
        </w:tc>
        <w:tc>
          <w:tcPr>
            <w:tcW w:w="1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common and common equivalent shares outstanding</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unrealized gain on interest rate swaps</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1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(28.3 )</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1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(1.1 )</w:t>
            </w:r>
          </w:p>
        </w:tc>
        <w:tc>
          <w:tcPr>
            <w:tcW w:w="1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1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(28.2 )</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SS&amp;C common stockholders</w:t>
            </w:r>
          </w:p>
        </w:tc>
        <w:tc>
          <w:tcPr>
            <w:tcW w:w="116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-4817110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-4817110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-4285615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-4285615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-3488055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-3488055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-2167890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-2150745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-2167890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-2150745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-574040</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-574040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3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(1.3 )</w:t>
            </w: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bargain purchase</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losses (gains) on investments</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 net</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(33.3 )</w:t>
            </w: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(32.4 )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(186.5 )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(6.9 )</w:t>
            </w: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(1,553.1 )</w:t>
            </w: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(24.8 )</w:t>
            </w: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Investments in securities</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(1,583.5 )</w:t>
            </w: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(48.2 )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(12.4 )</w:t>
            </w:r>
          </w:p>
        </w:tc>
        <w:tc>
          <w:tcPr>
            <w:tcW w:w="118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(decrease) increase in client funds obligations</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(156.9 )</w:t>
            </w: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(0.5 )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(170.9 )</w:t>
            </w:r>
          </w:p>
        </w:tc>
        <w:tc>
          <w:tcPr>
            <w:tcW w:w="1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(181.4 )</w:t>
            </w: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(51.1 )</w:t>
            </w:r>
          </w:p>
        </w:tc>
        <w:tc>
          <w:tcPr>
            <w:tcW w:w="1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0" w:type="dxa"/>
            <w:vAlign w:val="bottom"/>
          </w:tcPr>
          <w:p>
            <w:pPr>
              <w:spacing w:after="0"/>
              <w:rPr>
                <w:sz w:val="1"/>
                <w:szCs w:val="1"/>
                <w:color w:val="auto"/>
              </w:rPr>
            </w:pPr>
          </w:p>
        </w:tc>
      </w:tr>
      <w:tr>
        <w:trPr>
          <w:trHeight w:val="196"/>
        </w:trPr>
        <w:tc>
          <w:tcPr>
            <w:tcW w:w="7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22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16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(163.6 )</w:t>
            </w: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3,171.4</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3,007.8</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3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6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2,446.3</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3,007.8</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-3916680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-3916680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-2870835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-2870835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-1580515</wp:posOffset>
            </wp:positionV>
            <wp:extent cx="7683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-1580515</wp:posOffset>
            </wp:positionV>
            <wp:extent cx="7683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-1293495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-1293495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-1028065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-1028065</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4"/>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40" w:type="dxa"/>
            <w:vAlign w:val="bottom"/>
            <w:gridSpan w:val="4"/>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w:t>
            </w:r>
          </w:p>
        </w:tc>
        <w:tc>
          <w:tcPr>
            <w:tcW w:w="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ing</w:t>
            </w:r>
          </w:p>
        </w:tc>
        <w:tc>
          <w:tcPr>
            <w:tcW w:w="14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6"/>
                <w:szCs w:val="16"/>
                <w:color w:val="auto"/>
              </w:rPr>
            </w:pPr>
          </w:p>
        </w:tc>
        <w:tc>
          <w:tcPr>
            <w:tcW w:w="1240" w:type="dxa"/>
            <w:vAlign w:val="bottom"/>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6"/>
                <w:szCs w:val="16"/>
                <w:color w:val="auto"/>
              </w:rPr>
            </w:pPr>
          </w:p>
        </w:tc>
        <w:tc>
          <w:tcPr>
            <w:tcW w:w="7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(0.8 )</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(28.3 )</w:t>
            </w: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Defined benefit pension adjustment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auto"/>
              </w:rPr>
              <w:t>Exercise of options, net of withholding</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w:t>
            </w: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dividends declared - $0.20 per share</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(51.1 )</w:t>
            </w:r>
          </w:p>
        </w:tc>
        <w:tc>
          <w:tcPr>
            <w:tcW w:w="1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(51.1 )</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(170.9 )</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(170.9 )</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4,984.1</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left w:val="single" w:sz="8" w:color="CFF0FC"/>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(954.9</w:t>
            </w:r>
          </w:p>
        </w:tc>
        <w:tc>
          <w:tcPr>
            <w:tcW w:w="240" w:type="dxa"/>
            <w:vAlign w:val="bottom"/>
            <w:tcBorders>
              <w:left w:val="single" w:sz="8" w:color="CFF0FC"/>
              <w:bottom w:val="single" w:sz="8" w:color="CFF0FC"/>
              <w:right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30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4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w:t>
            </w:r>
          </w:p>
        </w:tc>
        <w:tc>
          <w:tcPr>
            <w:tcW w:w="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ing</w:t>
            </w:r>
          </w:p>
        </w:tc>
        <w:tc>
          <w:tcPr>
            <w:tcW w:w="14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6"/>
                <w:szCs w:val="16"/>
                <w:color w:val="auto"/>
              </w:rPr>
            </w:pPr>
          </w:p>
        </w:tc>
        <w:tc>
          <w:tcPr>
            <w:tcW w:w="7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4,544.0</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60" w:type="dxa"/>
            <w:vAlign w:val="bottom"/>
            <w:tcBorders>
              <w:right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Exercise of options, net of withholding</w:t>
            </w: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9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780" w:type="dxa"/>
            <w:vAlign w:val="bottom"/>
            <w:tcBorders>
              <w:right w:val="single" w:sz="8" w:color="CFF0FC"/>
            </w:tcBorders>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taxes</w:t>
            </w:r>
          </w:p>
        </w:tc>
        <w:tc>
          <w:tcPr>
            <w:tcW w:w="76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3"/>
            <w:vMerge w:val="continue"/>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78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$0.16 per share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(41.2 )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(41.2 )</w:t>
            </w:r>
          </w:p>
        </w:tc>
        <w:tc>
          <w:tcPr>
            <w:tcW w:w="0" w:type="dxa"/>
            <w:vAlign w:val="bottom"/>
          </w:tcPr>
          <w:p>
            <w:pPr>
              <w:spacing w:after="0"/>
              <w:rPr>
                <w:sz w:val="1"/>
                <w:szCs w:val="1"/>
                <w:color w:val="auto"/>
              </w:rPr>
            </w:pPr>
          </w:p>
        </w:tc>
      </w:tr>
      <w:tr>
        <w:trPr>
          <w:trHeight w:val="203"/>
        </w:trPr>
        <w:tc>
          <w:tcPr>
            <w:tcW w:w="3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(181.4 )</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(181.4 )</w:t>
            </w:r>
          </w:p>
        </w:tc>
        <w:tc>
          <w:tcPr>
            <w:tcW w:w="0" w:type="dxa"/>
            <w:vAlign w:val="bottom"/>
          </w:tcPr>
          <w:p>
            <w:pPr>
              <w:spacing w:after="0"/>
              <w:rPr>
                <w:sz w:val="1"/>
                <w:szCs w:val="1"/>
                <w:color w:val="auto"/>
              </w:rPr>
            </w:pPr>
          </w:p>
        </w:tc>
      </w:tr>
      <w:tr>
        <w:trPr>
          <w:trHeight w:val="20"/>
        </w:trPr>
        <w:tc>
          <w:tcPr>
            <w:tcW w:w="306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2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4,600.5</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(192.1 )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(477.5 )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-2493645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-2476500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-2493645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-2476500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-2493645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-2493645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-2493645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-2493645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-2493645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-2493645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-2476500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-162560</wp:posOffset>
            </wp:positionV>
            <wp:extent cx="43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-162560</wp:posOffset>
            </wp:positionV>
            <wp:extent cx="43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-162560</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-162560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-162560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-162560</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right="5300"/>
        <w:spacing w:after="0" w:line="260"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NOTES TO CONDENSED CONSOLIDATED FINANCIAL STATEMENTS (Unaudited)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and Principles of Consolidation</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2021, filed with the Securities and Exchange Commission (the “SEC”) on February 25, 2022 (the “2021 Form 10-K”). The inputs into our judgments and estimates consider the economic implications of COVID-19 on our critical and significant accounting estimates.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2022, the results of our operations for the three months ended March 31, 2022 and 2021, and our cash flows for the three months ended March 31, 2022 and 2021.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2021, which were included in the 2021 Form 10-K. The December 31, 2021 Consolidated Balance Sheet data were derived from audited financial statements but do not include all disclosures required by GAAP for annual financial statements. The results of operations for the three months ended March 31, 2022 are not necessarily indicative of the expected results for any subsequent quarters or the full year.</w:t>
      </w:r>
    </w:p>
    <w:p>
      <w:pPr>
        <w:spacing w:after="0" w:line="162"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ASU 2021-08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on the acquisition date. Generally, this new guidance will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 prospective basis. The adoption of this standard did not have a material impact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 Not Yet Effective</w:t>
      </w:r>
    </w:p>
    <w:p>
      <w:pPr>
        <w:spacing w:after="0" w:line="21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ASU 2020-04 provides optional expedients and exceptions for applying GAAP if certain criteria are met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In January 2021, the FASB issued Update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300" w:type="dxa"/>
            <w:vAlign w:val="bottom"/>
          </w:tcPr>
          <w:p>
            <w:pPr>
              <w:spacing w:after="0"/>
              <w:rPr>
                <w:sz w:val="18"/>
                <w:szCs w:val="18"/>
                <w:color w:val="auto"/>
              </w:rPr>
            </w:pPr>
          </w:p>
        </w:tc>
      </w:tr>
      <w:tr>
        <w:trPr>
          <w:trHeight w:val="21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(467.8 )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(450.7 )</w:t>
            </w:r>
          </w:p>
        </w:tc>
      </w:tr>
      <w:tr>
        <w:trPr>
          <w:trHeight w:val="210"/>
        </w:trPr>
        <w:tc>
          <w:tcPr>
            <w:tcW w:w="6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300" w:type="dxa"/>
            <w:vAlign w:val="bottom"/>
            <w:tcBorders>
              <w:top w:val="single" w:sz="8" w:color="CFF0FC"/>
            </w:tcBorders>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-453390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-453390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-170815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$19.2 million and $24.9 million, respectively. During the three months ended March 31, 2022, property, plant and equipment assets, net of $17.3 million were classified as held for sale and are presented in prepaid expenses and other current assets in our condensed consolidated balance sheet.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399"/>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Realized and unrealized gains and losses for our equity securities are as follows (in millions):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gains on equity securities held as of the end of the period</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(losses) gains for equity securities sold during the period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(losses) gains recognized in other income, net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-1165225</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-1148080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-1165225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-1148080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40" w:firstLine="562"/>
        <w:spacing w:after="0" w:line="250"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37" w:lineRule="exact"/>
        <w:rPr>
          <w:sz w:val="20"/>
          <w:szCs w:val="20"/>
          <w:color w:val="auto"/>
        </w:rPr>
      </w:pPr>
    </w:p>
    <w:p>
      <w:pPr>
        <w:ind w:firstLine="569"/>
        <w:spacing w:after="0" w:line="247" w:lineRule="auto"/>
        <w:rPr>
          <w:sz w:val="20"/>
          <w:szCs w:val="20"/>
          <w:color w:val="auto"/>
        </w:rPr>
      </w:pPr>
      <w:r>
        <w:rPr>
          <w:rFonts w:ascii="Times New Roman" w:cs="Times New Roman" w:eastAsia="Times New Roman" w:hAnsi="Times New Roman"/>
          <w:sz w:val="18"/>
          <w:szCs w:val="18"/>
          <w:color w:val="auto"/>
        </w:rPr>
        <w:t>As of March 31, 2022 and December 31, 2021,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40" w:type="dxa"/>
            <w:vAlign w:val="bottom"/>
          </w:tcPr>
          <w:p>
            <w:pPr>
              <w:jc w:val="center"/>
              <w:ind w:left="10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left="16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4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80" w:type="dxa"/>
            <w:vAlign w:val="bottom"/>
          </w:tcPr>
          <w:p>
            <w:pPr>
              <w:spacing w:after="0"/>
              <w:rPr>
                <w:sz w:val="12"/>
                <w:szCs w:val="12"/>
                <w:color w:val="auto"/>
              </w:rPr>
            </w:pPr>
          </w:p>
        </w:tc>
      </w:tr>
      <w:tr>
        <w:trPr>
          <w:trHeight w:val="200"/>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7"/>
                <w:szCs w:val="17"/>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30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(17.5 )</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(17.5 )</w:t>
            </w:r>
          </w:p>
        </w:tc>
        <w:tc>
          <w:tcPr>
            <w:tcW w:w="13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49"/>
        </w:trPr>
        <w:tc>
          <w:tcPr>
            <w:tcW w:w="3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3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99"/>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40" w:type="dxa"/>
            <w:vAlign w:val="bottom"/>
          </w:tcPr>
          <w:p>
            <w:pPr>
              <w:jc w:val="center"/>
              <w:ind w:left="10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left="16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4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80" w:type="dxa"/>
            <w:vAlign w:val="bottom"/>
          </w:tcPr>
          <w:p>
            <w:pPr>
              <w:spacing w:after="0"/>
              <w:rPr>
                <w:sz w:val="12"/>
                <w:szCs w:val="12"/>
                <w:color w:val="auto"/>
              </w:rPr>
            </w:pPr>
          </w:p>
        </w:tc>
      </w:tr>
      <w:tr>
        <w:trPr>
          <w:trHeight w:val="200"/>
        </w:trPr>
        <w:tc>
          <w:tcPr>
            <w:tcW w:w="3320" w:type="dxa"/>
            <w:vAlign w:val="bottom"/>
          </w:tcPr>
          <w:p>
            <w:pPr>
              <w:spacing w:after="0"/>
              <w:rPr>
                <w:sz w:val="17"/>
                <w:szCs w:val="17"/>
                <w:color w:val="auto"/>
              </w:rPr>
            </w:pP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7"/>
                <w:szCs w:val="17"/>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0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(21.3 )</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(21.3 )</w:t>
            </w:r>
          </w:p>
        </w:tc>
        <w:tc>
          <w:tcPr>
            <w:tcW w:w="13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49"/>
        </w:trPr>
        <w:tc>
          <w:tcPr>
            <w:tcW w:w="3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3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-1362710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-1344930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-1362710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-1344930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-1362710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-1344930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-1362710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-1344930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and Funds receivable and funds held on behalf of clients on the Condensed Consolidated Balance Sheet.</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Condensed Consolidated Balance Sheet.</w:t>
      </w: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w:t>
      </w:r>
    </w:p>
    <w:p>
      <w:pPr>
        <w:spacing w:after="0" w:line="165" w:lineRule="exact"/>
        <w:rPr>
          <w:sz w:val="20"/>
          <w:szCs w:val="20"/>
          <w:color w:val="auto"/>
        </w:rPr>
      </w:pPr>
    </w:p>
    <w:p>
      <w:pPr>
        <w:ind w:right="20" w:firstLine="562"/>
        <w:spacing w:after="0" w:line="246"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tables above. Our investments in private equity funds were $15.1 million and $15.5 million at March 31, 2022 and December 31, 2021, respectively, of which $12.1 million and $12.7 million, respectively, were measured using net asset value as a practical expedient for fair value and $3.0 million and $2.8 million, respectively, were accounted for under the equity method of accounting. The investments in private equity funds represent underlying investments in domestic and international markets across various industry sectors.</w:t>
      </w:r>
    </w:p>
    <w:p>
      <w:pPr>
        <w:spacing w:after="0" w:line="141" w:lineRule="exact"/>
        <w:rPr>
          <w:sz w:val="20"/>
          <w:szCs w:val="20"/>
          <w:color w:val="auto"/>
        </w:rPr>
      </w:pPr>
    </w:p>
    <w:p>
      <w:pPr>
        <w:jc w:val="both"/>
        <w:ind w:right="360" w:firstLine="562"/>
        <w:spacing w:after="0" w:line="258"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142" w:lineRule="exact"/>
        <w:rPr>
          <w:sz w:val="20"/>
          <w:szCs w:val="20"/>
          <w:color w:val="auto"/>
        </w:rPr>
      </w:pPr>
    </w:p>
    <w:p>
      <w:pPr>
        <w:jc w:val="both"/>
        <w:ind w:right="240" w:firstLine="562"/>
        <w:spacing w:after="0" w:line="250" w:lineRule="auto"/>
        <w:rPr>
          <w:sz w:val="20"/>
          <w:szCs w:val="20"/>
          <w:color w:val="auto"/>
        </w:rPr>
      </w:pPr>
      <w:r>
        <w:rPr>
          <w:rFonts w:ascii="Times New Roman" w:cs="Times New Roman" w:eastAsia="Times New Roman" w:hAnsi="Times New Roman"/>
          <w:sz w:val="18"/>
          <w:szCs w:val="18"/>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4—Unconsolidated Affiliates</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Excess carrying</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Excess carrying</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2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14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net assets</w:t>
            </w:r>
          </w:p>
        </w:tc>
        <w:tc>
          <w:tcPr>
            <w:tcW w:w="1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net assets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020" w:type="dxa"/>
            <w:vAlign w:val="bottom"/>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02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020" w:type="dxa"/>
            <w:vAlign w:val="bottom"/>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02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620" w:type="dxa"/>
            <w:vAlign w:val="bottom"/>
            <w:gridSpan w:val="3"/>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-642620</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-642620</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-642620</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-642620</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120" w:firstLine="562"/>
        <w:spacing w:after="0" w:line="244"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 of Comprehensive Income. One of the unconsolidated affiliates is a party to an interest rate swap agreement. We record our proportionate share of the change in value of the interest rate swap agreement in Accumulated other comprehensive loss. Amounts reclassified from Accumulated other comprehensive loss to Net income are recorded in Equity in earnings of unconsolidated affiliates, net on the Condensed Consolidated Statement of Comprehensive Income.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 in earnings of unconsolidated affiliates, net are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718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8"/>
                <w:szCs w:val="18"/>
                <w:color w:val="auto"/>
              </w:rPr>
            </w:pPr>
          </w:p>
        </w:tc>
        <w:tc>
          <w:tcPr>
            <w:tcW w:w="15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36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32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9"/>
        </w:trPr>
        <w:tc>
          <w:tcPr>
            <w:tcW w:w="71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FF0FC"/>
            </w:tcBorders>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 Prism</w:t>
      </w:r>
    </w:p>
    <w:p>
      <w:pPr>
        <w:spacing w:after="0" w:line="106"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On March 16, 2022, we purchased all of the outstanding stock of Blue Prism Group plc (“Blue Prism”) for approximately $1.6 billion in cash, plus the costs of effecting the transaction pursuant to a Scheme of Arrangement entered into under the U.K. Takeover Code. We financed the acquisition by entering into an Incremental Joinder (the “Incremental Joinder”) to the amended and restated credit agreement. Blue Prism is a global leader in enterprise robotics process automation and intelligent automation.</w:t>
      </w:r>
    </w:p>
    <w:p>
      <w:pPr>
        <w:spacing w:after="0" w:line="150"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The net assets and results of operations of Blue Prism have been included in our Condensed Consolidated Financial Statements from March 16, 2022. The preliminary fair value of the intangible assets, consisting of customer relationships, completed technologies and trade names, was determined using the income approach. The intangible assets are amortized each year based on the ratio that the projected cash flows for the intangible assets bear to the total of current and expected future cash flows for the intangible assets. The customer relationships, completed technologies and trade name are expected to be amortized over approximately ten, six and twelve years, respectively, in each case the estimated life of the assets. The remainder of the purchase price was allocated to goodwill and a portion is tax deductible.</w:t>
      </w:r>
    </w:p>
    <w:p>
      <w:pPr>
        <w:spacing w:after="0" w:line="15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are $10.8 million in revenues from Blue Prism’s operations included in the Condensed Consolidated Statements of Comprehensive Income for the three months ended March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Hubwise</w:t>
      </w:r>
    </w:p>
    <w:p>
      <w:pPr>
        <w:spacing w:after="0" w:line="106" w:lineRule="exact"/>
        <w:rPr>
          <w:sz w:val="20"/>
          <w:szCs w:val="20"/>
          <w:color w:val="auto"/>
        </w:rPr>
      </w:pPr>
    </w:p>
    <w:p>
      <w:pPr>
        <w:ind w:right="280" w:firstLine="360"/>
        <w:spacing w:after="0" w:line="258" w:lineRule="auto"/>
        <w:rPr>
          <w:sz w:val="20"/>
          <w:szCs w:val="20"/>
          <w:color w:val="auto"/>
        </w:rPr>
      </w:pPr>
      <w:r>
        <w:rPr>
          <w:rFonts w:ascii="Times New Roman" w:cs="Times New Roman" w:eastAsia="Times New Roman" w:hAnsi="Times New Roman"/>
          <w:sz w:val="18"/>
          <w:szCs w:val="18"/>
          <w:color w:val="auto"/>
        </w:rPr>
        <w:t>On March 25, 2022, we purchased all of the outstanding stock of Hubwise Holdings Limited (“Hubwise”) for approximately $75.0 million in cash, plus the costs of effecting the transaction. Hubwise is a regulated business-to-business investment platform serving advisers, discretionary wealth managers and self-directed direct-to-consumer propositions.</w:t>
      </w:r>
    </w:p>
    <w:p>
      <w:pPr>
        <w:spacing w:after="0" w:line="129"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The net assets and results of operations of Hubwise have been included in our Condensed Consolidated Financial Statements from March 25, 2022. The preliminary fair value of the intangible assets, consisting of customer relationships and completed technologies, was determined using the income approach. The intangible assets are amortized each year based on the ratio that the projected cash flows for the intangible assets bear to the total of current and expected future cash flows for the intangible assets. The customer relationships and completed technologies are expected to be amortized over approximately ten and six years, respectively, in each case the estimated life of the assets. The remainder of the purchase price was allocated to goodwill and a portion is tax deductible.</w:t>
      </w:r>
    </w:p>
    <w:p>
      <w:pPr>
        <w:spacing w:after="0" w:line="15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are $0.1 million in revenues from Hubwise's operations included in the Condensed Consolidated Statements of Comprehensive Income for the three months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for the 2022 acquisitions of Blue Prism and Hubwise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acquired intangible assets, and the related evaluation of taxes, are provisional pending receipt of the final valuation for those assets.</w:t>
      </w:r>
    </w:p>
    <w:p>
      <w:pPr>
        <w:spacing w:after="0"/>
        <w:rPr>
          <w:sz w:val="20"/>
          <w:szCs w:val="20"/>
          <w:color w:val="auto"/>
        </w:rPr>
      </w:pPr>
      <w:r>
        <w:rPr>
          <w:rFonts w:ascii="Times New Roman" w:cs="Times New Roman" w:eastAsia="Times New Roman" w:hAnsi="Times New Roman"/>
          <w:sz w:val="18"/>
          <w:szCs w:val="18"/>
          <w:color w:val="auto"/>
        </w:rPr>
        <w:t>The valuation of the acquired liabilities is also preliminary.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Blue Prism</w:t>
            </w:r>
          </w:p>
        </w:tc>
        <w:tc>
          <w:tcPr>
            <w:tcW w:w="36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Hubwise</w:t>
            </w: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(23.2 )</w:t>
            </w:r>
          </w:p>
        </w:tc>
        <w:tc>
          <w:tcPr>
            <w:tcW w:w="3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(166.9 )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(125.8 )</w:t>
            </w:r>
          </w:p>
        </w:tc>
        <w:tc>
          <w:tcPr>
            <w:tcW w:w="3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(35.2 )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 paid, net of cash acquired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firstLine="509"/>
        <w:spacing w:after="0" w:line="246" w:lineRule="auto"/>
        <w:rPr>
          <w:sz w:val="20"/>
          <w:szCs w:val="20"/>
          <w:color w:val="auto"/>
        </w:rPr>
      </w:pPr>
      <w:r>
        <w:rPr>
          <w:rFonts w:ascii="Times New Roman" w:cs="Times New Roman" w:eastAsia="Times New Roman" w:hAnsi="Times New Roman"/>
          <w:sz w:val="18"/>
          <w:szCs w:val="18"/>
          <w:color w:val="auto"/>
        </w:rPr>
        <w:t>The following unaudited pro forma information is provided for illustrative purposes only and assumes that the acquisitions of Blue Prism and Hubwise occurred on January 1, 2021 and the acquisition of Capita Life &amp; Pensions Services (Ireland) Limited (“Capita”) occurred on January 1, 2020,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1,350.8</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60" w:type="dxa"/>
            <w:vAlign w:val="bottom"/>
            <w:shd w:val="clear" w:color="auto" w:fill="CFF0FC"/>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2021, we recorded severance expense related to personnel reductions in connection with the continued integration efforts associated with the acquisitions of DST and Algorithmics. The amount of severance expense recognized in our Condensed Consolidated Statements of Comprehensive Income for the three months ended March 31, 2021 was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 w:type="dxa"/>
            <w:vAlign w:val="bottom"/>
          </w:tcPr>
          <w:p>
            <w:pPr>
              <w:spacing w:after="0"/>
              <w:rPr>
                <w:sz w:val="18"/>
                <w:szCs w:val="18"/>
                <w:color w:val="auto"/>
              </w:rPr>
            </w:pPr>
          </w:p>
        </w:tc>
      </w:tr>
      <w:tr>
        <w:trPr>
          <w:trHeight w:val="20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Classification</w:t>
            </w:r>
          </w:p>
        </w:tc>
        <w:tc>
          <w:tcPr>
            <w:tcW w:w="700" w:type="dxa"/>
            <w:vAlign w:val="bottom"/>
          </w:tcPr>
          <w:p>
            <w:pPr>
              <w:spacing w:after="0"/>
              <w:rPr>
                <w:sz w:val="17"/>
                <w:szCs w:val="17"/>
                <w:color w:val="auto"/>
              </w:rPr>
            </w:pPr>
          </w:p>
        </w:tc>
        <w:tc>
          <w:tcPr>
            <w:tcW w:w="4160" w:type="dxa"/>
            <w:vAlign w:val="bottom"/>
          </w:tcPr>
          <w:p>
            <w:pPr>
              <w:jc w:val="right"/>
              <w:ind w:right="2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96"/>
        </w:trPr>
        <w:tc>
          <w:tcPr>
            <w:tcW w:w="6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2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4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shd w:val="clear" w:color="auto" w:fill="CFF0FC"/>
          </w:tcPr>
          <w:p>
            <w:pPr>
              <w:spacing w:after="0"/>
              <w:rPr>
                <w:sz w:val="17"/>
                <w:szCs w:val="17"/>
                <w:color w:val="auto"/>
              </w:rPr>
            </w:pPr>
          </w:p>
        </w:tc>
      </w:tr>
      <w:tr>
        <w:trPr>
          <w:trHeight w:val="20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70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7"/>
                <w:szCs w:val="17"/>
                <w:color w:val="auto"/>
              </w:rPr>
            </w:pPr>
          </w:p>
        </w:tc>
      </w:tr>
      <w:tr>
        <w:trPr>
          <w:trHeight w:val="196"/>
        </w:trPr>
        <w:tc>
          <w:tcPr>
            <w:tcW w:w="63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cost of revenues</w:t>
            </w:r>
          </w:p>
        </w:tc>
        <w:tc>
          <w:tcPr>
            <w:tcW w:w="700" w:type="dxa"/>
            <w:vAlign w:val="bottom"/>
            <w:tcBorders>
              <w:bottom w:val="single" w:sz="8" w:color="auto"/>
            </w:tcBorders>
            <w:shd w:val="clear" w:color="auto" w:fill="CFF0FC"/>
          </w:tcPr>
          <w:p>
            <w:pPr>
              <w:spacing w:after="0"/>
              <w:rPr>
                <w:sz w:val="17"/>
                <w:szCs w:val="17"/>
                <w:color w:val="auto"/>
              </w:rPr>
            </w:pPr>
          </w:p>
        </w:tc>
        <w:tc>
          <w:tcPr>
            <w:tcW w:w="4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70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17"/>
                <w:szCs w:val="17"/>
                <w:color w:val="auto"/>
              </w:rPr>
            </w:pPr>
          </w:p>
        </w:tc>
      </w:tr>
      <w:tr>
        <w:trPr>
          <w:trHeight w:val="203"/>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shd w:val="clear" w:color="auto" w:fill="CFF0FC"/>
          </w:tcPr>
          <w:p>
            <w:pPr>
              <w:spacing w:after="0"/>
              <w:rPr>
                <w:sz w:val="17"/>
                <w:szCs w:val="17"/>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shd w:val="clear" w:color="auto" w:fill="CFF0FC"/>
          </w:tcPr>
          <w:p>
            <w:pPr>
              <w:spacing w:after="0"/>
              <w:rPr>
                <w:sz w:val="17"/>
                <w:szCs w:val="17"/>
                <w:color w:val="auto"/>
              </w:rPr>
            </w:pPr>
          </w:p>
        </w:tc>
      </w:tr>
      <w:tr>
        <w:trPr>
          <w:trHeight w:val="20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0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7"/>
                <w:szCs w:val="17"/>
                <w:color w:val="auto"/>
              </w:rPr>
            </w:pPr>
          </w:p>
        </w:tc>
      </w:tr>
      <w:tr>
        <w:trPr>
          <w:trHeight w:val="196"/>
        </w:trPr>
        <w:tc>
          <w:tcPr>
            <w:tcW w:w="63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00" w:type="dxa"/>
            <w:vAlign w:val="bottom"/>
            <w:tcBorders>
              <w:bottom w:val="single" w:sz="8" w:color="auto"/>
            </w:tcBorders>
            <w:shd w:val="clear" w:color="auto" w:fill="CFF0FC"/>
          </w:tcPr>
          <w:p>
            <w:pPr>
              <w:spacing w:after="0"/>
              <w:rPr>
                <w:sz w:val="17"/>
                <w:szCs w:val="17"/>
                <w:color w:val="auto"/>
              </w:rPr>
            </w:pPr>
          </w:p>
        </w:tc>
        <w:tc>
          <w:tcPr>
            <w:tcW w:w="4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severance expense</w:t>
            </w: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-693420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carrying value of goodwill as of and for the three months ended March 31, 2022 is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8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Acquisitions completed in the current year</w:t>
            </w:r>
          </w:p>
        </w:tc>
        <w:tc>
          <w:tcPr>
            <w:tcW w:w="4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prior acquisitions</w:t>
            </w:r>
          </w:p>
        </w:tc>
        <w:tc>
          <w:tcPr>
            <w:tcW w:w="4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4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422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8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2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-659130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7—Debt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2022 and December 31, 2021, debt consisted of the following (in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r>
      <w:tr>
        <w:trPr>
          <w:trHeight w:val="164"/>
        </w:trPr>
        <w:tc>
          <w:tcPr>
            <w:tcW w:w="59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 of 2.36% and</w:t>
            </w:r>
          </w:p>
        </w:tc>
        <w:tc>
          <w:tcPr>
            <w:tcW w:w="3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r>
      <w:tr>
        <w:trPr>
          <w:trHeight w:val="23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1.85%, respectively</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320" w:type="dxa"/>
            <w:vAlign w:val="bottom"/>
            <w:shd w:val="clear" w:color="auto" w:fill="CFF0FC"/>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5.5% senior notes due 2027</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tcPr>
          <w:p>
            <w:pPr>
              <w:spacing w:after="0"/>
              <w:rPr>
                <w:sz w:val="18"/>
                <w:szCs w:val="18"/>
                <w:color w:val="auto"/>
              </w:rPr>
            </w:pPr>
          </w:p>
        </w:tc>
      </w:tr>
      <w:tr>
        <w:trPr>
          <w:trHeight w:val="171"/>
        </w:trPr>
        <w:tc>
          <w:tcPr>
            <w:tcW w:w="59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Senior secured credit facilities revolving portion, weighted-average interest</w:t>
            </w:r>
          </w:p>
        </w:tc>
        <w:tc>
          <w:tcPr>
            <w:tcW w:w="3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r>
      <w:tr>
        <w:trPr>
          <w:trHeight w:val="23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of 2.90%</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indebtedness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3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(66.0 )</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(30.8 )</w:t>
            </w:r>
          </w:p>
        </w:tc>
      </w:tr>
      <w:tr>
        <w:trPr>
          <w:trHeight w:val="209"/>
        </w:trPr>
        <w:tc>
          <w:tcPr>
            <w:tcW w:w="59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5,948.9</w:t>
            </w:r>
          </w:p>
        </w:tc>
        <w:tc>
          <w:tcPr>
            <w:tcW w:w="320" w:type="dxa"/>
            <w:vAlign w:val="bottom"/>
            <w:tcBorders>
              <w:top w:val="single" w:sz="8" w:color="CFF0FC"/>
            </w:tcBorders>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7,373.7</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5,901.5</w:t>
            </w:r>
          </w:p>
        </w:tc>
        <w:tc>
          <w:tcPr>
            <w:tcW w:w="32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-453390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-453390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jc w:val="both"/>
        <w:ind w:right="100" w:firstLine="509"/>
        <w:spacing w:after="0" w:line="246" w:lineRule="auto"/>
        <w:rPr>
          <w:sz w:val="20"/>
          <w:szCs w:val="20"/>
          <w:color w:val="auto"/>
        </w:rPr>
      </w:pPr>
      <w:r>
        <w:rPr>
          <w:rFonts w:ascii="Times New Roman" w:cs="Times New Roman" w:eastAsia="Times New Roman" w:hAnsi="Times New Roman"/>
          <w:sz w:val="18"/>
          <w:szCs w:val="18"/>
          <w:color w:val="auto"/>
        </w:rPr>
        <w:t>On March 22, 2022, in connection with our acquisition of Blue Prism, we entered into an Incremental Joinder to the amended and restated credit agreement dated April 16, 2018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7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Incremental Term Loans mature on March 22, 2029 and bear interest at, at our option, the Base Rate, plus 1.25% per annum or the Term Secured Overnight Financing Rate (“SOFR”), which is subject to a floor of 0.50%, plus a credit spread adjustment set forth in the Credit Agreement, plus 2.25% per annum. The Incremental Term Loans are also subject to a 1.00% repricing premium, which will be payable in connection with certain repricing transactions (if any) completed prior to the six-month anniversary of the incurrence of the Incremental Term Loans. In connection with the Incremental Joinder, we capitalized an aggregate of $37.7 million in financing costs during the three months ended March 31, 2022.</w:t>
      </w:r>
    </w:p>
    <w:p>
      <w:pPr>
        <w:spacing w:after="0" w:line="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Except as described above, the terms, covenants and events of default applicable to the Incremental Term Loans are materially consistent with the terms, covenants and events of default applicable to the other term loans incurred under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9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ind w:right="436"/>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9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6"/>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5,493.6</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 revolving portion</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indebtedness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40" w:firstLine="509"/>
        <w:spacing w:after="0" w:line="296"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July 2021, our Board of Directors authorized a stock repurchase program, which enables us to repurchase up to $1 billion in the aggregate of our outstanding common stock on the open market or in privately negotiated transactions. Our authority to repurchase shares under the program will continue until the one-year anniversary of the Board’s authorization, unless earlier terminated by the Board. During the three months ended March 31, 2022, we repurchased 2.3 million shares of common stock for approximately $170.9 million. During the three months ended March 31, 2021, we repurchased 2.7 million shares of common stock</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for approximately $181.4 million. We use the cost method to account for treasury stock purchases. Under the cost method, the price paid for the stock is charged to the treasury stock account.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paid a quarterly cash dividend of $0.20 per share of common stock in March 2022 totaling $51.1 million. We paid a quarterly cash dividend of $0.16 per share of common stock in March 2021 totaling $41.2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consists of the following (in millions):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Pr>
          <w:p>
            <w:pPr>
              <w:spacing w:after="0"/>
              <w:rPr>
                <w:sz w:val="13"/>
                <w:szCs w:val="13"/>
                <w:color w:val="auto"/>
              </w:rPr>
            </w:pPr>
          </w:p>
        </w:tc>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0" w:type="dxa"/>
            <w:vAlign w:val="bottom"/>
          </w:tcPr>
          <w:p>
            <w:pPr>
              <w:spacing w:after="0"/>
              <w:rPr>
                <w:sz w:val="13"/>
                <w:szCs w:val="13"/>
                <w:color w:val="auto"/>
              </w:rPr>
            </w:pPr>
          </w:p>
        </w:tc>
        <w:tc>
          <w:tcPr>
            <w:tcW w:w="13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80" w:type="dxa"/>
            <w:vAlign w:val="bottom"/>
          </w:tcPr>
          <w:p>
            <w:pPr>
              <w:spacing w:after="0"/>
              <w:rPr>
                <w:sz w:val="13"/>
                <w:szCs w:val="13"/>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Swap</w:t>
            </w:r>
          </w:p>
        </w:tc>
        <w:tc>
          <w:tcPr>
            <w:tcW w:w="80" w:type="dxa"/>
            <w:vAlign w:val="bottom"/>
          </w:tcPr>
          <w:p>
            <w:pPr>
              <w:spacing w:after="0"/>
              <w:rPr>
                <w:sz w:val="16"/>
                <w:szCs w:val="16"/>
                <w:color w:val="auto"/>
              </w:rPr>
            </w:pPr>
          </w:p>
        </w:tc>
        <w:tc>
          <w:tcPr>
            <w:tcW w:w="144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6"/>
                <w:szCs w:val="16"/>
                <w:color w:val="auto"/>
              </w:rPr>
            </w:pPr>
          </w:p>
        </w:tc>
        <w:tc>
          <w:tcPr>
            <w:tcW w:w="13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5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16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(28.3 )</w:t>
            </w:r>
          </w:p>
        </w:tc>
        <w:tc>
          <w:tcPr>
            <w:tcW w:w="80" w:type="dxa"/>
            <w:vAlign w:val="bottom"/>
          </w:tcPr>
          <w:p>
            <w:pPr>
              <w:spacing w:after="0"/>
              <w:rPr>
                <w:sz w:val="15"/>
                <w:szCs w:val="15"/>
                <w:color w:val="auto"/>
              </w:rPr>
            </w:pP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(28.2 )</w:t>
            </w:r>
          </w:p>
        </w:tc>
      </w:tr>
      <w:tr>
        <w:trPr>
          <w:trHeight w:val="20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March 31,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Adjustments to accumulated other comprehensive loss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28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6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gains (losses) on interest rate swaps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247"/>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 of losses into net earnings on interest rate swaps</w:t>
            </w:r>
          </w:p>
        </w:tc>
        <w:tc>
          <w:tcPr>
            <w:tcW w:w="280" w:type="dxa"/>
            <w:vAlign w:val="bottom"/>
          </w:tcPr>
          <w:p>
            <w:pPr>
              <w:spacing w:after="0"/>
              <w:rPr>
                <w:sz w:val="21"/>
                <w:szCs w:val="2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160" w:type="dxa"/>
            <w:vAlign w:val="bottom"/>
          </w:tcPr>
          <w:p>
            <w:pPr>
              <w:spacing w:after="0"/>
              <w:rPr>
                <w:sz w:val="21"/>
                <w:szCs w:val="21"/>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4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28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(0.4 )</w:t>
            </w:r>
          </w:p>
        </w:tc>
        <w:tc>
          <w:tcPr>
            <w:tcW w:w="200" w:type="dxa"/>
            <w:vAlign w:val="bottom"/>
            <w:shd w:val="clear" w:color="auto" w:fill="CFF0FC"/>
          </w:tcPr>
          <w:p>
            <w:pPr>
              <w:spacing w:after="0"/>
              <w:rPr>
                <w:sz w:val="20"/>
                <w:szCs w:val="2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64"/>
        </w:trPr>
        <w:tc>
          <w:tcPr>
            <w:tcW w:w="450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2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4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net losses on defined benefit pension plan</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defined benefit pension</w:t>
            </w:r>
          </w:p>
        </w:tc>
        <w:tc>
          <w:tcPr>
            <w:tcW w:w="28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(0.8 )</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8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280" w:type="dxa"/>
            <w:vAlign w:val="bottom"/>
          </w:tcPr>
          <w:p>
            <w:pPr>
              <w:spacing w:after="0"/>
              <w:rPr>
                <w:sz w:val="21"/>
                <w:szCs w:val="2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(29.8 )</w:t>
            </w:r>
          </w:p>
        </w:tc>
        <w:tc>
          <w:tcPr>
            <w:tcW w:w="16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4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cumulative translation adjustments</w:t>
            </w:r>
          </w:p>
        </w:tc>
        <w:tc>
          <w:tcPr>
            <w:tcW w:w="28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(29.8 )</w:t>
            </w: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450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28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(loss)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-1087755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-1087755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-1087755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-1087755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-856615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-856615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-856615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-856615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-213995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-213995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-213995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-213995</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9—Variable Interest Entity</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July 15, 2021, we entered into an agreement whereby we obtained an 80.2% interest in DomaniRx,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DomaniRx</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variable interest</w:t>
      </w:r>
    </w:p>
    <w:p>
      <w:pPr>
        <w:spacing w:after="0" w:line="4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91" w:lineRule="exact"/>
        <w:rPr>
          <w:sz w:val="20"/>
          <w:szCs w:val="20"/>
          <w:color w:val="auto"/>
        </w:rPr>
      </w:pPr>
    </w:p>
    <w:p>
      <w:pPr>
        <w:jc w:val="both"/>
        <w:ind w:right="200" w:firstLine="569"/>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and liabilities associated with DomaniRx included in our condensed consolidated balance sheet as of March 31, 2022, which are limited for use in its operations and do not have recourse against our general credit or our senior secured credit facilities, are as follows:</w:t>
      </w:r>
    </w:p>
    <w:p>
      <w:pPr>
        <w:spacing w:after="0" w:line="102"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10—Revenues</w:t>
      </w:r>
    </w:p>
    <w:p>
      <w:pPr>
        <w:spacing w:after="0" w:line="108" w:lineRule="exact"/>
        <w:rPr>
          <w:sz w:val="20"/>
          <w:szCs w:val="20"/>
          <w:color w:val="auto"/>
        </w:rPr>
      </w:pPr>
    </w:p>
    <w:p>
      <w:pPr>
        <w:ind w:firstLine="569"/>
        <w:spacing w:after="0" w:line="247" w:lineRule="auto"/>
        <w:rPr>
          <w:sz w:val="20"/>
          <w:szCs w:val="20"/>
          <w:color w:val="auto"/>
        </w:rPr>
      </w:pPr>
      <w:r>
        <w:rPr>
          <w:rFonts w:ascii="Times New Roman" w:cs="Times New Roman" w:eastAsia="Times New Roman" w:hAnsi="Times New Roman"/>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13" w:name="page14"/>
    <w:bookmarkEnd w:id="13"/>
    <w:p>
      <w:pPr>
        <w:ind w:right="100"/>
        <w:spacing w:after="0" w:line="282" w:lineRule="auto"/>
        <w:rPr>
          <w:sz w:val="20"/>
          <w:szCs w:val="20"/>
          <w:color w:val="auto"/>
        </w:rPr>
      </w:pPr>
      <w:r>
        <w:rPr>
          <w:rFonts w:ascii="Times New Roman" w:cs="Times New Roman" w:eastAsia="Times New Roman" w:hAnsi="Times New Roman"/>
          <w:sz w:val="18"/>
          <w:szCs w:val="18"/>
          <w:color w:val="auto"/>
        </w:rPr>
        <w:t>transactions and the level of service the client requires. Revenues from professional services consist mostly of services provided on a time and materials basis.</w:t>
      </w:r>
    </w:p>
    <w:p>
      <w:pPr>
        <w:spacing w:after="0" w:line="108" w:lineRule="exact"/>
        <w:rPr>
          <w:sz w:val="20"/>
          <w:szCs w:val="20"/>
          <w:color w:val="auto"/>
        </w:rPr>
      </w:pPr>
    </w:p>
    <w:p>
      <w:pPr>
        <w:ind w:firstLine="569"/>
        <w:spacing w:after="0" w:line="250"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March 31, 2022 and December 31, 2021, approximately $56.9 million and $61.0 million, respectively, of deferred revenue is presented net within contract assets arising from the same contracts. The amount of revenues recognized in the period that was included in the opening deferred revenues balance was $106.1 million and $103.1 million for the three months ended March 31, 2022 and 2021, respectively.</w:t>
      </w:r>
    </w:p>
    <w:p>
      <w:pPr>
        <w:spacing w:after="0" w:line="13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As of March 31, 2022, revenue of approximately $969.2 million is expected to be recognized from remaining performance obligations for license, maintenance and related revenues, of which $504.0 million is expected to be recognized over the next twelve months.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record revenue net of any taxes assessed by governmental authorities.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6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60" w:type="dxa"/>
            <w:vAlign w:val="bottom"/>
            <w:tcBorders>
              <w:bottom w:val="single" w:sz="8" w:color="CFF0FC"/>
            </w:tcBorders>
            <w:shd w:val="clear" w:color="auto" w:fill="CFF0FC"/>
          </w:tcPr>
          <w:p>
            <w:pPr>
              <w:spacing w:after="0"/>
              <w:rPr>
                <w:sz w:val="21"/>
                <w:szCs w:val="21"/>
                <w:color w:val="auto"/>
              </w:rPr>
            </w:pPr>
          </w:p>
        </w:tc>
      </w:tr>
      <w:tr>
        <w:trPr>
          <w:trHeight w:val="39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disaggregates our revenues by source (in millions):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24"/>
                <w:szCs w:val="24"/>
                <w:color w:val="auto"/>
              </w:rPr>
            </w:pPr>
          </w:p>
        </w:tc>
      </w:tr>
      <w:tr>
        <w:trPr>
          <w:trHeight w:val="169"/>
        </w:trPr>
        <w:tc>
          <w:tcPr>
            <w:tcW w:w="6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6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-1344930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-1328420</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-1344930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-1328420</wp:posOffset>
            </wp:positionV>
            <wp:extent cx="342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SARs and PSUs</w:t>
      </w:r>
    </w:p>
    <w:p>
      <w:pPr>
        <w:spacing w:after="0" w:line="21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our Condensed Consolidated Statements of Comprehensive Income for the three months ended March 31, 2022 and 2021 was as follows (in millions):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Classification</w:t>
            </w:r>
          </w:p>
        </w:tc>
        <w:tc>
          <w:tcPr>
            <w:tcW w:w="5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20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5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5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1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-693420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-693420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-162560</wp:posOffset>
            </wp:positionV>
            <wp:extent cx="34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342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2" w:right="479" w:bottom="1440" w:gutter="0" w:footer="0" w:header="0"/>
        </w:sectPr>
      </w:pPr>
    </w:p>
    <w:bookmarkStart w:id="14" w:name="page15"/>
    <w:bookmarkEnd w:id="14"/>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(“SARs”) activity, as well as performance stock units (“PSUs”) activity, for the three months ended March 31, 2022 (shares in millions):</w:t>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3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PSUs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effective tax rate was 27.0% and 25.8% for the three months ended March 31, 2022 and 2021, respectively. The change in the effective tax rate for the three months ended March 31, 2022 compared to the prior year was primarily due to a proportionate change in the composition of income before income taxes from foreign and domestic tax jurisdictions.</w:t>
      </w:r>
    </w:p>
    <w:p>
      <w:pPr>
        <w:spacing w:after="0" w:line="6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recorded a net deferred tax liability of $138.0 million related primarily to acquired intangible assets in the allocation of the purchase price for the acquisitions of Blue Prism and Hubwise, which will not be deductible for tax purposes and is partially offset by net operating loss carryforwards.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880" w:type="dxa"/>
            <w:vAlign w:val="bottom"/>
            <w:tcBorders>
              <w:top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174.9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attributable to SS&amp;C:</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used in calculation of basic EPS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stock equivalents – stock options and restricted shares</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1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 used in calculation of</w:t>
            </w:r>
          </w:p>
        </w:tc>
        <w:tc>
          <w:tcPr>
            <w:tcW w:w="8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268.1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 EPS</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1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10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-676910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-676910</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Stock options, SARs and PSUs representing 16.1 million and 16.4 million shares were outstanding for the three months ended March 31, 2022 and 2021, respectively, but were not included in the computation of diluted EPS because the effect of including them would be anti-dilutive.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 and Contingencies</w:t>
      </w:r>
    </w:p>
    <w:p>
      <w:pPr>
        <w:spacing w:after="0" w:line="10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During the third quarter of 2021, in connection with the ongoing DST ERISA matters and associated legal proceedings described below, including the arbitration awards, we recorded an accrued liability and expense of $43.4 million to Other (expense) income, net on the Condensed Consolidated Statement of Comprehensive Income. Due to the inherent uncertainties associated with the resolution of these matters, the ultimate resolution of and any additional potential exposure related to these matters are uncertain at this time.</w:t>
      </w:r>
    </w:p>
    <w:p>
      <w:pPr>
        <w:spacing w:after="0" w:line="15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spacing w:after="0" w:line="241" w:lineRule="auto"/>
        <w:rPr>
          <w:sz w:val="20"/>
          <w:szCs w:val="20"/>
          <w:color w:val="auto"/>
        </w:rPr>
      </w:pPr>
      <w:r>
        <w:rPr>
          <w:rFonts w:ascii="Times New Roman" w:cs="Times New Roman" w:eastAsia="Times New Roman" w:hAnsi="Times New Roman"/>
          <w:sz w:val="18"/>
          <w:szCs w:val="18"/>
          <w:color w:val="auto"/>
        </w:rPr>
        <w:t>(“Ruane”). On January 9, 2020, Ruane filed an amended answer to the amended complaint and asserted crossclaims for contribution and/or indemnification against DST. Both DST and Ruane have filed answers denying the crossclaims asserted against them.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which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Rule 23(f) petitions remain pending before the Second Circuit.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1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The show-cause order was fully briefed on January 10, 2022.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which the DST Defendants opposed on February 14, 2022. On February 8, 2022, Arbitration Claimants noticed an appeal of the Court’s February 3, 2022 order. The February 8, 2022 appeal was consolidated with the December 15, 2021 appeal of the preliminary injunction. Those appeals remain pending.</w:t>
      </w:r>
    </w:p>
    <w:p>
      <w:pPr>
        <w:spacing w:after="0" w:line="145" w:lineRule="exact"/>
        <w:rPr>
          <w:sz w:val="20"/>
          <w:szCs w:val="20"/>
          <w:color w:val="auto"/>
        </w:rPr>
      </w:pPr>
    </w:p>
    <w:p>
      <w:pPr>
        <w:ind w:right="60" w:firstLine="509"/>
        <w:spacing w:after="0" w:line="210" w:lineRule="exact"/>
        <w:rPr>
          <w:sz w:val="20"/>
          <w:szCs w:val="20"/>
          <w:color w:val="auto"/>
        </w:rPr>
      </w:pPr>
      <w:r>
        <w:rPr>
          <w:rFonts w:ascii="Times New Roman" w:cs="Times New Roman" w:eastAsia="Times New Roman" w:hAnsi="Times New Roman"/>
          <w:sz w:val="18"/>
          <w:szCs w:val="18"/>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 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15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ind w:right="20"/>
        <w:spacing w:after="0" w:line="266" w:lineRule="auto"/>
        <w:rPr>
          <w:sz w:val="20"/>
          <w:szCs w:val="20"/>
          <w:color w:val="auto"/>
        </w:rPr>
      </w:pPr>
      <w:r>
        <w:rPr>
          <w:rFonts w:ascii="Times New Roman" w:cs="Times New Roman" w:eastAsia="Times New Roman" w:hAnsi="Times New Roman"/>
          <w:sz w:val="18"/>
          <w:szCs w:val="18"/>
          <w:color w:val="auto"/>
        </w:rPr>
        <w:t>December 17, 2021, the Canfield Plaintiffs and Mendon Plaintiffs appealed the Court’s November 19, 2021 orders dismissing their respective actions to the Second Circuit. Those appeals remain pending.</w:t>
      </w:r>
    </w:p>
    <w:p>
      <w:pPr>
        <w:spacing w:after="0" w:line="13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w:t>
      </w:r>
    </w:p>
    <w:p>
      <w:pPr>
        <w:spacing w:after="0" w:line="16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 the AAA has administered only those arbitration proceedings associated with claimants who are not members of the Ferguson class, certain of which have resulted in awards against DST.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has appealed those judgments to the Eighth Circuit. On November 20, 2021, DST requested that the Eighth Circuit stay the pending appeals in light of the preliminary injunction entered in Ferguson. On December 3, 2021, the Eighth Circuit ordered the parties to brief DST’s stay request. On December 17, 2021, Arbitration Claimants and DST filed with the Eighth Circuit their respective briefs addressing the DST’s stay request. On January 3, 2022, the Eighth Circuit declined to stay the briefing schedule on the pending appeals and consolidated those appeals. DST filed its opening brief in the Eighth Circuit on March 24, 2022. Arbitration Claimants filed their opposition brief on April 25, 2022, and the Eighth Circuit has placed the matter on the court’s oral argument calendar for the week of June 13-17, 2022. On November 9, 2021, counsel for Arbitration Claimants filed in the Western District of Missouri a petition to compel arbitration captioned Addison v. DST Systems, Inc. (the “Addison Petition”) on behalf of 155 Arbitration Claimants, which DST opposed. On February 14, 2022, the Western District of Missouri stayed the Addison Petition pending resolution of DST’s appeals of the confirmation of the 177 arbitration awards to the Eighth Circuit.</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vigorously defend these matters.</w:t>
      </w:r>
    </w:p>
    <w:p>
      <w:pPr>
        <w:spacing w:after="0" w:line="18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September 17, 2021, the remaining defendants filed a pre-motion letter requesting permission to file a motion to dismiss the complaint. On September 22, 2021, the DST plaintiffs responded to the remaining defendants’ pre-motion letter. On November 5, 2021, the Court denied the remaining defendants’ request for a pre-motion conference and granted the remaining defendants leave to file a motion to dismiss. On December 17, 2021, the remaining defendants filed a motion to dismiss the DST plaintiffs’ complaint. The DST plaintiffs’ opposition brief is due on May 20, 2022, and the motion is scheduled to be fully briefed by June 10, 2022.</w:t>
      </w:r>
    </w:p>
    <w:p>
      <w:pPr>
        <w:spacing w:after="0" w:line="2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2021 Form 10-K and the Condensed Consolidated Financial Statements included 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ind w:right="140"/>
        <w:spacing w:after="0" w:line="282" w:lineRule="auto"/>
        <w:rPr>
          <w:sz w:val="20"/>
          <w:szCs w:val="20"/>
          <w:color w:val="auto"/>
        </w:rPr>
      </w:pPr>
      <w:r>
        <w:rPr>
          <w:rFonts w:ascii="Times New Roman" w:cs="Times New Roman" w:eastAsia="Times New Roman" w:hAnsi="Times New Roman"/>
          <w:sz w:val="18"/>
          <w:szCs w:val="18"/>
          <w:color w:val="auto"/>
        </w:rPr>
        <w:t>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impacts of COVID-19 and related economic conditions on our results are uncertain and, in many respects, outside our control. While we have experienced some client delays in committing to services and products, to date we have experienced no direct 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2021 Form 10-K. Our critical accounting policies are described in the 2021 Form 10-K and include:</w:t>
      </w:r>
    </w:p>
    <w:p>
      <w:pPr>
        <w:spacing w:after="0" w:line="73"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Intangible Assets and Goodwill</w:t>
      </w:r>
    </w:p>
    <w:p>
      <w:pPr>
        <w:ind w:left="1020" w:hanging="503"/>
        <w:spacing w:after="0" w:line="23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ind w:left="1020" w:hanging="503"/>
        <w:spacing w:after="0" w:line="23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0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acquisitions from the date which they were acquired, including Capita in March 2021 and Blue Prism and Hubwise in March 2022.</w:t>
      </w:r>
    </w:p>
    <w:p>
      <w:pPr>
        <w:spacing w:after="0" w:line="135"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76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16.2 %</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15.4 %</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4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-513715</wp:posOffset>
            </wp:positionV>
            <wp:extent cx="162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-496570</wp:posOffset>
            </wp:positionV>
            <wp:extent cx="1625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1625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1625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jc w:val="center"/>
        <w:ind w:left="440"/>
        <w:spacing w:after="0"/>
        <w:rPr>
          <w:sz w:val="20"/>
          <w:szCs w:val="20"/>
          <w:color w:val="auto"/>
        </w:rPr>
      </w:pPr>
      <w:r>
        <w:rPr>
          <w:rFonts w:ascii="Times New Roman" w:cs="Times New Roman" w:eastAsia="Times New Roman" w:hAnsi="Times New Roman"/>
          <w:sz w:val="17"/>
          <w:szCs w:val="17"/>
          <w:color w:val="auto"/>
        </w:rPr>
        <w:t>The following table sets forth revenues (dollars in millions) and percent change in revenues for the periods indicated:</w:t>
      </w:r>
    </w:p>
    <w:p>
      <w:pPr>
        <w:spacing w:after="0" w:line="200" w:lineRule="exact"/>
        <w:rPr>
          <w:sz w:val="20"/>
          <w:szCs w:val="20"/>
          <w:color w:val="auto"/>
        </w:rPr>
      </w:pPr>
    </w:p>
    <w:p>
      <w:pPr>
        <w:spacing w:after="0" w:line="38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5420" w:type="dxa"/>
            <w:vAlign w:val="bottom"/>
            <w:vMerge w:val="continue"/>
          </w:tcPr>
          <w:p>
            <w:pPr>
              <w:spacing w:after="0"/>
              <w:rPr>
                <w:sz w:val="16"/>
                <w:szCs w:val="16"/>
                <w:color w:val="auto"/>
              </w:rPr>
            </w:pPr>
          </w:p>
        </w:tc>
        <w:tc>
          <w:tcPr>
            <w:tcW w:w="860" w:type="dxa"/>
            <w:vAlign w:val="bottom"/>
          </w:tcPr>
          <w:p>
            <w:pPr>
              <w:jc w:val="right"/>
              <w:ind w:right="67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6"/>
              </w:rPr>
              <w:t>1,085.2</w:t>
            </w:r>
          </w:p>
        </w:tc>
        <w:tc>
          <w:tcPr>
            <w:tcW w:w="20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1,043.4</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1,295.0</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Percent</w:t>
      </w:r>
    </w:p>
    <w:p>
      <w:pPr>
        <w:spacing w:after="0" w:line="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Change from</w:t>
      </w:r>
    </w:p>
    <w:p>
      <w:pPr>
        <w:ind w:left="240"/>
        <w:spacing w:after="0" w:line="222" w:lineRule="auto"/>
        <w:rPr>
          <w:sz w:val="20"/>
          <w:szCs w:val="20"/>
          <w:color w:val="auto"/>
        </w:rPr>
      </w:pPr>
      <w:r>
        <w:rPr>
          <w:rFonts w:ascii="Times New Roman" w:cs="Times New Roman" w:eastAsia="Times New Roman" w:hAnsi="Times New Roman"/>
          <w:sz w:val="14"/>
          <w:szCs w:val="14"/>
          <w:b w:val="1"/>
          <w:bCs w:val="1"/>
          <w:color w:val="auto"/>
        </w:rPr>
        <w:t>Prior</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5080</wp:posOffset>
            </wp:positionV>
            <wp:extent cx="7797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9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4.0 %</w:t>
      </w:r>
    </w:p>
    <w:p>
      <w:pPr>
        <w:spacing w:after="0" w:line="2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10.4 %</w:t>
      </w:r>
    </w:p>
    <w:p>
      <w:pPr>
        <w:spacing w:after="0" w:line="45"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5.0 %</w:t>
      </w:r>
    </w:p>
    <w:p>
      <w:pPr>
        <w:spacing w:after="0" w:line="227" w:lineRule="exact"/>
        <w:rPr>
          <w:sz w:val="20"/>
          <w:szCs w:val="20"/>
          <w:color w:val="auto"/>
        </w:rPr>
      </w:pPr>
    </w:p>
    <w:p>
      <w:pPr>
        <w:sectPr>
          <w:pgSz w:w="11900" w:h="16838" w:orient="portrait"/>
          <w:cols w:equalWidth="0" w:num="2">
            <w:col w:w="9040" w:space="380"/>
            <w:col w:w="1800"/>
          </w:cols>
          <w:pgMar w:left="320" w:top="364" w:right="359" w:bottom="1440" w:gutter="0" w:footer="0" w:header="0"/>
        </w:sectPr>
      </w:pPr>
    </w:p>
    <w:p>
      <w:pPr>
        <w:spacing w:after="0" w:line="2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Three Months Ended March 31, 2022 and 2021</w:t>
      </w:r>
      <w:r>
        <w:rPr>
          <w:rFonts w:ascii="Times New Roman" w:cs="Times New Roman" w:eastAsia="Times New Roman" w:hAnsi="Times New Roman"/>
          <w:sz w:val="18"/>
          <w:szCs w:val="18"/>
          <w:color w:val="auto"/>
        </w:rPr>
        <w:t>. Our revenues increased $61.6 million, or 5.0%, primarily due to an increase of $52.8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revenues driven by strength in the SS&amp;C GlobeOp fund administration, Black Diamond, Geneva and virtual data room services businesses. Our revenues also increased due to our acquisitions of Blue Prism and Hubwise in March 2022 and Capita in March 2021, which contributed $17.4 million in revenues. These increases were partially offset by the unfavorable impact from foreign currency translation of $8.6 million. Software-enabled services revenues increased $41.8 million, or 4.0%, primarily due to an increase in organic revenues of $41.0 million, and acquisitions, which added $7.4 million in revenues, partially offset by the unfavorable impact from foreign currency translation of $6.6 million. License, maintenance and related revenues increased $19.8 million, or 10.4%, primarily due to an increase in organic revenues of $11.8 million, and acquisitions, which added $10.0 million in revenues, partially offset by the unfavorable impact from foreign currency translation of $2.0 million.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0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11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38.0 %</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41.5 %</w:t>
            </w:r>
          </w:p>
        </w:tc>
      </w:tr>
      <w:tr>
        <w:trPr>
          <w:trHeight w:val="216"/>
        </w:trPr>
        <w:tc>
          <w:tcPr>
            <w:tcW w:w="5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7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52.1 %</w:t>
            </w: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54.7 %</w:t>
            </w: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47.9 %</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45.3 %</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8"/>
        </w:trPr>
        <w:tc>
          <w:tcPr>
            <w:tcW w:w="5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r>
      <w:tr>
        <w:trPr>
          <w:trHeight w:val="149"/>
        </w:trPr>
        <w:tc>
          <w:tcPr>
            <w:tcW w:w="5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r>
      <w:tr>
        <w:trPr>
          <w:trHeight w:val="200"/>
        </w:trPr>
        <w:tc>
          <w:tcPr>
            <w:tcW w:w="5440" w:type="dxa"/>
            <w:vAlign w:val="bottom"/>
          </w:tcPr>
          <w:p>
            <w:pPr>
              <w:spacing w:after="0"/>
              <w:rPr>
                <w:sz w:val="17"/>
                <w:szCs w:val="17"/>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6"/>
        </w:trPr>
        <w:tc>
          <w:tcPr>
            <w:tcW w:w="54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920" w:type="dxa"/>
            <w:vAlign w:val="bottom"/>
            <w:tcBorders>
              <w:top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r>
      <w:tr>
        <w:trPr>
          <w:trHeight w:val="249"/>
        </w:trPr>
        <w:tc>
          <w:tcPr>
            <w:tcW w:w="5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6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431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34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Three Months Ended March 31, 2022 and 2021</w:t>
      </w:r>
      <w:r>
        <w:rPr>
          <w:rFonts w:ascii="Times New Roman" w:cs="Times New Roman" w:eastAsia="Times New Roman" w:hAnsi="Times New Roman"/>
          <w:sz w:val="18"/>
          <w:szCs w:val="18"/>
          <w:color w:val="auto"/>
        </w:rPr>
        <w:t>. Our total cost of revenues increased by $0.9 million, or 0.1%, primarily due to acquisitions,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$9.4 million in costs. The unfavorable impact from foreign currency translation increased costs by $5.5 million. Total costs of revenue, excluding the impact of acquisitions and foreign currency translation, decreased by $14.0 million primarily due to personnel reductions made in 2021 in connection with continued integration efforts associated with our acquisitions of DST and Algorithmics, as well as a decrease in depreciation and facility costs. Cost of software-enabled services revenues remained flat. Increased costs due to acquisitions, which added $6.0 million in costs, as well as the unfavorable impact from foreign currency translation of $4.4 million, were offset by a decrease in organic costs of $10.4 million. Cost of license, maintenance and related revenues increased $0.9 million, or 1.1%, primarily due to acquisitions, which added $3.4 million in costs, as well as the unfavorable impact from foreign currency translation of $1.1 million, partially offset by a decrease in organic costs of $3.6 million.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operating expenses for the periods indicated:</w:t>
      </w:r>
    </w:p>
    <w:p>
      <w:pPr>
        <w:spacing w:after="0" w:line="1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8.2 %</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8.5 %</w:t>
            </w: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49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25.3 %</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23.5 %</w:t>
            </w:r>
          </w:p>
        </w:tc>
      </w:tr>
      <w:tr>
        <w:trPr>
          <w:trHeight w:val="20"/>
        </w:trPr>
        <w:tc>
          <w:tcPr>
            <w:tcW w:w="4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-170815</wp:posOffset>
            </wp:positionV>
            <wp:extent cx="1631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162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22222"/>
        </w:rPr>
        <w:t>The following table sets forth operating expenses (dollars in millions) and percent change in operating expenses for the periods indicated: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8"/>
        </w:trPr>
        <w:tc>
          <w:tcPr>
            <w:tcW w:w="5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r>
      <w:tr>
        <w:trPr>
          <w:trHeight w:val="162"/>
        </w:trPr>
        <w:tc>
          <w:tcPr>
            <w:tcW w:w="5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Prior</w:t>
            </w:r>
          </w:p>
        </w:tc>
      </w:tr>
      <w:tr>
        <w:trPr>
          <w:trHeight w:val="187"/>
        </w:trPr>
        <w:tc>
          <w:tcPr>
            <w:tcW w:w="54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6"/>
        </w:trPr>
        <w:tc>
          <w:tcPr>
            <w:tcW w:w="54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tcBorders>
              <w:top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20.5 %</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r>
      <w:tr>
        <w:trPr>
          <w:trHeight w:val="20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5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-170815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3"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Three Months Ended March 31, 2022 and 2021</w:t>
      </w:r>
      <w:r>
        <w:rPr>
          <w:rFonts w:ascii="Times New Roman" w:cs="Times New Roman" w:eastAsia="Times New Roman" w:hAnsi="Times New Roman"/>
          <w:sz w:val="18"/>
          <w:szCs w:val="18"/>
          <w:color w:val="auto"/>
        </w:rPr>
        <w:t>. Operating expenses increased $38.0 million, or 13.1%, primarily due to an increase in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$23.4 million which included $11.0 million of transaction costs. Organic operating expenses increased by $11.0 million and the unfavorable impact from foreign currency translation increased expenses by $3.6 million. Total operating expenses, excluding the impact of acquisitions and foreign currency translation, primarily increased due to an increase in personnel-related costs, including stock-based compensation and travel-related expenses, partially offset by a decrease in professional fees.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 for Interest, Taxes and Other</w:t>
      </w:r>
    </w:p>
    <w:p>
      <w:pPr>
        <w:spacing w:after="0" w:line="18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We had net interest expense of $49.3 million in the three months ended March 31, 2022 compared to $51.4 million 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2021. The decrease in interest expense, net for 2022 as compared to 2021 relates primarily to lower average debt balances. Our total debt balance as of March 31, 2022 was higher compared to the prior year due to us entering into the Incremental Joinder in conjunction with the acquisition of Blue Prism on March 22, 2022. These facilities are discussed further in “Liquidity and Capital Resources”.</w:t>
      </w:r>
    </w:p>
    <w:p>
      <w:pPr>
        <w:spacing w:after="0" w:line="13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We had other expense, net of $9.0 million in the three months ended March 31, 2022 compared to other income,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million in the three months ended March 31, 2021. For the three months ended March 31, 2022, other expense, net consisted primarily of foreign currency translation losses of $9.7 million. Other expense, net also consisted of investment losses due to mark-to-market adjustments and dividend income. For the three months ended March 31, 2021, other income, net included investment gains of $13.7 million and dividend income of $8.5 million. The remaining portion of other income, net consisted primarily of foreign currency transaction gains and losses.</w:t>
      </w:r>
    </w:p>
    <w:p>
      <w:pPr>
        <w:spacing w:after="0" w:line="133"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net. </w:t>
      </w:r>
      <w:r>
        <w:rPr>
          <w:rFonts w:ascii="Times New Roman" w:cs="Times New Roman" w:eastAsia="Times New Roman" w:hAnsi="Times New Roman"/>
          <w:sz w:val="18"/>
          <w:szCs w:val="18"/>
          <w:color w:val="auto"/>
        </w:rPr>
        <w:t>We had equity in earnings of unconsolidated affiliates, net of $1.3 million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2022 compared to $0.3 million in the three months ended March 31, 2021.</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20" w:name="page21"/>
    <w:bookmarkEnd w:id="20"/>
    <w:p>
      <w:pPr>
        <w:ind w:right="120" w:firstLine="509"/>
        <w:spacing w:after="0" w:line="250"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p>
      <w:pPr>
        <w:spacing w:after="0" w:line="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5080</wp:posOffset>
            </wp:positionV>
            <wp:extent cx="21602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7660"/>
        <w:spacing w:after="0"/>
        <w:tabs>
          <w:tab w:leader="none" w:pos="95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5"/>
              </w:rPr>
              <w:t>63.5</w:t>
            </w:r>
          </w:p>
        </w:tc>
        <w:tc>
          <w:tcPr>
            <w:tcW w:w="38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5"/>
              </w:rPr>
              <w:t>60.8</w:t>
            </w:r>
          </w:p>
        </w:tc>
        <w:tc>
          <w:tcPr>
            <w:tcW w:w="240" w:type="dxa"/>
            <w:vAlign w:val="bottom"/>
            <w:shd w:val="clear" w:color="auto" w:fill="CFF0FC"/>
          </w:tcPr>
          <w:p>
            <w:pPr>
              <w:spacing w:after="0"/>
              <w:rPr>
                <w:sz w:val="18"/>
                <w:szCs w:val="18"/>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tcPr>
          <w:p>
            <w:pPr>
              <w:spacing w:after="0"/>
              <w:rPr>
                <w:sz w:val="20"/>
                <w:szCs w:val="20"/>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27.0 %</w:t>
            </w:r>
          </w:p>
        </w:tc>
        <w:tc>
          <w:tcPr>
            <w:tcW w:w="64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22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Our effective tax rates for the three months ended March 31, 2022 and 2021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March 31, 2022 compared to the prior year was primarily due to a proportionate change in the composition of income before income taxes from foreign and domestic tax jurisdictions. While we have income from multiple foreign sources, the majority of our non-U.S. operations are in the United Kingdom and India, where we anticipate the statutory tax rates to be 19.0% and, on a blended basis, approximately 29.0%, respectively, in 2022. A future change in the composition of income before income taxes from foreign and domestic tax jurisdictions could impact our periodic effective tax 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54" w:lineRule="exact"/>
        <w:rPr>
          <w:sz w:val="20"/>
          <w:szCs w:val="20"/>
          <w:color w:val="auto"/>
        </w:rPr>
      </w:pPr>
    </w:p>
    <w:p>
      <w:pPr>
        <w:ind w:right="80" w:firstLine="509"/>
        <w:spacing w:after="0" w:line="296" w:lineRule="auto"/>
        <w:rPr>
          <w:sz w:val="20"/>
          <w:szCs w:val="20"/>
          <w:color w:val="auto"/>
        </w:rPr>
      </w:pPr>
      <w:r>
        <w:rPr>
          <w:rFonts w:ascii="Times New Roman" w:cs="Times New Roman" w:eastAsia="Times New Roman" w:hAnsi="Times New Roman"/>
          <w:sz w:val="17"/>
          <w:szCs w:val="17"/>
          <w:color w:val="auto"/>
        </w:rPr>
        <w:t>During the three months ended March 31, 2022, we paid a quarterly cash dividend of $0.20 per share of common stock totaling $51.1 million in the aggregate. During the three months ended March 31, 2021, we paid a quarterly cash dividend of $0.16 per share of common stock totaling $41.2 million.</w:t>
      </w:r>
    </w:p>
    <w:p>
      <w:pPr>
        <w:spacing w:after="0" w:line="11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$2,549.6 million of client funds obligations at March 31, 2022.</w:t>
      </w:r>
    </w:p>
    <w:p>
      <w:pPr>
        <w:spacing w:after="0" w:line="154"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Condensed Consolidated Statements of Cash Flows, are summarized in the following table (in millions):</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(used in) provided by: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40" w:type="dxa"/>
            <w:vAlign w:val="bottom"/>
          </w:tcPr>
          <w:p>
            <w:pPr>
              <w:spacing w:after="0"/>
              <w:rPr>
                <w:sz w:val="19"/>
                <w:szCs w:val="19"/>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3"/>
        </w:trPr>
        <w:tc>
          <w:tcPr>
            <w:tcW w:w="5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8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8"/>
              </w:rPr>
              <w:t>(1,583.5 )</w:t>
            </w:r>
          </w:p>
        </w:tc>
        <w:tc>
          <w:tcPr>
            <w:tcW w:w="9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(1,565.6 )</w:t>
            </w:r>
          </w:p>
        </w:tc>
        <w:tc>
          <w:tcPr>
            <w:tcW w:w="0" w:type="dxa"/>
            <w:vAlign w:val="bottom"/>
          </w:tcPr>
          <w:p>
            <w:pPr>
              <w:spacing w:after="0"/>
              <w:rPr>
                <w:sz w:val="1"/>
                <w:szCs w:val="1"/>
                <w:color w:val="auto"/>
              </w:rPr>
            </w:pPr>
          </w:p>
        </w:tc>
      </w:tr>
      <w:tr>
        <w:trPr>
          <w:trHeight w:val="226"/>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(4.5 )</w:t>
            </w: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(163.6 )</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(983.4 )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-162560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versus 2021</w:t>
      </w:r>
    </w:p>
    <w:p>
      <w:pPr>
        <w:spacing w:after="0" w:line="10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Net cash provided by operating activities was $183.5 million for the three months ended March 31, 2022. Cash provided by operating activities primarily resulted from net income of $171.3 million adjusted for non-cash items of $180.1 million, partially offset by changes in our working capital accounts (excluding the effect of acquisitions) totaling $167.9 million. The changes in our working capital accounts were driven by decreases in accrued expenses and an increase in accounts receivable, partially offset by changes in income tax prepaid and payable. Cash provided by operating activities was negatively affected by approximately $30.0 million of transaction costs related to the Blue Prism acquisition. The decrease in accrued expenses was primarily due to the payment of annual employee bonuses in the first quarter of 2022. The increase in accounts receivable was primarily due to the billing of annual maintenance fees, which typically occurs in the first quarter of each year. The change in income taxes prepaid and payable is primarily driven by the timing of tax payments.</w:t>
      </w:r>
    </w:p>
    <w:p>
      <w:pPr>
        <w:spacing w:after="0" w:line="15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$1,583.5 million for the three months ended March 31, 2022, primarily related to $1,553.1 million paid for business acquisitions, net of cash acquired, $24.8 million in capitalized software development costs and $10.8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21" w:name="page22"/>
    <w:bookmarkEnd w:id="21"/>
    <w:p>
      <w:pPr>
        <w:ind w:right="60"/>
        <w:spacing w:after="0" w:line="266" w:lineRule="auto"/>
        <w:rPr>
          <w:sz w:val="20"/>
          <w:szCs w:val="20"/>
          <w:color w:val="auto"/>
        </w:rPr>
      </w:pPr>
      <w:r>
        <w:rPr>
          <w:rFonts w:ascii="Times New Roman" w:cs="Times New Roman" w:eastAsia="Times New Roman" w:hAnsi="Times New Roman"/>
          <w:sz w:val="18"/>
          <w:szCs w:val="18"/>
          <w:color w:val="auto"/>
        </w:rPr>
        <w:t>in capital expenditures, partially offset by collection of other non-current receivables of $2.7 million and proceeds from sales and maturities of investments of $2.5 million.</w:t>
      </w:r>
    </w:p>
    <w:p>
      <w:pPr>
        <w:spacing w:after="0" w:line="13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Financing activities provided net cash of $1,240.9 million for the three months ended March 31, 2022, primarily representing net borrowings of $1,583.9 million and proceeds of $48.8 million from stock option exercises. These proceeds were partially offset by $170.9 million of purchases of common stock for treasury, a net decrease in client funds obligations of $156.9 million, $51.1 million in quarterly dividends paid, $12.4 million of deferred financing fees payments and $0.5 million in withholding taxes paid related to equity award net share settlements.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versus 2020</w:t>
      </w:r>
    </w:p>
    <w:p>
      <w:pPr>
        <w:spacing w:after="0" w:line="10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restricted cash and cash equivalents, including amounts held on behalf of clients, were $2,157.7 million at March 31, 2021, an increase of $819.8 million from $1,337.9 million at December 31, 2020.</w:t>
      </w:r>
    </w:p>
    <w:p>
      <w:pPr>
        <w:spacing w:after="0" w:line="13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Net cash provided by operating activities was $185.7 million for the three months ended March 31, 2021. Cash provided by operating activities primarily resulted from net income of $174.9 million adjusted for non-cash items of $152.7 million, partially offset by changes in our working capital accounts (excluding the effect of acquisitions) totaling $141.9 million. The changes in our working capital accounts were driven by decreases in accrued expenses, an increase in accounts receivable, an increase in prepaid expenses and other assets and an increase in contract assets, partially offset by changes in income taxes prepaid and payable and an increase in deferred revenues. The decrease in accrued expenses was primarily due to the payment of annual employee bonuses in the first quarter of 2021. The increases in accounts receivable and deferred revenue were primarily due to the billing of annual maintenance fees, which typically occurs in the first quarter each year. The increase in contract assets was primarily due to the new term license deals. The change in income taxes prepaid and payable is primarily driven by the timing of tax payments. The increase in prepaid expenses and other assets was primarily due to the timing of payments.</w:t>
      </w:r>
    </w:p>
    <w:p>
      <w:pPr>
        <w:spacing w:after="0" w:line="14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Investing activities used net cash of $17.9 million for the three months ended March 31, 2021, primarily related to $22.3 million in capitalized software development costs, $10.0 million in investments in securities and $9.1 million in capital expenditures, partially offset by proceeds from sales and maturities of investments of $13.4 million and net cash acquired for business acquisition of $7.3 million.</w:t>
      </w:r>
    </w:p>
    <w:p>
      <w:pPr>
        <w:spacing w:after="0" w:line="142"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Financing activities provided net cash of $653.7 million for the three months ended March 31, 2021, primarily representing a net increase in client funds obligations of $777.0 million, net borrowings of debt of $70.6 million and proceeds of $30.6 million from stock option exercises. These proceeds were partially offset by $181.4 million of purchases of common stock for treasury and $41.2 million in quarterly dividends paid.</w:t>
      </w:r>
    </w:p>
    <w:p>
      <w:pPr>
        <w:spacing w:after="0" w:line="15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have made a permanent reinvestment determination in certain non-U.S. operations that have historically generated positive operating cash flows. At March 31, 2022, we held approximately $322.5 million in cash and cash equivalents at non-U.S. subsidiaries where we had made such a determination and in turn, no provision for foreign withholding, foreign local, or U.S. state income taxes had been made. At March 31, 2022, we held approximately $247.6 million in cash that was available to our foreign borrowers under our senior secured credit facility and will be used to facilitate debt servicing of those entities.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21"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As of March 31, 2022, there was $1,240.8 million in principal amount outstanding under the Term B-3 Loan, $1,007.3 million in principal amount outstanding under the Term B-4 Loan, $1,715.5 million in principal amount outstanding under the Term B-5 Loan, $650.0 million in principal amount outstanding under the Term B-6 Loan and $880.0 million in principal amount outstanding under the Term B-7 Loan. In addition, the amended senior secured credit facility has a revolving credit facility with a five-year term available for borrowings by SS&amp;C with $250 million in available commitments (“Revolving Credit Facility”), of which $157.5 million was available as of March 31, 2022. The Revolving Credit Facility also contains a $25 million letter of credit sub-facility, of which $2.5 million was utilized as of March 31, 2022.</w:t>
      </w:r>
    </w:p>
    <w:p>
      <w:pPr>
        <w:spacing w:after="0" w:line="155" w:lineRule="exact"/>
        <w:rPr>
          <w:sz w:val="20"/>
          <w:szCs w:val="20"/>
          <w:color w:val="auto"/>
        </w:rPr>
      </w:pPr>
    </w:p>
    <w:p>
      <w:pPr>
        <w:jc w:val="both"/>
        <w:ind w:right="200" w:firstLine="509"/>
        <w:spacing w:after="0" w:line="250" w:lineRule="auto"/>
        <w:rPr>
          <w:sz w:val="20"/>
          <w:szCs w:val="20"/>
          <w:color w:val="auto"/>
        </w:rPr>
      </w:pPr>
      <w:r>
        <w:rPr>
          <w:rFonts w:ascii="Times New Roman" w:cs="Times New Roman" w:eastAsia="Times New Roman" w:hAnsi="Times New Roman"/>
          <w:sz w:val="18"/>
          <w:szCs w:val="18"/>
          <w:color w:val="auto"/>
        </w:rPr>
        <w:t>We are required to make scheduled quarterly payments of 0.25% of the original principal amount of the Term B-3 Loan, Term B-4 Loan and Term B-5 Loan, with the balance due and payable on April 16, 2025. We are required to make scheduled quarterly payments of 0.25% of the original principal amount of the Term B-6 Loan and Term B-7 Loan commencing with the fiscal quarter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ind w:right="40"/>
        <w:spacing w:after="0" w:line="250" w:lineRule="auto"/>
        <w:rPr>
          <w:sz w:val="20"/>
          <w:szCs w:val="20"/>
          <w:color w:val="auto"/>
        </w:rPr>
      </w:pPr>
      <w:r>
        <w:rPr>
          <w:rFonts w:ascii="Times New Roman" w:cs="Times New Roman" w:eastAsia="Times New Roman" w:hAnsi="Times New Roman"/>
          <w:sz w:val="18"/>
          <w:szCs w:val="18"/>
          <w:color w:val="auto"/>
        </w:rPr>
        <w:t>ending September 30, 2022, with the balance due and payable on March 22, 2029.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5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2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3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March 31, 2022, we were in compliance with all financial and non-financial covenants.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08" w:lineRule="exact"/>
        <w:rPr>
          <w:sz w:val="20"/>
          <w:szCs w:val="20"/>
          <w:color w:val="auto"/>
        </w:rPr>
      </w:pPr>
    </w:p>
    <w:p>
      <w:pPr>
        <w:ind w:right="20" w:firstLine="584"/>
        <w:spacing w:after="0" w:line="246" w:lineRule="auto"/>
        <w:rPr>
          <w:sz w:val="20"/>
          <w:szCs w:val="20"/>
          <w:color w:val="auto"/>
        </w:rPr>
      </w:pPr>
      <w:r>
        <w:rPr>
          <w:rFonts w:ascii="Times New Roman" w:cs="Times New Roman" w:eastAsia="Times New Roman" w:hAnsi="Times New Roman"/>
          <w:sz w:val="18"/>
          <w:szCs w:val="18"/>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54" w:lineRule="exact"/>
        <w:rPr>
          <w:sz w:val="20"/>
          <w:szCs w:val="20"/>
          <w:color w:val="auto"/>
        </w:rPr>
      </w:pPr>
    </w:p>
    <w:p>
      <w:pPr>
        <w:ind w:right="120" w:firstLine="584"/>
        <w:spacing w:after="0" w:line="262" w:lineRule="auto"/>
        <w:rPr>
          <w:sz w:val="20"/>
          <w:szCs w:val="20"/>
          <w:color w:val="auto"/>
        </w:rPr>
      </w:pPr>
      <w:r>
        <w:rPr>
          <w:rFonts w:ascii="Times New Roman" w:cs="Times New Roman" w:eastAsia="Times New Roman" w:hAnsi="Times New Roman"/>
          <w:sz w:val="18"/>
          <w:szCs w:val="18"/>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80"/>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3780" w:type="dxa"/>
            <w:vAlign w:val="bottom"/>
          </w:tcPr>
          <w:p>
            <w:pPr>
              <w:spacing w:after="0"/>
              <w:rPr>
                <w:sz w:val="15"/>
                <w:szCs w:val="15"/>
                <w:color w:val="auto"/>
              </w:rPr>
            </w:pPr>
          </w:p>
        </w:tc>
        <w:tc>
          <w:tcPr>
            <w:tcW w:w="238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5"/>
                <w:szCs w:val="15"/>
                <w:color w:val="auto"/>
              </w:rPr>
            </w:pPr>
          </w:p>
        </w:tc>
      </w:tr>
      <w:tr>
        <w:trPr>
          <w:trHeight w:val="216"/>
        </w:trPr>
        <w:tc>
          <w:tcPr>
            <w:tcW w:w="4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On or after March 30, 2022</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2023</w:t>
            </w:r>
          </w:p>
        </w:tc>
        <w:tc>
          <w:tcPr>
            <w:tcW w:w="2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102.750 %</w:t>
            </w:r>
          </w:p>
        </w:tc>
      </w:tr>
      <w:tr>
        <w:trPr>
          <w:trHeight w:val="216"/>
        </w:trPr>
        <w:tc>
          <w:tcPr>
            <w:tcW w:w="4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2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101.375 %</w:t>
            </w:r>
          </w:p>
        </w:tc>
      </w:tr>
      <w:tr>
        <w:trPr>
          <w:trHeight w:val="234"/>
        </w:trPr>
        <w:tc>
          <w:tcPr>
            <w:tcW w:w="4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2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66"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Senior Notes, through tender offers, in privately negotiated or open market transactions, or otherwise.</w:t>
      </w:r>
    </w:p>
    <w:p>
      <w:pPr>
        <w:spacing w:after="0" w:line="135" w:lineRule="exact"/>
        <w:rPr>
          <w:sz w:val="20"/>
          <w:szCs w:val="20"/>
          <w:color w:val="auto"/>
        </w:rPr>
      </w:pPr>
    </w:p>
    <w:p>
      <w:pPr>
        <w:ind w:right="60" w:firstLine="584"/>
        <w:spacing w:after="0" w:line="250" w:lineRule="auto"/>
        <w:rPr>
          <w:sz w:val="20"/>
          <w:szCs w:val="20"/>
          <w:color w:val="auto"/>
        </w:rPr>
      </w:pPr>
      <w:r>
        <w:rPr>
          <w:rFonts w:ascii="Times New Roman" w:cs="Times New Roman" w:eastAsia="Times New Roman" w:hAnsi="Times New Roman"/>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March 31, 2022, there was $2,000.0 million in principal amount of Senior Notes outstanding.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63"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39"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4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4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9" w:lineRule="exact"/>
        <w:rPr>
          <w:sz w:val="20"/>
          <w:szCs w:val="20"/>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w:t>
      </w:r>
    </w:p>
    <w:p>
      <w:pPr>
        <w:spacing w:after="0" w:line="10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00" w:hanging="377"/>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4"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03" w:lineRule="exact"/>
        <w:rPr>
          <w:rFonts w:ascii="Times New Roman" w:cs="Times New Roman" w:eastAsia="Times New Roman" w:hAnsi="Times New Roman"/>
          <w:sz w:val="18"/>
          <w:szCs w:val="18"/>
          <w:color w:val="auto"/>
        </w:rPr>
      </w:pPr>
    </w:p>
    <w:p>
      <w:pPr>
        <w:ind w:left="720" w:right="480" w:hanging="377"/>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24" w:name="page25"/>
    <w:bookmarkEnd w:id="24"/>
    <w:p>
      <w:pPr>
        <w:ind w:right="300" w:firstLine="509"/>
        <w:spacing w:after="0" w:line="257"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31"/>
        </w:trPr>
        <w:tc>
          <w:tcPr>
            <w:tcW w:w="5820" w:type="dxa"/>
            <w:vAlign w:val="bottom"/>
          </w:tcPr>
          <w:p>
            <w:pPr>
              <w:spacing w:after="0"/>
              <w:rPr>
                <w:sz w:val="11"/>
                <w:szCs w:val="11"/>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80" w:type="dxa"/>
            <w:vAlign w:val="bottom"/>
          </w:tcPr>
          <w:p>
            <w:pPr>
              <w:spacing w:after="0"/>
              <w:rPr>
                <w:sz w:val="17"/>
                <w:szCs w:val="17"/>
                <w:color w:val="auto"/>
              </w:rPr>
            </w:pPr>
          </w:p>
        </w:tc>
        <w:tc>
          <w:tcPr>
            <w:tcW w:w="86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174.9</w:t>
            </w:r>
          </w:p>
        </w:tc>
        <w:tc>
          <w:tcPr>
            <w:tcW w:w="2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169.5</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456.6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8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(6.4 )</w:t>
            </w: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(24.3 )</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portion of straight-line rent expense</w:t>
            </w:r>
          </w:p>
        </w:tc>
        <w:tc>
          <w:tcPr>
            <w:tcW w:w="8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(0.6 )</w:t>
            </w:r>
          </w:p>
        </w:tc>
        <w:tc>
          <w:tcPr>
            <w:tcW w:w="8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6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8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(1.3 )</w:t>
            </w:r>
          </w:p>
        </w:tc>
        <w:tc>
          <w:tcPr>
            <w:tcW w:w="8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(0.3 )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ASC 606 adoption impact</w:t>
            </w:r>
          </w:p>
        </w:tc>
        <w:tc>
          <w:tcPr>
            <w:tcW w:w="8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(0.4 )</w:t>
            </w: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Other (3)</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860" w:type="dxa"/>
            <w:vAlign w:val="bottom"/>
            <w:tcBorders>
              <w:bottom w:val="single" w:sz="8" w:color="auto"/>
            </w:tcBorders>
            <w:shd w:val="clear" w:color="auto" w:fill="CFF0FC"/>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493.2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(4)</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 attributable to SS&amp;C common stockholders</w:t>
            </w:r>
          </w:p>
        </w:tc>
        <w:tc>
          <w:tcPr>
            <w:tcW w:w="860" w:type="dxa"/>
            <w:vAlign w:val="bottom"/>
            <w:tcBorders>
              <w:top w:val="single" w:sz="8" w:color="auto"/>
              <w:bottom w:val="single" w:sz="8" w:color="auto"/>
            </w:tcBorders>
            <w:shd w:val="clear" w:color="auto" w:fill="CFF0FC"/>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2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493.2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-1602105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-1602105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-1602105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-299720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-299720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6" w:lineRule="exact"/>
        <w:rPr>
          <w:sz w:val="20"/>
          <w:szCs w:val="20"/>
          <w:color w:val="auto"/>
        </w:rPr>
      </w:pPr>
    </w:p>
    <w:p>
      <w:pPr>
        <w:ind w:left="520" w:right="220" w:hanging="512"/>
        <w:spacing w:after="0" w:line="24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spacing w:after="0" w:line="1" w:lineRule="exact"/>
        <w:rPr>
          <w:rFonts w:ascii="Times New Roman" w:cs="Times New Roman" w:eastAsia="Times New Roman" w:hAnsi="Times New Roman"/>
          <w:sz w:val="18"/>
          <w:szCs w:val="18"/>
          <w:color w:val="auto"/>
        </w:rPr>
      </w:pPr>
    </w:p>
    <w:p>
      <w:pPr>
        <w:ind w:left="520" w:right="40" w:hanging="512"/>
        <w:spacing w:after="0" w:line="249"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 adjustment to increase or decrease rent expense by the amount that would have been recognized if lease obligations were not adjusted to fair</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value at the date of acquisitions.</w:t>
      </w:r>
    </w:p>
    <w:p>
      <w:pPr>
        <w:ind w:left="520" w:right="4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ind w:left="520" w:right="420" w:hanging="512"/>
        <w:spacing w:after="0" w:line="243"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w:t>
      </w:r>
    </w:p>
    <w:p>
      <w:pPr>
        <w:spacing w:after="0" w:line="18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covenant requirement for consolidated net secured leverage ratio and the actual ratio as of March 31, 2022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55"/>
        </w:trPr>
        <w:tc>
          <w:tcPr>
            <w:tcW w:w="580" w:type="dxa"/>
            <w:vAlign w:val="bottom"/>
          </w:tcPr>
          <w:p>
            <w:pPr>
              <w:spacing w:after="0"/>
              <w:rPr>
                <w:sz w:val="13"/>
                <w:szCs w:val="13"/>
                <w:color w:val="auto"/>
              </w:rPr>
            </w:pPr>
          </w:p>
        </w:tc>
        <w:tc>
          <w:tcPr>
            <w:tcW w:w="6940" w:type="dxa"/>
            <w:vAlign w:val="bottom"/>
            <w:shd w:val="clear" w:color="auto" w:fill="CFF0FC"/>
          </w:tcPr>
          <w:p>
            <w:pPr>
              <w:jc w:val="right"/>
              <w:ind w:right="3430"/>
              <w:spacing w:after="0" w:line="156" w:lineRule="exact"/>
              <w:rPr>
                <w:sz w:val="20"/>
                <w:szCs w:val="20"/>
                <w:color w:val="auto"/>
              </w:rPr>
            </w:pPr>
            <w:r>
              <w:rPr>
                <w:rFonts w:ascii="Times New Roman" w:cs="Times New Roman" w:eastAsia="Times New Roman" w:hAnsi="Times New Roman"/>
                <w:sz w:val="18"/>
                <w:szCs w:val="18"/>
                <w:color w:val="auto"/>
                <w:w w:val="99"/>
              </w:rPr>
              <w:t>Maximum consolidated net secured leverage to</w:t>
            </w:r>
          </w:p>
        </w:tc>
        <w:tc>
          <w:tcPr>
            <w:tcW w:w="1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jc w:val="right"/>
              <w:ind w:right="4530"/>
              <w:spacing w:after="0" w:line="243" w:lineRule="exact"/>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2.51x</w:t>
            </w:r>
          </w:p>
        </w:tc>
      </w:tr>
      <w:tr>
        <w:trPr>
          <w:trHeight w:val="134"/>
        </w:trPr>
        <w:tc>
          <w:tcPr>
            <w:tcW w:w="7520" w:type="dxa"/>
            <w:vAlign w:val="bottom"/>
            <w:gridSpan w:val="2"/>
          </w:tcPr>
          <w:p>
            <w:pPr>
              <w:jc w:val="right"/>
              <w:ind w:right="5050"/>
              <w:spacing w:after="0"/>
              <w:rPr>
                <w:sz w:val="20"/>
                <w:szCs w:val="20"/>
                <w:color w:val="auto"/>
              </w:rPr>
            </w:pPr>
            <w:r>
              <w:rPr>
                <w:rFonts w:ascii="Times New Roman" w:cs="Times New Roman" w:eastAsia="Times New Roman" w:hAnsi="Times New Roman"/>
                <w:sz w:val="9"/>
                <w:szCs w:val="9"/>
                <w:color w:val="auto"/>
                <w:w w:val="98"/>
              </w:rPr>
              <w:t>_____________________________________________________</w:t>
            </w: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ind w:left="520" w:hanging="512"/>
        <w:spacing w:after="0" w:line="24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$145.0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p>
    <w:p>
      <w:pPr>
        <w:spacing w:after="0" w:line="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ASU 2021-08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on the acquisition date. Generally, this new guidance with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prospective basis. The adoption of this standard did not have a material impact on our financial position, results of operations or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 Not Yet Effective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p>
    <w:p>
      <w:pPr>
        <w:spacing w:after="0" w:line="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ASU 2020-04 provides optional expedients and exceptions for applying GAAP if certain criteria are met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In January 2021, the FASB issued Update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will fluctuate. For the three months ended March 31, 2022, we had average daily cash balances of approximately $2,486.8 million maintained in such accounts. We estimate that a 100 basis point change in the interest earnings rate would equal approximately $9.1 million of net income, net of income taxes, on an annual basis. The effect of changes in interest rates attributable to earnings derived from cash balances we hold for clients is offset by changes in interest rates on our variable debt.</w:t>
      </w:r>
    </w:p>
    <w:p>
      <w:pPr>
        <w:spacing w:after="0" w:line="14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At March 31, 2022, we had total variable interest rate debt of approximately $5,583.6 million. As of March 31, 2022, a 100 basis point increase in interest rates would result in an increase in interest expense of approximately $55.8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0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March 31, 2022 was approximately $71.7 million. The impact of a 10% change in fair value of these investments would have been approximately $5.3 million to net income, net of income taxes. Changes in equity values of our investments could have a material effect on our results of operations and our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0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During the three months ended March 31, 2022, approximately 29%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(expense) income. These amounts were not material for the three months ended March 31, 2022.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47"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2022.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12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4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there have been no material changes to the risk factors we previously disclosed in our Annual Report on Form 10-K for the year ended December 31, 2021.</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repurchases of our common stock in the first quarter of 2022 (in millions, except average price per share):</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(b) Average</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1, 2022 – March 31, 2022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-136525</wp:posOffset>
            </wp:positionV>
            <wp:extent cx="670369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ind w:left="940" w:hanging="370"/>
        <w:spacing w:after="0"/>
        <w:tabs>
          <w:tab w:leader="none" w:pos="9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is based on trade dates of repurchase transactions.</w:t>
      </w:r>
    </w:p>
    <w:p>
      <w:pPr>
        <w:spacing w:after="0" w:line="9" w:lineRule="exact"/>
        <w:rPr>
          <w:rFonts w:ascii="Times New Roman" w:cs="Times New Roman" w:eastAsia="Times New Roman" w:hAnsi="Times New Roman"/>
          <w:sz w:val="16"/>
          <w:szCs w:val="16"/>
          <w:color w:val="auto"/>
        </w:rPr>
      </w:pPr>
    </w:p>
    <w:p>
      <w:pPr>
        <w:ind w:left="940" w:hanging="370"/>
        <w:spacing w:after="0"/>
        <w:tabs>
          <w:tab w:leader="none" w:pos="9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repurchased in open market transactions pursuant to the Common Stock Repurchase Program.</w:t>
      </w:r>
    </w:p>
    <w:p>
      <w:pPr>
        <w:spacing w:after="0" w:line="5" w:lineRule="exact"/>
        <w:rPr>
          <w:rFonts w:ascii="Times New Roman" w:cs="Times New Roman" w:eastAsia="Times New Roman" w:hAnsi="Times New Roman"/>
          <w:sz w:val="16"/>
          <w:szCs w:val="16"/>
          <w:color w:val="auto"/>
        </w:rPr>
      </w:pPr>
    </w:p>
    <w:p>
      <w:pPr>
        <w:ind w:left="940" w:right="140" w:hanging="370"/>
        <w:spacing w:after="0" w:line="257" w:lineRule="auto"/>
        <w:tabs>
          <w:tab w:leader="none" w:pos="9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repurchases were made pursuant to our Common Stock Repurchase Program authorized by our Board of Directors in July 2021. The program allows for the purchase of up to $1 billion of outstanding common stock in one or more transactions on the open market or in privately negotiated purchases.</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392"/>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8"/>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Incremental Joinder, dated as of March 22, 2022, among SS&amp;C Technologies Holdings, Inc., SS&amp;C Technologies, Inc., SS&amp;C Financing</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8"/>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LLC, SS&amp;C European Holdings S.à.R.L, the other guarantors party thereto, the Term B-6 Lenders party thereto, the Term B-7 Lenders party</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thereto and Credit Suisse AG, Cayman Islands Branch, as Administrative Agent is incorporated by reference to Exhibit 10.1 to the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Registrant's Current Report on Form 8-K, filed on March 22, 2022 (File No. 001-34675)</w:t>
              </w:r>
            </w:hyperlink>
          </w:p>
        </w:tc>
        <w:tc>
          <w:tcPr>
            <w:tcW w:w="7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Registrant’s Chief Executive Officer pursuant to Section 302 of the Sarbanes-Oxley Act of 2002</w:t>
            </w:r>
          </w:p>
        </w:tc>
        <w:tc>
          <w:tcPr>
            <w:tcW w:w="0" w:type="dxa"/>
            <w:vAlign w:val="bottom"/>
          </w:tcPr>
          <w:p>
            <w:pPr>
              <w:spacing w:after="0"/>
              <w:rPr>
                <w:sz w:val="1"/>
                <w:szCs w:val="1"/>
                <w:color w:val="auto"/>
              </w:rPr>
            </w:pPr>
          </w:p>
        </w:tc>
      </w:tr>
      <w:tr>
        <w:trPr>
          <w:trHeight w:val="52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040" w:right="20" w:hanging="1019"/>
        <w:spacing w:after="0" w:line="23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-264160</wp:posOffset>
            </wp:positionV>
            <wp:extent cx="64719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-144145</wp:posOffset>
            </wp:positionV>
            <wp:extent cx="64496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1169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54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306" w:lineRule="exact"/>
        <w:rPr>
          <w:sz w:val="20"/>
          <w:szCs w:val="20"/>
          <w:color w:val="auto"/>
        </w:rPr>
      </w:pPr>
    </w:p>
    <w:p>
      <w:pPr>
        <w:ind w:left="1040" w:hanging="10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266"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Patrick J. Pedonti</w:t>
      </w:r>
    </w:p>
    <w:p>
      <w:pPr>
        <w:ind w:left="6660"/>
        <w:spacing w:after="0" w:line="219"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6660"/>
        <w:spacing w:after="0" w:line="232" w:lineRule="auto"/>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0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 Stone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J. Pedonti, certify that:</w:t>
      </w:r>
    </w:p>
    <w:p>
      <w:pPr>
        <w:spacing w:after="0" w:line="104"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7"/>
          <w:szCs w:val="17"/>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J. Pedonti</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SS&amp;C Technologies Holdings, Inc. (the “Company”) for the period ended March 31, 2022 as filed with the Securities and Exchange Commission on the date hereof (the “Report”), the undersigned officers of the Company hereby certify to their knowledge, pursuant to 18 U.S.C. Section 1350, that:</w:t>
      </w:r>
    </w:p>
    <w:p>
      <w:pPr>
        <w:spacing w:after="0" w:line="82" w:lineRule="exact"/>
        <w:rPr>
          <w:sz w:val="20"/>
          <w:szCs w:val="20"/>
          <w:color w:val="auto"/>
        </w:rPr>
      </w:pPr>
    </w:p>
    <w:p>
      <w:pPr>
        <w:ind w:left="820" w:hanging="36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William C. Stone</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Patrick J. Pedonti</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2"/>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25" Type="http://schemas.openxmlformats.org/officeDocument/2006/relationships/hyperlink" Target="https://www.sec.gov/Archives/edgar/data/1402436/000095017022004309/ssn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2022-05-06T12:10:01Z</dcterms:created>
  <dcterms:modified xsi:type="dcterms:W3CDTF">2022-05-06T12:10:01Z</dcterms:modified>
</cp:coreProperties>
</file>