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59"/>
        <w:spacing w:after="0"/>
        <w:rPr>
          <w:sz w:val="20"/>
          <w:szCs w:val="20"/>
          <w:color w:val="auto"/>
        </w:rPr>
      </w:pPr>
      <w:r>
        <w:rPr>
          <w:rFonts w:ascii="Arial" w:cs="Arial" w:eastAsia="Arial" w:hAnsi="Arial"/>
          <w:sz w:val="32"/>
          <w:szCs w:val="32"/>
          <w:b w:val="1"/>
          <w:bCs w:val="1"/>
          <w:color w:val="auto"/>
        </w:rPr>
        <w:drawing>
          <wp:anchor simplePos="0" relativeHeight="251657728" behindDoc="1" locked="0" layoutInCell="0" allowOverlap="1">
            <wp:simplePos x="0" y="0"/>
            <wp:positionH relativeFrom="page">
              <wp:posOffset>208280</wp:posOffset>
            </wp:positionH>
            <wp:positionV relativeFrom="page">
              <wp:posOffset>182880</wp:posOffset>
            </wp:positionV>
            <wp:extent cx="7132320" cy="82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32320" cy="8255"/>
                    </a:xfrm>
                    <a:prstGeom prst="rect">
                      <a:avLst/>
                    </a:prstGeom>
                    <a:noFill/>
                  </pic:spPr>
                </pic:pic>
              </a:graphicData>
            </a:graphic>
          </wp:anchor>
        </w:drawing>
        <w:drawing>
          <wp:anchor simplePos="0" relativeHeight="251657728" behindDoc="1" locked="0" layoutInCell="0" allowOverlap="1">
            <wp:simplePos x="0" y="0"/>
            <wp:positionH relativeFrom="page">
              <wp:posOffset>208280</wp:posOffset>
            </wp:positionH>
            <wp:positionV relativeFrom="page">
              <wp:posOffset>200660</wp:posOffset>
            </wp:positionV>
            <wp:extent cx="7132320" cy="82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32320" cy="8255"/>
                    </a:xfrm>
                    <a:prstGeom prst="rect">
                      <a:avLst/>
                    </a:prstGeom>
                    <a:noFill/>
                  </pic:spPr>
                </pic:pic>
              </a:graphicData>
            </a:graphic>
          </wp:anchor>
        </w:drawing>
        <w:t>UNITED STATES</w:t>
      </w:r>
    </w:p>
    <w:p>
      <w:pPr>
        <w:spacing w:after="0" w:line="31" w:lineRule="exact"/>
        <w:rPr>
          <w:sz w:val="24"/>
          <w:szCs w:val="24"/>
          <w:color w:val="auto"/>
        </w:rPr>
      </w:pPr>
    </w:p>
    <w:p>
      <w:pPr>
        <w:jc w:val="center"/>
        <w:ind w:right="-59"/>
        <w:spacing w:after="0"/>
        <w:rPr>
          <w:sz w:val="20"/>
          <w:szCs w:val="20"/>
          <w:color w:val="auto"/>
        </w:rPr>
      </w:pPr>
      <w:r>
        <w:rPr>
          <w:rFonts w:ascii="Arial" w:cs="Arial" w:eastAsia="Arial" w:hAnsi="Arial"/>
          <w:sz w:val="32"/>
          <w:szCs w:val="32"/>
          <w:b w:val="1"/>
          <w:bCs w:val="1"/>
          <w:color w:val="auto"/>
        </w:rPr>
        <w:t>SECURITIES AND EXCHANGE COMMISSION</w:t>
      </w:r>
    </w:p>
    <w:p>
      <w:pPr>
        <w:jc w:val="center"/>
        <w:ind w:right="20"/>
        <w:spacing w:after="0"/>
        <w:rPr>
          <w:sz w:val="20"/>
          <w:szCs w:val="20"/>
          <w:color w:val="auto"/>
        </w:rPr>
      </w:pPr>
      <w:r>
        <w:rPr>
          <w:rFonts w:ascii="Arial" w:cs="Arial" w:eastAsia="Arial" w:hAnsi="Arial"/>
          <w:sz w:val="22"/>
          <w:szCs w:val="22"/>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2859405</wp:posOffset>
            </wp:positionH>
            <wp:positionV relativeFrom="paragraph">
              <wp:posOffset>55880</wp:posOffset>
            </wp:positionV>
            <wp:extent cx="1423035" cy="82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423035" cy="8255"/>
                    </a:xfrm>
                    <a:prstGeom prst="rect">
                      <a:avLst/>
                    </a:prstGeom>
                    <a:noFill/>
                  </pic:spPr>
                </pic:pic>
              </a:graphicData>
            </a:graphic>
          </wp:anchor>
        </w:drawing>
      </w:r>
    </w:p>
    <w:p>
      <w:pPr>
        <w:spacing w:after="0" w:line="108" w:lineRule="exact"/>
        <w:rPr>
          <w:sz w:val="24"/>
          <w:szCs w:val="24"/>
          <w:color w:val="auto"/>
        </w:rPr>
      </w:pPr>
    </w:p>
    <w:p>
      <w:pPr>
        <w:jc w:val="center"/>
        <w:ind w:right="40"/>
        <w:spacing w:after="0"/>
        <w:rPr>
          <w:sz w:val="20"/>
          <w:szCs w:val="20"/>
          <w:color w:val="auto"/>
        </w:rPr>
      </w:pPr>
      <w:r>
        <w:rPr>
          <w:rFonts w:ascii="Arial" w:cs="Arial" w:eastAsia="Arial" w:hAnsi="Arial"/>
          <w:sz w:val="32"/>
          <w:szCs w:val="32"/>
          <w:b w:val="1"/>
          <w:bCs w:val="1"/>
          <w:color w:val="auto"/>
        </w:rPr>
        <w:t>FORM 10-Q</w:t>
      </w:r>
    </w:p>
    <w:p>
      <w:pPr>
        <w:spacing w:after="0" w:line="132" w:lineRule="exact"/>
        <w:rPr>
          <w:sz w:val="24"/>
          <w:szCs w:val="24"/>
          <w:color w:val="auto"/>
        </w:rPr>
      </w:pPr>
    </w:p>
    <w:p>
      <w:pPr>
        <w:ind w:left="680" w:right="20" w:hanging="672"/>
        <w:spacing w:after="0" w:line="256" w:lineRule="auto"/>
        <w:tabs>
          <w:tab w:leader="none" w:pos="680" w:val="left"/>
        </w:tabs>
        <w:numPr>
          <w:ilvl w:val="0"/>
          <w:numId w:val="1"/>
        </w:numPr>
        <w:rPr>
          <w:rFonts w:ascii="MS PGothic" w:cs="MS PGothic" w:eastAsia="MS PGothic" w:hAnsi="MS PGothic"/>
          <w:sz w:val="18"/>
          <w:szCs w:val="18"/>
          <w:color w:val="auto"/>
          <w:highlight w:val="black"/>
        </w:rPr>
      </w:pPr>
      <w:r>
        <w:rPr>
          <w:rFonts w:ascii="Arial" w:cs="Arial" w:eastAsia="Arial" w:hAnsi="Arial"/>
          <w:sz w:val="22"/>
          <w:szCs w:val="22"/>
          <w:b w:val="1"/>
          <w:bCs w:val="1"/>
          <w:color w:val="auto"/>
        </w:rPr>
        <w:t>QUARTERLY REPORT PURSUANT TO SECTION 13 OR 15(d) OF THE SECURITIES EXCHANGE ACT OF 1934</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2859405</wp:posOffset>
            </wp:positionH>
            <wp:positionV relativeFrom="paragraph">
              <wp:posOffset>-333375</wp:posOffset>
            </wp:positionV>
            <wp:extent cx="1423035" cy="825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423035" cy="8255"/>
                    </a:xfrm>
                    <a:prstGeom prst="rect">
                      <a:avLst/>
                    </a:prstGeom>
                    <a:noFill/>
                  </pic:spPr>
                </pic:pic>
              </a:graphicData>
            </a:graphic>
          </wp:anchor>
        </w:drawing>
      </w:r>
    </w:p>
    <w:p>
      <w:pPr>
        <w:spacing w:after="0" w:line="57" w:lineRule="exact"/>
        <w:rPr>
          <w:sz w:val="24"/>
          <w:szCs w:val="24"/>
          <w:color w:val="auto"/>
        </w:rPr>
      </w:pPr>
    </w:p>
    <w:p>
      <w:pPr>
        <w:jc w:val="center"/>
        <w:ind w:right="-59"/>
        <w:spacing w:after="0"/>
        <w:rPr>
          <w:sz w:val="20"/>
          <w:szCs w:val="20"/>
          <w:color w:val="auto"/>
        </w:rPr>
      </w:pPr>
      <w:r>
        <w:rPr>
          <w:rFonts w:ascii="Arial" w:cs="Arial" w:eastAsia="Arial" w:hAnsi="Arial"/>
          <w:sz w:val="18"/>
          <w:szCs w:val="18"/>
          <w:b w:val="1"/>
          <w:bCs w:val="1"/>
          <w:color w:val="auto"/>
        </w:rPr>
        <w:t>For the quarterly period ended March 31, 2021</w:t>
      </w:r>
    </w:p>
    <w:p>
      <w:pPr>
        <w:spacing w:after="0" w:line="121" w:lineRule="exact"/>
        <w:rPr>
          <w:sz w:val="24"/>
          <w:szCs w:val="24"/>
          <w:color w:val="auto"/>
        </w:rPr>
      </w:pPr>
    </w:p>
    <w:p>
      <w:pPr>
        <w:ind w:left="680" w:hanging="672"/>
        <w:spacing w:after="0" w:line="256" w:lineRule="auto"/>
        <w:tabs>
          <w:tab w:leader="none" w:pos="680" w:val="left"/>
        </w:tabs>
        <w:numPr>
          <w:ilvl w:val="0"/>
          <w:numId w:val="2"/>
        </w:numPr>
        <w:rPr>
          <w:rFonts w:ascii="MS PGothic" w:cs="MS PGothic" w:eastAsia="MS PGothic" w:hAnsi="MS PGothic"/>
          <w:sz w:val="18"/>
          <w:szCs w:val="18"/>
          <w:color w:val="auto"/>
          <w:highlight w:val="black"/>
        </w:rPr>
      </w:pPr>
      <w:r>
        <w:rPr>
          <w:rFonts w:ascii="Arial" w:cs="Arial" w:eastAsia="Arial" w:hAnsi="Arial"/>
          <w:sz w:val="22"/>
          <w:szCs w:val="22"/>
          <w:b w:val="1"/>
          <w:bCs w:val="1"/>
          <w:color w:val="auto"/>
        </w:rPr>
        <w:t>TRANSITION REPORT PURSUANT TO SECTION 13 OR 15(d) OF THE SECURITIES EXCHANGE ACT OF 1934</w:t>
      </w:r>
    </w:p>
    <w:p>
      <w:pPr>
        <w:spacing w:after="0" w:line="77" w:lineRule="exact"/>
        <w:rPr>
          <w:sz w:val="24"/>
          <w:szCs w:val="24"/>
          <w:color w:val="auto"/>
        </w:rPr>
      </w:pPr>
    </w:p>
    <w:p>
      <w:pPr>
        <w:ind w:left="4020"/>
        <w:spacing w:after="0"/>
        <w:tabs>
          <w:tab w:leader="none" w:pos="6700" w:val="left"/>
        </w:tabs>
        <w:rPr>
          <w:sz w:val="20"/>
          <w:szCs w:val="20"/>
          <w:color w:val="auto"/>
        </w:rPr>
      </w:pPr>
      <w:r>
        <w:rPr>
          <w:rFonts w:ascii="Arial" w:cs="Arial" w:eastAsia="Arial" w:hAnsi="Arial"/>
          <w:sz w:val="18"/>
          <w:szCs w:val="18"/>
          <w:b w:val="1"/>
          <w:bCs w:val="1"/>
          <w:color w:val="auto"/>
        </w:rPr>
        <w:t>For the transition period from</w:t>
      </w:r>
      <w:r>
        <w:rPr>
          <w:sz w:val="20"/>
          <w:szCs w:val="20"/>
          <w:color w:val="auto"/>
        </w:rPr>
        <w:tab/>
      </w:r>
      <w:r>
        <w:rPr>
          <w:rFonts w:ascii="Arial" w:cs="Arial" w:eastAsia="Arial" w:hAnsi="Arial"/>
          <w:sz w:val="13"/>
          <w:szCs w:val="13"/>
          <w:b w:val="1"/>
          <w:bCs w:val="1"/>
          <w:color w:val="auto"/>
        </w:rPr>
        <w:t>to</w:t>
      </w:r>
    </w:p>
    <w:p>
      <w:pPr>
        <w:spacing w:after="0" w:line="27" w:lineRule="exact"/>
        <w:rPr>
          <w:sz w:val="24"/>
          <w:szCs w:val="24"/>
          <w:color w:val="auto"/>
        </w:rPr>
      </w:pPr>
    </w:p>
    <w:p>
      <w:pPr>
        <w:ind w:left="4220"/>
        <w:spacing w:after="0"/>
        <w:rPr>
          <w:sz w:val="20"/>
          <w:szCs w:val="20"/>
          <w:color w:val="auto"/>
        </w:rPr>
      </w:pPr>
      <w:r>
        <w:rPr>
          <w:rFonts w:ascii="Arial" w:cs="Arial" w:eastAsia="Arial" w:hAnsi="Arial"/>
          <w:sz w:val="18"/>
          <w:szCs w:val="18"/>
          <w:b w:val="1"/>
          <w:bCs w:val="1"/>
          <w:color w:val="auto"/>
        </w:rPr>
        <w:t>Commission File Number 001-34675</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2636520</wp:posOffset>
            </wp:positionH>
            <wp:positionV relativeFrom="paragraph">
              <wp:posOffset>66040</wp:posOffset>
            </wp:positionV>
            <wp:extent cx="1877060" cy="109728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1877060" cy="1097280"/>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76" w:lineRule="exact"/>
        <w:rPr>
          <w:sz w:val="24"/>
          <w:szCs w:val="24"/>
          <w:color w:val="auto"/>
        </w:rPr>
      </w:pPr>
    </w:p>
    <w:p>
      <w:pPr>
        <w:jc w:val="center"/>
        <w:ind w:right="-59"/>
        <w:spacing w:after="0"/>
        <w:rPr>
          <w:sz w:val="20"/>
          <w:szCs w:val="20"/>
          <w:color w:val="auto"/>
        </w:rPr>
      </w:pPr>
      <w:r>
        <w:rPr>
          <w:rFonts w:ascii="Arial" w:cs="Arial" w:eastAsia="Arial" w:hAnsi="Arial"/>
          <w:sz w:val="43"/>
          <w:szCs w:val="43"/>
          <w:b w:val="1"/>
          <w:bCs w:val="1"/>
          <w:color w:val="auto"/>
        </w:rPr>
        <w:t>SS&amp;C TECHNOLOGIES HOLDINGS, INC.</w:t>
      </w:r>
    </w:p>
    <w:p>
      <w:pPr>
        <w:spacing w:after="0" w:line="50" w:lineRule="exact"/>
        <w:rPr>
          <w:sz w:val="24"/>
          <w:szCs w:val="24"/>
          <w:color w:val="auto"/>
        </w:rPr>
      </w:pPr>
    </w:p>
    <w:p>
      <w:pPr>
        <w:jc w:val="center"/>
        <w:ind w:right="-19"/>
        <w:spacing w:after="0"/>
        <w:rPr>
          <w:sz w:val="20"/>
          <w:szCs w:val="20"/>
          <w:color w:val="auto"/>
        </w:rPr>
      </w:pPr>
      <w:r>
        <w:rPr>
          <w:rFonts w:ascii="Arial" w:cs="Arial" w:eastAsia="Arial" w:hAnsi="Arial"/>
          <w:sz w:val="18"/>
          <w:szCs w:val="18"/>
          <w:b w:val="1"/>
          <w:bCs w:val="1"/>
          <w:color w:val="auto"/>
        </w:rPr>
        <w:t>(Exact name of Registrant as specified in its charter)</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2859405</wp:posOffset>
            </wp:positionH>
            <wp:positionV relativeFrom="paragraph">
              <wp:posOffset>64770</wp:posOffset>
            </wp:positionV>
            <wp:extent cx="1423035" cy="889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1423035" cy="8890"/>
                    </a:xfrm>
                    <a:prstGeom prst="rect">
                      <a:avLst/>
                    </a:prstGeom>
                    <a:noFill/>
                  </pic:spPr>
                </pic:pic>
              </a:graphicData>
            </a:graphic>
          </wp:anchor>
        </w:drawing>
      </w:r>
    </w:p>
    <w:p>
      <w:pPr>
        <w:sectPr>
          <w:pgSz w:w="11900" w:h="16838" w:orient="portrait"/>
          <w:cols w:equalWidth="0" w:num="1">
            <w:col w:w="11200"/>
          </w:cols>
          <w:pgMar w:left="320" w:top="368" w:right="379" w:bottom="1440" w:gutter="0" w:footer="0" w:header="0"/>
        </w:sectPr>
      </w:pPr>
    </w:p>
    <w:p>
      <w:pPr>
        <w:spacing w:after="0" w:line="219" w:lineRule="exact"/>
        <w:rPr>
          <w:sz w:val="24"/>
          <w:szCs w:val="24"/>
          <w:color w:val="auto"/>
        </w:rPr>
      </w:pPr>
    </w:p>
    <w:p>
      <w:pPr>
        <w:ind w:left="2400"/>
        <w:spacing w:after="0"/>
        <w:rPr>
          <w:sz w:val="20"/>
          <w:szCs w:val="20"/>
          <w:color w:val="auto"/>
        </w:rPr>
      </w:pPr>
      <w:r>
        <w:rPr>
          <w:rFonts w:ascii="Arial" w:cs="Arial" w:eastAsia="Arial" w:hAnsi="Arial"/>
          <w:sz w:val="16"/>
          <w:szCs w:val="16"/>
          <w:b w:val="1"/>
          <w:bCs w:val="1"/>
          <w:color w:val="auto"/>
        </w:rPr>
        <w:t>Delaware</w:t>
      </w:r>
    </w:p>
    <w:p>
      <w:pPr>
        <w:spacing w:after="0" w:line="20" w:lineRule="exact"/>
        <w:rPr>
          <w:sz w:val="24"/>
          <w:szCs w:val="24"/>
          <w:color w:val="auto"/>
        </w:rPr>
      </w:pPr>
      <w:r>
        <w:rPr>
          <w:sz w:val="24"/>
          <w:szCs w:val="24"/>
          <w:color w:val="auto"/>
        </w:rPr>
        <w:br w:type="column"/>
      </w:r>
    </w:p>
    <w:p>
      <w:pPr>
        <w:spacing w:after="0" w:line="199" w:lineRule="exact"/>
        <w:rPr>
          <w:sz w:val="24"/>
          <w:szCs w:val="24"/>
          <w:color w:val="auto"/>
        </w:rPr>
      </w:pPr>
    </w:p>
    <w:p>
      <w:pPr>
        <w:spacing w:after="0"/>
        <w:rPr>
          <w:sz w:val="20"/>
          <w:szCs w:val="20"/>
          <w:color w:val="auto"/>
        </w:rPr>
      </w:pPr>
      <w:r>
        <w:rPr>
          <w:rFonts w:ascii="Arial" w:cs="Arial" w:eastAsia="Arial" w:hAnsi="Arial"/>
          <w:sz w:val="16"/>
          <w:szCs w:val="16"/>
          <w:b w:val="1"/>
          <w:bCs w:val="1"/>
          <w:color w:val="auto"/>
        </w:rPr>
        <w:t>71-0987913</w:t>
      </w:r>
    </w:p>
    <w:p>
      <w:pPr>
        <w:spacing w:after="0" w:line="50" w:lineRule="exact"/>
        <w:rPr>
          <w:sz w:val="24"/>
          <w:szCs w:val="24"/>
          <w:color w:val="auto"/>
        </w:rPr>
      </w:pPr>
    </w:p>
    <w:p>
      <w:pPr>
        <w:sectPr>
          <w:pgSz w:w="11900" w:h="16838" w:orient="portrait"/>
          <w:cols w:equalWidth="0" w:num="2">
            <w:col w:w="7340" w:space="720"/>
            <w:col w:w="3140"/>
          </w:cols>
          <w:pgMar w:left="320" w:top="368" w:right="379" w:bottom="1440" w:gutter="0" w:footer="0" w:header="0"/>
          <w:type w:val="continuous"/>
        </w:sectPr>
      </w:pPr>
    </w:p>
    <w:p>
      <w:pPr>
        <w:ind w:left="2080"/>
        <w:spacing w:after="0"/>
        <w:rPr>
          <w:sz w:val="20"/>
          <w:szCs w:val="20"/>
          <w:color w:val="auto"/>
        </w:rPr>
      </w:pPr>
      <w:r>
        <w:rPr>
          <w:rFonts w:ascii="Arial" w:cs="Arial" w:eastAsia="Arial" w:hAnsi="Arial"/>
          <w:sz w:val="10"/>
          <w:szCs w:val="10"/>
          <w:b w:val="1"/>
          <w:bCs w:val="1"/>
          <w:color w:val="auto"/>
        </w:rPr>
        <w:t>(State or other jurisdiction of</w:t>
      </w:r>
    </w:p>
    <w:p>
      <w:pPr>
        <w:spacing w:after="0" w:line="5" w:lineRule="exact"/>
        <w:rPr>
          <w:sz w:val="24"/>
          <w:szCs w:val="24"/>
          <w:color w:val="auto"/>
        </w:rPr>
      </w:pPr>
    </w:p>
    <w:p>
      <w:pPr>
        <w:ind w:left="2060"/>
        <w:spacing w:after="0"/>
        <w:rPr>
          <w:sz w:val="20"/>
          <w:szCs w:val="20"/>
          <w:color w:val="auto"/>
        </w:rPr>
      </w:pPr>
      <w:r>
        <w:rPr>
          <w:rFonts w:ascii="Arial" w:cs="Arial" w:eastAsia="Arial" w:hAnsi="Arial"/>
          <w:sz w:val="9"/>
          <w:szCs w:val="9"/>
          <w:b w:val="1"/>
          <w:bCs w:val="1"/>
          <w:color w:val="auto"/>
        </w:rPr>
        <w:t>incorporation or organization)</w:t>
      </w:r>
    </w:p>
    <w:p>
      <w:pPr>
        <w:spacing w:after="0" w:line="20" w:lineRule="exact"/>
        <w:rPr>
          <w:sz w:val="24"/>
          <w:szCs w:val="24"/>
          <w:color w:val="auto"/>
        </w:rPr>
      </w:pPr>
      <w:r>
        <w:rPr>
          <w:sz w:val="24"/>
          <w:szCs w:val="24"/>
          <w:color w:val="auto"/>
        </w:rPr>
        <w:br w:type="column"/>
      </w:r>
    </w:p>
    <w:p>
      <w:pPr>
        <w:ind w:left="40"/>
        <w:spacing w:after="0"/>
        <w:rPr>
          <w:sz w:val="20"/>
          <w:szCs w:val="20"/>
          <w:color w:val="auto"/>
        </w:rPr>
      </w:pPr>
      <w:r>
        <w:rPr>
          <w:rFonts w:ascii="Arial" w:cs="Arial" w:eastAsia="Arial" w:hAnsi="Arial"/>
          <w:sz w:val="10"/>
          <w:szCs w:val="10"/>
          <w:b w:val="1"/>
          <w:bCs w:val="1"/>
          <w:color w:val="auto"/>
        </w:rPr>
        <w:t>(I.R.S. Employer</w:t>
      </w:r>
    </w:p>
    <w:p>
      <w:pPr>
        <w:spacing w:after="0" w:line="5" w:lineRule="exact"/>
        <w:rPr>
          <w:sz w:val="24"/>
          <w:szCs w:val="24"/>
          <w:color w:val="auto"/>
        </w:rPr>
      </w:pPr>
    </w:p>
    <w:p>
      <w:pPr>
        <w:spacing w:after="0"/>
        <w:rPr>
          <w:sz w:val="20"/>
          <w:szCs w:val="20"/>
          <w:color w:val="auto"/>
        </w:rPr>
      </w:pPr>
      <w:r>
        <w:rPr>
          <w:rFonts w:ascii="Arial" w:cs="Arial" w:eastAsia="Arial" w:hAnsi="Arial"/>
          <w:sz w:val="10"/>
          <w:szCs w:val="10"/>
          <w:b w:val="1"/>
          <w:bCs w:val="1"/>
          <w:color w:val="auto"/>
        </w:rPr>
        <w:t>Identification No.)</w:t>
      </w:r>
    </w:p>
    <w:p>
      <w:pPr>
        <w:spacing w:after="0" w:line="1" w:lineRule="exact"/>
        <w:rPr>
          <w:sz w:val="24"/>
          <w:szCs w:val="24"/>
          <w:color w:val="auto"/>
        </w:rPr>
      </w:pPr>
    </w:p>
    <w:p>
      <w:pPr>
        <w:sectPr>
          <w:pgSz w:w="11900" w:h="16838" w:orient="portrait"/>
          <w:cols w:equalWidth="0" w:num="2">
            <w:col w:w="7340" w:space="720"/>
            <w:col w:w="3140"/>
          </w:cols>
          <w:pgMar w:left="320" w:top="368" w:right="379" w:bottom="1440" w:gutter="0" w:footer="0" w:header="0"/>
          <w:type w:val="continuous"/>
        </w:sectPr>
      </w:pPr>
    </w:p>
    <w:p>
      <w:pPr>
        <w:ind w:left="5000"/>
        <w:spacing w:after="0" w:line="223" w:lineRule="auto"/>
        <w:rPr>
          <w:sz w:val="20"/>
          <w:szCs w:val="20"/>
          <w:color w:val="auto"/>
        </w:rPr>
      </w:pPr>
      <w:r>
        <w:rPr>
          <w:rFonts w:ascii="Arial" w:cs="Arial" w:eastAsia="Arial" w:hAnsi="Arial"/>
          <w:sz w:val="14"/>
          <w:szCs w:val="14"/>
          <w:b w:val="1"/>
          <w:bCs w:val="1"/>
          <w:color w:val="auto"/>
        </w:rPr>
        <w:t>80 Lamberton Road</w:t>
      </w:r>
    </w:p>
    <w:p>
      <w:pPr>
        <w:ind w:left="5040"/>
        <w:spacing w:after="0" w:line="229" w:lineRule="auto"/>
        <w:rPr>
          <w:sz w:val="20"/>
          <w:szCs w:val="20"/>
          <w:color w:val="auto"/>
        </w:rPr>
      </w:pPr>
      <w:r>
        <w:rPr>
          <w:rFonts w:ascii="Arial" w:cs="Arial" w:eastAsia="Arial" w:hAnsi="Arial"/>
          <w:sz w:val="14"/>
          <w:szCs w:val="14"/>
          <w:b w:val="1"/>
          <w:bCs w:val="1"/>
          <w:color w:val="auto"/>
        </w:rPr>
        <w:t>Windsor, CT 06095</w:t>
      </w:r>
    </w:p>
    <w:p>
      <w:pPr>
        <w:jc w:val="center"/>
        <w:ind w:right="-39"/>
        <w:spacing w:after="0"/>
        <w:rPr>
          <w:sz w:val="20"/>
          <w:szCs w:val="20"/>
          <w:color w:val="auto"/>
        </w:rPr>
      </w:pPr>
      <w:r>
        <w:rPr>
          <w:rFonts w:ascii="Arial" w:cs="Arial" w:eastAsia="Arial" w:hAnsi="Arial"/>
          <w:sz w:val="9"/>
          <w:szCs w:val="9"/>
          <w:b w:val="1"/>
          <w:bCs w:val="1"/>
          <w:color w:val="auto"/>
        </w:rPr>
        <w:t>(Address of principal executive offices, including zip code)</w:t>
      </w:r>
    </w:p>
    <w:p>
      <w:pPr>
        <w:spacing w:after="0" w:line="105" w:lineRule="exact"/>
        <w:rPr>
          <w:sz w:val="24"/>
          <w:szCs w:val="24"/>
          <w:color w:val="auto"/>
        </w:rPr>
      </w:pPr>
    </w:p>
    <w:p>
      <w:pPr>
        <w:jc w:val="center"/>
        <w:ind w:right="-39"/>
        <w:spacing w:after="0"/>
        <w:rPr>
          <w:sz w:val="20"/>
          <w:szCs w:val="20"/>
          <w:color w:val="auto"/>
        </w:rPr>
      </w:pPr>
      <w:r>
        <w:rPr>
          <w:rFonts w:ascii="Arial" w:cs="Arial" w:eastAsia="Arial" w:hAnsi="Arial"/>
          <w:sz w:val="14"/>
          <w:szCs w:val="14"/>
          <w:b w:val="1"/>
          <w:bCs w:val="1"/>
          <w:color w:val="auto"/>
        </w:rPr>
        <w:t>860-298-4500</w:t>
      </w:r>
    </w:p>
    <w:p>
      <w:pPr>
        <w:spacing w:after="0" w:line="9" w:lineRule="exact"/>
        <w:rPr>
          <w:sz w:val="24"/>
          <w:szCs w:val="24"/>
          <w:color w:val="auto"/>
        </w:rPr>
      </w:pPr>
    </w:p>
    <w:p>
      <w:pPr>
        <w:jc w:val="center"/>
        <w:ind w:right="-39"/>
        <w:spacing w:after="0"/>
        <w:rPr>
          <w:sz w:val="20"/>
          <w:szCs w:val="20"/>
          <w:color w:val="auto"/>
        </w:rPr>
      </w:pPr>
      <w:r>
        <w:rPr>
          <w:rFonts w:ascii="Arial" w:cs="Arial" w:eastAsia="Arial" w:hAnsi="Arial"/>
          <w:sz w:val="10"/>
          <w:szCs w:val="10"/>
          <w:b w:val="1"/>
          <w:bCs w:val="1"/>
          <w:color w:val="auto"/>
        </w:rPr>
        <w:t>(Registrant’s telephone number, including area code)</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2859405</wp:posOffset>
            </wp:positionH>
            <wp:positionV relativeFrom="paragraph">
              <wp:posOffset>73660</wp:posOffset>
            </wp:positionV>
            <wp:extent cx="1423035" cy="889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1423035" cy="8890"/>
                    </a:xfrm>
                    <a:prstGeom prst="rect">
                      <a:avLst/>
                    </a:prstGeom>
                    <a:noFill/>
                  </pic:spPr>
                </pic:pic>
              </a:graphicData>
            </a:graphic>
          </wp:anchor>
        </w:drawing>
      </w:r>
    </w:p>
    <w:p>
      <w:pPr>
        <w:sectPr>
          <w:pgSz w:w="11900" w:h="16838" w:orient="portrait"/>
          <w:cols w:equalWidth="0" w:num="1">
            <w:col w:w="11200"/>
          </w:cols>
          <w:pgMar w:left="320" w:top="368" w:right="379" w:bottom="1440" w:gutter="0" w:footer="0" w:header="0"/>
          <w:type w:val="continuous"/>
        </w:sectPr>
      </w:pPr>
    </w:p>
    <w:p>
      <w:pPr>
        <w:spacing w:after="0" w:line="179" w:lineRule="exact"/>
        <w:rPr>
          <w:sz w:val="24"/>
          <w:szCs w:val="24"/>
          <w:color w:val="auto"/>
        </w:rPr>
      </w:pPr>
    </w:p>
    <w:p>
      <w:pPr>
        <w:ind w:right="40" w:firstLine="510"/>
        <w:spacing w:after="0" w:line="181" w:lineRule="exact"/>
        <w:rPr>
          <w:sz w:val="20"/>
          <w:szCs w:val="20"/>
          <w:color w:val="auto"/>
        </w:rPr>
      </w:pPr>
      <w:r>
        <w:rPr>
          <w:rFonts w:ascii="Arial" w:cs="Arial" w:eastAsia="Arial" w:hAnsi="Arial"/>
          <w:sz w:val="13"/>
          <w:szCs w:val="13"/>
          <w:color w:val="auto"/>
        </w:rPr>
        <w:t xml:space="preserve">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 Yes </w:t>
      </w:r>
      <w:r>
        <w:rPr>
          <w:rFonts w:ascii="MS PGothic" w:cs="MS PGothic" w:eastAsia="MS PGothic" w:hAnsi="MS PGothic"/>
          <w:sz w:val="13"/>
          <w:szCs w:val="13"/>
          <w:color w:val="auto"/>
        </w:rPr>
        <w:t>☒</w:t>
      </w:r>
      <w:r>
        <w:rPr>
          <w:rFonts w:ascii="Arial" w:cs="Arial" w:eastAsia="Arial" w:hAnsi="Arial"/>
          <w:sz w:val="13"/>
          <w:szCs w:val="13"/>
          <w:color w:val="auto"/>
        </w:rPr>
        <w:t xml:space="preserve"> No </w:t>
      </w:r>
      <w:r>
        <w:rPr>
          <w:rFonts w:ascii="MS PGothic" w:cs="MS PGothic" w:eastAsia="MS PGothic" w:hAnsi="MS PGothic"/>
          <w:sz w:val="13"/>
          <w:szCs w:val="13"/>
          <w:color w:val="auto"/>
        </w:rPr>
        <w:t>☐</w:t>
      </w:r>
    </w:p>
    <w:p>
      <w:pPr>
        <w:spacing w:after="0" w:line="72" w:lineRule="exact"/>
        <w:rPr>
          <w:sz w:val="24"/>
          <w:szCs w:val="24"/>
          <w:color w:val="auto"/>
        </w:rPr>
      </w:pPr>
    </w:p>
    <w:p>
      <w:pPr>
        <w:ind w:right="180" w:firstLine="510"/>
        <w:spacing w:after="0" w:line="181" w:lineRule="exact"/>
        <w:rPr>
          <w:sz w:val="20"/>
          <w:szCs w:val="20"/>
          <w:color w:val="auto"/>
        </w:rPr>
      </w:pPr>
      <w:r>
        <w:rPr>
          <w:rFonts w:ascii="Arial" w:cs="Arial" w:eastAsia="Arial" w:hAnsi="Arial"/>
          <w:sz w:val="13"/>
          <w:szCs w:val="13"/>
          <w:color w:val="auto"/>
        </w:rPr>
        <w:t xml:space="preserve">Indicate by check mark whether the registrant has submitted electronically and posted on its corporate Web site, if any, every Interactive Data File required to be submitted and posted pursuant to Rule 405 of Regulation S-T during the preceding 12 months (or for such shorter period that the registrant was required to submit and post such files). Yes </w:t>
      </w:r>
      <w:r>
        <w:rPr>
          <w:rFonts w:ascii="MS PGothic" w:cs="MS PGothic" w:eastAsia="MS PGothic" w:hAnsi="MS PGothic"/>
          <w:sz w:val="13"/>
          <w:szCs w:val="13"/>
          <w:color w:val="auto"/>
        </w:rPr>
        <w:t>☒</w:t>
      </w:r>
      <w:r>
        <w:rPr>
          <w:rFonts w:ascii="Arial" w:cs="Arial" w:eastAsia="Arial" w:hAnsi="Arial"/>
          <w:sz w:val="13"/>
          <w:szCs w:val="13"/>
          <w:color w:val="auto"/>
        </w:rPr>
        <w:t xml:space="preserve"> No </w:t>
      </w:r>
      <w:r>
        <w:rPr>
          <w:rFonts w:ascii="MS PGothic" w:cs="MS PGothic" w:eastAsia="MS PGothic" w:hAnsi="MS PGothic"/>
          <w:sz w:val="13"/>
          <w:szCs w:val="13"/>
          <w:color w:val="auto"/>
        </w:rPr>
        <w:t>☐</w:t>
      </w:r>
    </w:p>
    <w:p>
      <w:pPr>
        <w:spacing w:after="0" w:line="72" w:lineRule="exact"/>
        <w:rPr>
          <w:sz w:val="24"/>
          <w:szCs w:val="24"/>
          <w:color w:val="auto"/>
        </w:rPr>
      </w:pPr>
    </w:p>
    <w:p>
      <w:pPr>
        <w:ind w:right="480" w:firstLine="510"/>
        <w:spacing w:after="0" w:line="253" w:lineRule="auto"/>
        <w:rPr>
          <w:sz w:val="20"/>
          <w:szCs w:val="20"/>
          <w:color w:val="auto"/>
        </w:rPr>
      </w:pPr>
      <w:r>
        <w:rPr>
          <w:rFonts w:ascii="Arial" w:cs="Arial" w:eastAsia="Arial" w:hAnsi="Arial"/>
          <w:sz w:val="14"/>
          <w:szCs w:val="14"/>
          <w:color w:val="auto"/>
        </w:rPr>
        <w:t>Indicate by check mark whether the registrant is a large accelerated filer, an accelerated filer, a non-accelerated filer, or a smaller reporting company. See the definitions of “large accelerated filer,” “accelerated filer” and “smaller reporting company” in Rule 12b-2 of the Exchange Act. (Check one):</w:t>
      </w:r>
    </w:p>
    <w:p>
      <w:pPr>
        <w:spacing w:after="0" w:line="92" w:lineRule="exact"/>
        <w:rPr>
          <w:sz w:val="24"/>
          <w:szCs w:val="24"/>
          <w:color w:val="auto"/>
        </w:rPr>
      </w:pPr>
    </w:p>
    <w:tbl>
      <w:tblPr>
        <w:tblLayout w:type="fixed"/>
        <w:tblInd w:w="0" w:type="dxa"/>
        <w:tblCellMar>
          <w:top w:w="0" w:type="dxa"/>
          <w:left w:w="0" w:type="dxa"/>
          <w:bottom w:w="0" w:type="dxa"/>
          <w:right w:w="0" w:type="dxa"/>
        </w:tblCellMar>
      </w:tblPr>
      <w:tr>
        <w:trPr>
          <w:trHeight w:val="181"/>
        </w:trPr>
        <w:tc>
          <w:tcPr>
            <w:tcW w:w="1680" w:type="dxa"/>
            <w:vAlign w:val="bottom"/>
          </w:tcPr>
          <w:p>
            <w:pPr>
              <w:spacing w:after="0"/>
              <w:rPr>
                <w:sz w:val="20"/>
                <w:szCs w:val="20"/>
                <w:color w:val="auto"/>
              </w:rPr>
            </w:pPr>
            <w:r>
              <w:rPr>
                <w:rFonts w:ascii="Arial" w:cs="Arial" w:eastAsia="Arial" w:hAnsi="Arial"/>
                <w:sz w:val="14"/>
                <w:szCs w:val="14"/>
                <w:color w:val="auto"/>
              </w:rPr>
              <w:t>Large accelerated filer</w:t>
            </w:r>
          </w:p>
        </w:tc>
        <w:tc>
          <w:tcPr>
            <w:tcW w:w="5040" w:type="dxa"/>
            <w:vAlign w:val="bottom"/>
          </w:tcPr>
          <w:p>
            <w:pPr>
              <w:ind w:left="380"/>
              <w:spacing w:after="0" w:line="141" w:lineRule="exact"/>
              <w:rPr>
                <w:sz w:val="20"/>
                <w:szCs w:val="20"/>
                <w:color w:val="auto"/>
              </w:rPr>
            </w:pPr>
            <w:r>
              <w:rPr>
                <w:rFonts w:ascii="MS PGothic" w:cs="MS PGothic" w:eastAsia="MS PGothic" w:hAnsi="MS PGothic"/>
                <w:sz w:val="14"/>
                <w:szCs w:val="14"/>
                <w:color w:val="auto"/>
              </w:rPr>
              <w:t>☒</w:t>
            </w:r>
          </w:p>
        </w:tc>
        <w:tc>
          <w:tcPr>
            <w:tcW w:w="3840" w:type="dxa"/>
            <w:vAlign w:val="bottom"/>
          </w:tcPr>
          <w:p>
            <w:pPr>
              <w:ind w:left="1800"/>
              <w:spacing w:after="0"/>
              <w:rPr>
                <w:sz w:val="20"/>
                <w:szCs w:val="20"/>
                <w:color w:val="auto"/>
              </w:rPr>
            </w:pPr>
            <w:r>
              <w:rPr>
                <w:rFonts w:ascii="Arial" w:cs="Arial" w:eastAsia="Arial" w:hAnsi="Arial"/>
                <w:sz w:val="14"/>
                <w:szCs w:val="14"/>
                <w:color w:val="auto"/>
              </w:rPr>
              <w:t>Accelerated filer</w:t>
            </w:r>
          </w:p>
        </w:tc>
        <w:tc>
          <w:tcPr>
            <w:tcW w:w="600" w:type="dxa"/>
            <w:vAlign w:val="bottom"/>
          </w:tcPr>
          <w:p>
            <w:pPr>
              <w:ind w:left="480"/>
              <w:spacing w:after="0" w:line="141" w:lineRule="exact"/>
              <w:rPr>
                <w:sz w:val="20"/>
                <w:szCs w:val="20"/>
                <w:color w:val="auto"/>
              </w:rPr>
            </w:pPr>
            <w:r>
              <w:rPr>
                <w:rFonts w:ascii="MS PGothic" w:cs="MS PGothic" w:eastAsia="MS PGothic" w:hAnsi="MS PGothic"/>
                <w:sz w:val="14"/>
                <w:szCs w:val="14"/>
                <w:color w:val="auto"/>
                <w:w w:val="71"/>
              </w:rPr>
              <w:t>☐</w:t>
            </w:r>
          </w:p>
        </w:tc>
      </w:tr>
      <w:tr>
        <w:trPr>
          <w:trHeight w:val="175"/>
        </w:trPr>
        <w:tc>
          <w:tcPr>
            <w:tcW w:w="1680" w:type="dxa"/>
            <w:vAlign w:val="bottom"/>
          </w:tcPr>
          <w:p>
            <w:pPr>
              <w:spacing w:after="0"/>
              <w:rPr>
                <w:sz w:val="20"/>
                <w:szCs w:val="20"/>
                <w:color w:val="auto"/>
              </w:rPr>
            </w:pPr>
            <w:r>
              <w:rPr>
                <w:rFonts w:ascii="Arial" w:cs="Arial" w:eastAsia="Arial" w:hAnsi="Arial"/>
                <w:sz w:val="14"/>
                <w:szCs w:val="14"/>
                <w:color w:val="auto"/>
              </w:rPr>
              <w:t>Non-accelerated filer</w:t>
            </w:r>
          </w:p>
        </w:tc>
        <w:tc>
          <w:tcPr>
            <w:tcW w:w="5040" w:type="dxa"/>
            <w:vAlign w:val="bottom"/>
          </w:tcPr>
          <w:p>
            <w:pPr>
              <w:ind w:left="380"/>
              <w:spacing w:after="0" w:line="161" w:lineRule="exact"/>
              <w:rPr>
                <w:sz w:val="20"/>
                <w:szCs w:val="20"/>
                <w:color w:val="auto"/>
              </w:rPr>
            </w:pPr>
            <w:r>
              <w:rPr>
                <w:rFonts w:ascii="MS PGothic" w:cs="MS PGothic" w:eastAsia="MS PGothic" w:hAnsi="MS PGothic"/>
                <w:sz w:val="14"/>
                <w:szCs w:val="14"/>
                <w:color w:val="auto"/>
              </w:rPr>
              <w:t>☐</w:t>
            </w:r>
            <w:r>
              <w:rPr>
                <w:rFonts w:ascii="Arial" w:cs="Arial" w:eastAsia="Arial" w:hAnsi="Arial"/>
                <w:sz w:val="14"/>
                <w:szCs w:val="14"/>
                <w:color w:val="auto"/>
              </w:rPr>
              <w:t xml:space="preserve"> (Do not check if a smaller reporting company)</w:t>
            </w:r>
          </w:p>
        </w:tc>
        <w:tc>
          <w:tcPr>
            <w:tcW w:w="3840" w:type="dxa"/>
            <w:vAlign w:val="bottom"/>
          </w:tcPr>
          <w:p>
            <w:pPr>
              <w:ind w:left="1800"/>
              <w:spacing w:after="0"/>
              <w:rPr>
                <w:sz w:val="20"/>
                <w:szCs w:val="20"/>
                <w:color w:val="auto"/>
              </w:rPr>
            </w:pPr>
            <w:r>
              <w:rPr>
                <w:rFonts w:ascii="Arial" w:cs="Arial" w:eastAsia="Arial" w:hAnsi="Arial"/>
                <w:sz w:val="14"/>
                <w:szCs w:val="14"/>
                <w:color w:val="auto"/>
              </w:rPr>
              <w:t>Smaller reporting company</w:t>
            </w:r>
          </w:p>
        </w:tc>
        <w:tc>
          <w:tcPr>
            <w:tcW w:w="600" w:type="dxa"/>
            <w:vAlign w:val="bottom"/>
          </w:tcPr>
          <w:p>
            <w:pPr>
              <w:ind w:left="480"/>
              <w:spacing w:after="0" w:line="141" w:lineRule="exact"/>
              <w:rPr>
                <w:sz w:val="20"/>
                <w:szCs w:val="20"/>
                <w:color w:val="auto"/>
              </w:rPr>
            </w:pPr>
            <w:r>
              <w:rPr>
                <w:rFonts w:ascii="MS PGothic" w:cs="MS PGothic" w:eastAsia="MS PGothic" w:hAnsi="MS PGothic"/>
                <w:sz w:val="14"/>
                <w:szCs w:val="14"/>
                <w:color w:val="auto"/>
                <w:w w:val="71"/>
              </w:rPr>
              <w:t>☐</w:t>
            </w:r>
          </w:p>
        </w:tc>
      </w:tr>
      <w:tr>
        <w:trPr>
          <w:trHeight w:val="226"/>
        </w:trPr>
        <w:tc>
          <w:tcPr>
            <w:tcW w:w="1680" w:type="dxa"/>
            <w:vAlign w:val="bottom"/>
          </w:tcPr>
          <w:p>
            <w:pPr>
              <w:spacing w:after="0"/>
              <w:rPr>
                <w:sz w:val="19"/>
                <w:szCs w:val="19"/>
                <w:color w:val="auto"/>
              </w:rPr>
            </w:pPr>
          </w:p>
        </w:tc>
        <w:tc>
          <w:tcPr>
            <w:tcW w:w="5040" w:type="dxa"/>
            <w:vAlign w:val="bottom"/>
          </w:tcPr>
          <w:p>
            <w:pPr>
              <w:spacing w:after="0"/>
              <w:rPr>
                <w:sz w:val="19"/>
                <w:szCs w:val="19"/>
                <w:color w:val="auto"/>
              </w:rPr>
            </w:pPr>
          </w:p>
        </w:tc>
        <w:tc>
          <w:tcPr>
            <w:tcW w:w="3840" w:type="dxa"/>
            <w:vAlign w:val="bottom"/>
          </w:tcPr>
          <w:p>
            <w:pPr>
              <w:ind w:left="1800"/>
              <w:spacing w:after="0"/>
              <w:rPr>
                <w:sz w:val="20"/>
                <w:szCs w:val="20"/>
                <w:color w:val="auto"/>
              </w:rPr>
            </w:pPr>
            <w:r>
              <w:rPr>
                <w:rFonts w:ascii="Arial" w:cs="Arial" w:eastAsia="Arial" w:hAnsi="Arial"/>
                <w:sz w:val="14"/>
                <w:szCs w:val="14"/>
                <w:color w:val="auto"/>
              </w:rPr>
              <w:t>Emerging growth company</w:t>
            </w:r>
          </w:p>
        </w:tc>
        <w:tc>
          <w:tcPr>
            <w:tcW w:w="600" w:type="dxa"/>
            <w:vAlign w:val="bottom"/>
          </w:tcPr>
          <w:p>
            <w:pPr>
              <w:ind w:left="480"/>
              <w:spacing w:after="0" w:line="141" w:lineRule="exact"/>
              <w:rPr>
                <w:sz w:val="20"/>
                <w:szCs w:val="20"/>
                <w:color w:val="auto"/>
              </w:rPr>
            </w:pPr>
            <w:r>
              <w:rPr>
                <w:rFonts w:ascii="MS PGothic" w:cs="MS PGothic" w:eastAsia="MS PGothic" w:hAnsi="MS PGothic"/>
                <w:sz w:val="14"/>
                <w:szCs w:val="14"/>
                <w:color w:val="auto"/>
                <w:w w:val="71"/>
              </w:rPr>
              <w:t>☐</w:t>
            </w:r>
          </w:p>
        </w:tc>
      </w:tr>
    </w:tbl>
    <w:p>
      <w:pPr>
        <w:spacing w:after="0" w:line="107" w:lineRule="exact"/>
        <w:rPr>
          <w:sz w:val="24"/>
          <w:szCs w:val="24"/>
          <w:color w:val="auto"/>
        </w:rPr>
      </w:pPr>
    </w:p>
    <w:p>
      <w:pPr>
        <w:jc w:val="both"/>
        <w:ind w:right="20" w:firstLine="510"/>
        <w:spacing w:after="0" w:line="180" w:lineRule="exact"/>
        <w:rPr>
          <w:sz w:val="20"/>
          <w:szCs w:val="20"/>
          <w:color w:val="auto"/>
        </w:rPr>
      </w:pPr>
      <w:r>
        <w:rPr>
          <w:rFonts w:ascii="Arial" w:cs="Arial" w:eastAsia="Arial" w:hAnsi="Arial"/>
          <w:sz w:val="14"/>
          <w:szCs w:val="14"/>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4"/>
          <w:szCs w:val="14"/>
          <w:color w:val="auto"/>
        </w:rPr>
        <w:t>☐</w:t>
      </w:r>
    </w:p>
    <w:p>
      <w:pPr>
        <w:spacing w:after="0" w:line="59" w:lineRule="exact"/>
        <w:rPr>
          <w:sz w:val="24"/>
          <w:szCs w:val="24"/>
          <w:color w:val="auto"/>
        </w:rPr>
      </w:pPr>
    </w:p>
    <w:p>
      <w:pPr>
        <w:ind w:left="520"/>
        <w:spacing w:after="0" w:line="161" w:lineRule="exact"/>
        <w:tabs>
          <w:tab w:leader="none" w:pos="7180" w:val="left"/>
          <w:tab w:leader="none" w:pos="7740" w:val="left"/>
        </w:tabs>
        <w:rPr>
          <w:sz w:val="20"/>
          <w:szCs w:val="20"/>
          <w:color w:val="auto"/>
        </w:rPr>
      </w:pPr>
      <w:r>
        <w:rPr>
          <w:rFonts w:ascii="Arial" w:cs="Arial" w:eastAsia="Arial" w:hAnsi="Arial"/>
          <w:sz w:val="14"/>
          <w:szCs w:val="14"/>
          <w:color w:val="auto"/>
        </w:rPr>
        <w:t>Indicate by check mark whether the registrant is a shell company (as defined in Rule 12b-2 of the Exchange Act).</w:t>
        <w:tab/>
        <w:t xml:space="preserve">Yes </w:t>
      </w:r>
      <w:r>
        <w:rPr>
          <w:rFonts w:ascii="MS PGothic" w:cs="MS PGothic" w:eastAsia="MS PGothic" w:hAnsi="MS PGothic"/>
          <w:sz w:val="14"/>
          <w:szCs w:val="14"/>
          <w:color w:val="auto"/>
        </w:rPr>
        <w:t>☐</w:t>
      </w:r>
      <w:r>
        <w:rPr>
          <w:rFonts w:ascii="Arial" w:cs="Arial" w:eastAsia="Arial" w:hAnsi="Arial"/>
          <w:sz w:val="14"/>
          <w:szCs w:val="14"/>
          <w:color w:val="auto"/>
        </w:rPr>
        <w:tab/>
        <w:t xml:space="preserve">No </w:t>
      </w:r>
      <w:r>
        <w:rPr>
          <w:rFonts w:ascii="MS PGothic" w:cs="MS PGothic" w:eastAsia="MS PGothic" w:hAnsi="MS PGothic"/>
          <w:sz w:val="14"/>
          <w:szCs w:val="14"/>
          <w:color w:val="auto"/>
        </w:rPr>
        <w:t>☒</w:t>
      </w:r>
    </w:p>
    <w:p>
      <w:pPr>
        <w:spacing w:after="0" w:line="136" w:lineRule="exact"/>
        <w:rPr>
          <w:sz w:val="24"/>
          <w:szCs w:val="24"/>
          <w:color w:val="auto"/>
        </w:rPr>
      </w:pPr>
    </w:p>
    <w:p>
      <w:pPr>
        <w:ind w:left="4220"/>
        <w:spacing w:after="0"/>
        <w:rPr>
          <w:sz w:val="20"/>
          <w:szCs w:val="20"/>
          <w:color w:val="auto"/>
        </w:rPr>
      </w:pPr>
      <w:r>
        <w:rPr>
          <w:rFonts w:ascii="Arial" w:cs="Arial" w:eastAsia="Arial" w:hAnsi="Arial"/>
          <w:sz w:val="14"/>
          <w:szCs w:val="14"/>
          <w:color w:val="auto"/>
        </w:rPr>
        <w:t>Securities registered pursuant to Section 12(b) of the Act:</w:t>
      </w:r>
    </w:p>
    <w:p>
      <w:pPr>
        <w:spacing w:after="0" w:line="88" w:lineRule="exact"/>
        <w:rPr>
          <w:sz w:val="24"/>
          <w:szCs w:val="24"/>
          <w:color w:val="auto"/>
        </w:rPr>
      </w:pPr>
    </w:p>
    <w:tbl>
      <w:tblPr>
        <w:tblLayout w:type="fixed"/>
        <w:tblInd w:w="2100" w:type="dxa"/>
        <w:tblCellMar>
          <w:top w:w="0" w:type="dxa"/>
          <w:left w:w="0" w:type="dxa"/>
          <w:bottom w:w="0" w:type="dxa"/>
          <w:right w:w="0" w:type="dxa"/>
        </w:tblCellMar>
      </w:tblPr>
      <w:tr>
        <w:trPr>
          <w:trHeight w:val="161"/>
        </w:trPr>
        <w:tc>
          <w:tcPr>
            <w:tcW w:w="680" w:type="dxa"/>
            <w:vAlign w:val="bottom"/>
          </w:tcPr>
          <w:p>
            <w:pPr>
              <w:spacing w:after="0"/>
              <w:rPr>
                <w:sz w:val="14"/>
                <w:szCs w:val="14"/>
                <w:color w:val="auto"/>
              </w:rPr>
            </w:pPr>
          </w:p>
        </w:tc>
        <w:tc>
          <w:tcPr>
            <w:tcW w:w="1040" w:type="dxa"/>
            <w:vAlign w:val="bottom"/>
          </w:tcPr>
          <w:p>
            <w:pPr>
              <w:jc w:val="center"/>
              <w:spacing w:after="0"/>
              <w:rPr>
                <w:sz w:val="20"/>
                <w:szCs w:val="20"/>
                <w:color w:val="auto"/>
              </w:rPr>
            </w:pPr>
            <w:r>
              <w:rPr>
                <w:rFonts w:ascii="Arial" w:cs="Arial" w:eastAsia="Arial" w:hAnsi="Arial"/>
                <w:sz w:val="14"/>
                <w:szCs w:val="14"/>
                <w:color w:val="auto"/>
                <w:w w:val="92"/>
              </w:rPr>
              <w:t>Title of each class</w:t>
            </w:r>
          </w:p>
        </w:tc>
        <w:tc>
          <w:tcPr>
            <w:tcW w:w="1240" w:type="dxa"/>
            <w:vAlign w:val="bottom"/>
          </w:tcPr>
          <w:p>
            <w:pPr>
              <w:spacing w:after="0"/>
              <w:rPr>
                <w:sz w:val="14"/>
                <w:szCs w:val="14"/>
                <w:color w:val="auto"/>
              </w:rPr>
            </w:pPr>
          </w:p>
        </w:tc>
        <w:tc>
          <w:tcPr>
            <w:tcW w:w="1220" w:type="dxa"/>
            <w:vAlign w:val="bottom"/>
            <w:gridSpan w:val="2"/>
          </w:tcPr>
          <w:p>
            <w:pPr>
              <w:jc w:val="center"/>
              <w:ind w:right="300"/>
              <w:spacing w:after="0"/>
              <w:rPr>
                <w:sz w:val="20"/>
                <w:szCs w:val="20"/>
                <w:color w:val="auto"/>
              </w:rPr>
            </w:pPr>
            <w:r>
              <w:rPr>
                <w:rFonts w:ascii="Arial" w:cs="Arial" w:eastAsia="Arial" w:hAnsi="Arial"/>
                <w:sz w:val="14"/>
                <w:szCs w:val="14"/>
                <w:color w:val="auto"/>
                <w:w w:val="93"/>
              </w:rPr>
              <w:t>Trading Symbol</w:t>
            </w:r>
          </w:p>
        </w:tc>
        <w:tc>
          <w:tcPr>
            <w:tcW w:w="2840" w:type="dxa"/>
            <w:vAlign w:val="bottom"/>
            <w:gridSpan w:val="2"/>
          </w:tcPr>
          <w:p>
            <w:pPr>
              <w:jc w:val="center"/>
              <w:ind w:left="228"/>
              <w:spacing w:after="0"/>
              <w:rPr>
                <w:sz w:val="20"/>
                <w:szCs w:val="20"/>
                <w:color w:val="auto"/>
              </w:rPr>
            </w:pPr>
            <w:r>
              <w:rPr>
                <w:rFonts w:ascii="Arial" w:cs="Arial" w:eastAsia="Arial" w:hAnsi="Arial"/>
                <w:sz w:val="14"/>
                <w:szCs w:val="14"/>
                <w:color w:val="auto"/>
                <w:w w:val="91"/>
              </w:rPr>
              <w:t>Name of each exchange on which registered</w:t>
            </w:r>
          </w:p>
        </w:tc>
      </w:tr>
      <w:tr>
        <w:trPr>
          <w:trHeight w:val="20"/>
        </w:trPr>
        <w:tc>
          <w:tcPr>
            <w:tcW w:w="680" w:type="dxa"/>
            <w:vAlign w:val="bottom"/>
          </w:tcPr>
          <w:p>
            <w:pPr>
              <w:spacing w:after="0" w:line="20" w:lineRule="exact"/>
              <w:rPr>
                <w:sz w:val="1"/>
                <w:szCs w:val="1"/>
                <w:color w:val="auto"/>
              </w:rPr>
            </w:pPr>
          </w:p>
        </w:tc>
        <w:tc>
          <w:tcPr>
            <w:tcW w:w="1040" w:type="dxa"/>
            <w:vAlign w:val="bottom"/>
            <w:shd w:val="clear" w:color="auto" w:fill="000000"/>
          </w:tcPr>
          <w:p>
            <w:pPr>
              <w:spacing w:after="0" w:line="20" w:lineRule="exact"/>
              <w:rPr>
                <w:sz w:val="1"/>
                <w:szCs w:val="1"/>
                <w:color w:val="auto"/>
              </w:rPr>
            </w:pPr>
          </w:p>
        </w:tc>
        <w:tc>
          <w:tcPr>
            <w:tcW w:w="1240" w:type="dxa"/>
            <w:vAlign w:val="bottom"/>
          </w:tcPr>
          <w:p>
            <w:pPr>
              <w:spacing w:after="0" w:line="20" w:lineRule="exact"/>
              <w:rPr>
                <w:sz w:val="1"/>
                <w:szCs w:val="1"/>
                <w:color w:val="auto"/>
              </w:rPr>
            </w:pPr>
          </w:p>
        </w:tc>
        <w:tc>
          <w:tcPr>
            <w:tcW w:w="920" w:type="dxa"/>
            <w:vAlign w:val="bottom"/>
            <w:shd w:val="clear" w:color="auto" w:fill="000000"/>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540" w:type="dxa"/>
            <w:vAlign w:val="bottom"/>
            <w:shd w:val="clear" w:color="auto" w:fill="000000"/>
          </w:tcPr>
          <w:p>
            <w:pPr>
              <w:spacing w:after="0" w:line="20" w:lineRule="exact"/>
              <w:rPr>
                <w:sz w:val="1"/>
                <w:szCs w:val="1"/>
                <w:color w:val="auto"/>
              </w:rPr>
            </w:pPr>
          </w:p>
        </w:tc>
      </w:tr>
      <w:tr>
        <w:trPr>
          <w:trHeight w:val="265"/>
        </w:trPr>
        <w:tc>
          <w:tcPr>
            <w:tcW w:w="2960" w:type="dxa"/>
            <w:vAlign w:val="bottom"/>
            <w:gridSpan w:val="3"/>
          </w:tcPr>
          <w:p>
            <w:pPr>
              <w:jc w:val="center"/>
              <w:ind w:right="560"/>
              <w:spacing w:after="0"/>
              <w:rPr>
                <w:sz w:val="20"/>
                <w:szCs w:val="20"/>
                <w:color w:val="auto"/>
              </w:rPr>
            </w:pPr>
            <w:r>
              <w:rPr>
                <w:rFonts w:ascii="Arial" w:cs="Arial" w:eastAsia="Arial" w:hAnsi="Arial"/>
                <w:sz w:val="14"/>
                <w:szCs w:val="14"/>
                <w:color w:val="auto"/>
                <w:w w:val="92"/>
              </w:rPr>
              <w:t>Common stock, par value $0.01 per share</w:t>
            </w:r>
          </w:p>
        </w:tc>
        <w:tc>
          <w:tcPr>
            <w:tcW w:w="1220" w:type="dxa"/>
            <w:vAlign w:val="bottom"/>
            <w:gridSpan w:val="2"/>
          </w:tcPr>
          <w:p>
            <w:pPr>
              <w:jc w:val="center"/>
              <w:ind w:right="300"/>
              <w:spacing w:after="0"/>
              <w:rPr>
                <w:sz w:val="20"/>
                <w:szCs w:val="20"/>
                <w:color w:val="auto"/>
              </w:rPr>
            </w:pPr>
            <w:r>
              <w:rPr>
                <w:rFonts w:ascii="Arial" w:cs="Arial" w:eastAsia="Arial" w:hAnsi="Arial"/>
                <w:sz w:val="14"/>
                <w:szCs w:val="14"/>
                <w:color w:val="auto"/>
                <w:w w:val="92"/>
              </w:rPr>
              <w:t>SSNC</w:t>
            </w:r>
          </w:p>
        </w:tc>
        <w:tc>
          <w:tcPr>
            <w:tcW w:w="300" w:type="dxa"/>
            <w:vAlign w:val="bottom"/>
          </w:tcPr>
          <w:p>
            <w:pPr>
              <w:spacing w:after="0"/>
              <w:rPr>
                <w:sz w:val="23"/>
                <w:szCs w:val="23"/>
                <w:color w:val="auto"/>
              </w:rPr>
            </w:pPr>
          </w:p>
        </w:tc>
        <w:tc>
          <w:tcPr>
            <w:tcW w:w="2540" w:type="dxa"/>
            <w:vAlign w:val="bottom"/>
          </w:tcPr>
          <w:p>
            <w:pPr>
              <w:jc w:val="center"/>
              <w:spacing w:after="0"/>
              <w:rPr>
                <w:sz w:val="20"/>
                <w:szCs w:val="20"/>
                <w:color w:val="auto"/>
              </w:rPr>
            </w:pPr>
            <w:r>
              <w:rPr>
                <w:rFonts w:ascii="Arial" w:cs="Arial" w:eastAsia="Arial" w:hAnsi="Arial"/>
                <w:sz w:val="14"/>
                <w:szCs w:val="14"/>
                <w:color w:val="auto"/>
                <w:w w:val="93"/>
              </w:rPr>
              <w:t>The Nasdaq Global Select Market</w:t>
            </w:r>
          </w:p>
        </w:tc>
      </w:tr>
    </w:tbl>
    <w:p>
      <w:pPr>
        <w:spacing w:after="0" w:line="101" w:lineRule="exact"/>
        <w:rPr>
          <w:sz w:val="24"/>
          <w:szCs w:val="24"/>
          <w:color w:val="auto"/>
        </w:rPr>
      </w:pPr>
    </w:p>
    <w:p>
      <w:pPr>
        <w:ind w:left="520"/>
        <w:spacing w:after="0"/>
        <w:rPr>
          <w:sz w:val="20"/>
          <w:szCs w:val="20"/>
          <w:color w:val="auto"/>
        </w:rPr>
      </w:pPr>
      <w:r>
        <w:rPr>
          <w:rFonts w:ascii="Arial" w:cs="Arial" w:eastAsia="Arial" w:hAnsi="Arial"/>
          <w:sz w:val="14"/>
          <w:szCs w:val="14"/>
          <w:color w:val="auto"/>
        </w:rPr>
        <w:t>There were 255,772,587 shares of the registrant’s common stock outstanding as of April 28, 2021.</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46990</wp:posOffset>
            </wp:positionV>
            <wp:extent cx="7132320" cy="889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13232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64135</wp:posOffset>
            </wp:positionV>
            <wp:extent cx="7132320" cy="889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32320" cy="8890"/>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145415</wp:posOffset>
            </wp:positionV>
            <wp:extent cx="7157720" cy="4254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20" w:top="368" w:right="379" w:bottom="1440" w:gutter="0" w:footer="0" w:header="0"/>
          <w:type w:val="continuous"/>
        </w:sectPr>
      </w:pPr>
    </w:p>
    <w:bookmarkStart w:id="1" w:name="page2"/>
    <w:bookmarkEnd w:id="1"/>
    <w:p>
      <w:pPr>
        <w:jc w:val="center"/>
        <w:spacing w:after="0"/>
        <w:rPr>
          <w:sz w:val="20"/>
          <w:szCs w:val="20"/>
          <w:color w:val="auto"/>
        </w:rPr>
      </w:pPr>
      <w:r>
        <w:rPr>
          <w:rFonts w:ascii="Arial" w:cs="Arial" w:eastAsia="Arial" w:hAnsi="Arial"/>
          <w:sz w:val="18"/>
          <w:szCs w:val="18"/>
          <w:b w:val="1"/>
          <w:bCs w:val="1"/>
          <w:color w:val="auto"/>
        </w:rPr>
        <w:t>SS&amp;C TECHNOLOGIES HOLDINGS, INC.</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INDEX</w:t>
      </w:r>
    </w:p>
    <w:p>
      <w:pPr>
        <w:spacing w:after="0" w:line="208"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6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40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960" w:type="dxa"/>
            <w:vAlign w:val="bottom"/>
          </w:tcPr>
          <w:p>
            <w:pPr>
              <w:spacing w:after="0"/>
              <w:rPr>
                <w:sz w:val="14"/>
                <w:szCs w:val="14"/>
                <w:color w:val="auto"/>
              </w:rPr>
            </w:pPr>
          </w:p>
        </w:tc>
        <w:tc>
          <w:tcPr>
            <w:tcW w:w="580" w:type="dxa"/>
            <w:vAlign w:val="bottom"/>
          </w:tcPr>
          <w:p>
            <w:pPr>
              <w:jc w:val="right"/>
              <w:ind w:right="52"/>
              <w:spacing w:after="0"/>
              <w:rPr>
                <w:sz w:val="20"/>
                <w:szCs w:val="20"/>
                <w:color w:val="auto"/>
              </w:rPr>
            </w:pPr>
            <w:r>
              <w:rPr>
                <w:rFonts w:ascii="Arial" w:cs="Arial" w:eastAsia="Arial" w:hAnsi="Arial"/>
                <w:sz w:val="14"/>
                <w:szCs w:val="14"/>
                <w:b w:val="1"/>
                <w:bCs w:val="1"/>
                <w:color w:val="auto"/>
              </w:rPr>
              <w:t>Page</w:t>
            </w:r>
          </w:p>
        </w:tc>
      </w:tr>
      <w:tr>
        <w:trPr>
          <w:trHeight w:val="171"/>
        </w:trPr>
        <w:tc>
          <w:tcPr>
            <w:tcW w:w="26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40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960" w:type="dxa"/>
            <w:vAlign w:val="bottom"/>
          </w:tcPr>
          <w:p>
            <w:pPr>
              <w:spacing w:after="0"/>
              <w:rPr>
                <w:sz w:val="14"/>
                <w:szCs w:val="14"/>
                <w:color w:val="auto"/>
              </w:rPr>
            </w:pPr>
          </w:p>
        </w:tc>
        <w:tc>
          <w:tcPr>
            <w:tcW w:w="58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w w:val="98"/>
              </w:rPr>
              <w:t>Number</w:t>
            </w:r>
          </w:p>
        </w:tc>
      </w:tr>
      <w:tr>
        <w:trPr>
          <w:trHeight w:val="290"/>
        </w:trPr>
        <w:tc>
          <w:tcPr>
            <w:tcW w:w="3100" w:type="dxa"/>
            <w:vAlign w:val="bottom"/>
            <w:tcBorders>
              <w:bottom w:val="single" w:sz="8" w:color="0000EE"/>
            </w:tcBorders>
            <w:gridSpan w:val="11"/>
          </w:tcPr>
          <w:p>
            <w:pPr>
              <w:spacing w:after="0"/>
              <w:rPr>
                <w:rFonts w:ascii="Arial" w:cs="Arial" w:eastAsia="Arial" w:hAnsi="Arial"/>
                <w:sz w:val="18"/>
                <w:szCs w:val="18"/>
                <w:b w:val="1"/>
                <w:bCs w:val="1"/>
                <w:color w:val="0000EE"/>
              </w:rPr>
            </w:pPr>
            <w:hyperlink w:anchor="page3">
              <w:r>
                <w:rPr>
                  <w:rFonts w:ascii="Arial" w:cs="Arial" w:eastAsia="Arial" w:hAnsi="Arial"/>
                  <w:sz w:val="18"/>
                  <w:szCs w:val="18"/>
                  <w:b w:val="1"/>
                  <w:bCs w:val="1"/>
                  <w:color w:val="0000EE"/>
                </w:rPr>
                <w:t>PART 1. FINANCIAL INFORMATION</w:t>
              </w:r>
            </w:hyperlink>
          </w:p>
        </w:tc>
        <w:tc>
          <w:tcPr>
            <w:tcW w:w="7560" w:type="dxa"/>
            <w:vAlign w:val="bottom"/>
            <w:gridSpan w:val="9"/>
          </w:tcPr>
          <w:p>
            <w:pPr>
              <w:spacing w:after="0"/>
              <w:rPr>
                <w:sz w:val="24"/>
                <w:szCs w:val="24"/>
                <w:color w:val="auto"/>
              </w:rPr>
            </w:pPr>
          </w:p>
        </w:tc>
        <w:tc>
          <w:tcPr>
            <w:tcW w:w="580" w:type="dxa"/>
            <w:vAlign w:val="bottom"/>
          </w:tcPr>
          <w:p>
            <w:pPr>
              <w:spacing w:after="0"/>
              <w:rPr>
                <w:sz w:val="24"/>
                <w:szCs w:val="24"/>
                <w:color w:val="auto"/>
              </w:rPr>
            </w:pPr>
          </w:p>
        </w:tc>
      </w:tr>
      <w:tr>
        <w:trPr>
          <w:trHeight w:val="385"/>
        </w:trPr>
        <w:tc>
          <w:tcPr>
            <w:tcW w:w="10660" w:type="dxa"/>
            <w:vAlign w:val="bottom"/>
            <w:gridSpan w:val="20"/>
          </w:tcPr>
          <w:p>
            <w:pPr>
              <w:spacing w:after="0"/>
              <w:rPr>
                <w:rFonts w:ascii="Arial" w:cs="Arial" w:eastAsia="Arial" w:hAnsi="Arial"/>
                <w:sz w:val="18"/>
                <w:szCs w:val="18"/>
                <w:color w:val="0000EE"/>
              </w:rPr>
            </w:pPr>
            <w:hyperlink w:anchor="page3">
              <w:r>
                <w:rPr>
                  <w:rFonts w:ascii="Arial" w:cs="Arial" w:eastAsia="Arial" w:hAnsi="Arial"/>
                  <w:sz w:val="18"/>
                  <w:szCs w:val="18"/>
                  <w:color w:val="0000EE"/>
                </w:rPr>
                <w:t>Item 1. Financial Statements (unaudited)</w:t>
              </w:r>
            </w:hyperlink>
          </w:p>
        </w:tc>
        <w:tc>
          <w:tcPr>
            <w:tcW w:w="580" w:type="dxa"/>
            <w:vAlign w:val="bottom"/>
          </w:tcPr>
          <w:p>
            <w:pPr>
              <w:jc w:val="right"/>
              <w:spacing w:after="0"/>
              <w:rPr>
                <w:sz w:val="20"/>
                <w:szCs w:val="20"/>
                <w:color w:val="auto"/>
              </w:rPr>
            </w:pPr>
            <w:r>
              <w:rPr>
                <w:rFonts w:ascii="Arial" w:cs="Arial" w:eastAsia="Arial" w:hAnsi="Arial"/>
                <w:sz w:val="18"/>
                <w:szCs w:val="18"/>
                <w:color w:val="auto"/>
              </w:rPr>
              <w:t>3</w:t>
            </w:r>
          </w:p>
        </w:tc>
      </w:tr>
      <w:tr>
        <w:trPr>
          <w:trHeight w:val="20"/>
        </w:trPr>
        <w:tc>
          <w:tcPr>
            <w:tcW w:w="260" w:type="dxa"/>
            <w:vAlign w:val="bottom"/>
            <w:shd w:val="clear" w:color="auto" w:fill="0000EE"/>
          </w:tcPr>
          <w:p>
            <w:pPr>
              <w:spacing w:after="0" w:line="20" w:lineRule="exact"/>
              <w:rPr>
                <w:sz w:val="1"/>
                <w:szCs w:val="1"/>
                <w:color w:val="auto"/>
              </w:rPr>
            </w:pPr>
          </w:p>
        </w:tc>
        <w:tc>
          <w:tcPr>
            <w:tcW w:w="900" w:type="dxa"/>
            <w:vAlign w:val="bottom"/>
            <w:gridSpan w:val="2"/>
            <w:shd w:val="clear" w:color="auto" w:fill="0000EE"/>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280" w:type="dxa"/>
            <w:vAlign w:val="bottom"/>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260" w:type="dxa"/>
            <w:vAlign w:val="bottom"/>
            <w:shd w:val="clear" w:color="auto" w:fill="0000EE"/>
          </w:tcPr>
          <w:p>
            <w:pPr>
              <w:spacing w:after="0" w:line="20" w:lineRule="exact"/>
              <w:rPr>
                <w:sz w:val="1"/>
                <w:szCs w:val="1"/>
                <w:color w:val="auto"/>
              </w:rPr>
            </w:pPr>
          </w:p>
        </w:tc>
        <w:tc>
          <w:tcPr>
            <w:tcW w:w="440" w:type="dxa"/>
            <w:vAlign w:val="bottom"/>
            <w:shd w:val="clear" w:color="auto" w:fill="0000EE"/>
          </w:tcPr>
          <w:p>
            <w:pPr>
              <w:spacing w:after="0" w:line="20" w:lineRule="exact"/>
              <w:rPr>
                <w:sz w:val="1"/>
                <w:szCs w:val="1"/>
                <w:color w:val="auto"/>
              </w:rPr>
            </w:pPr>
          </w:p>
        </w:tc>
        <w:tc>
          <w:tcPr>
            <w:tcW w:w="440" w:type="dxa"/>
            <w:vAlign w:val="bottom"/>
            <w:shd w:val="clear" w:color="auto" w:fill="0000EE"/>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1300" w:type="dxa"/>
            <w:vAlign w:val="bottom"/>
            <w:gridSpan w:val="2"/>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40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96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r>
      <w:tr>
        <w:trPr>
          <w:trHeight w:val="318"/>
        </w:trPr>
        <w:tc>
          <w:tcPr>
            <w:tcW w:w="260" w:type="dxa"/>
            <w:vAlign w:val="bottom"/>
          </w:tcPr>
          <w:p>
            <w:pPr>
              <w:spacing w:after="0"/>
              <w:rPr>
                <w:sz w:val="24"/>
                <w:szCs w:val="24"/>
                <w:color w:val="auto"/>
              </w:rPr>
            </w:pPr>
          </w:p>
        </w:tc>
        <w:tc>
          <w:tcPr>
            <w:tcW w:w="6060" w:type="dxa"/>
            <w:vAlign w:val="bottom"/>
            <w:tcBorders>
              <w:bottom w:val="single" w:sz="8" w:color="0000EE"/>
            </w:tcBorders>
            <w:gridSpan w:val="14"/>
          </w:tcPr>
          <w:p>
            <w:pPr>
              <w:spacing w:after="0"/>
              <w:rPr>
                <w:rFonts w:ascii="Arial" w:cs="Arial" w:eastAsia="Arial" w:hAnsi="Arial"/>
                <w:sz w:val="18"/>
                <w:szCs w:val="18"/>
                <w:color w:val="0000EE"/>
                <w:w w:val="88"/>
              </w:rPr>
            </w:pPr>
            <w:hyperlink w:anchor="page3">
              <w:r>
                <w:rPr>
                  <w:rFonts w:ascii="Arial" w:cs="Arial" w:eastAsia="Arial" w:hAnsi="Arial"/>
                  <w:sz w:val="18"/>
                  <w:szCs w:val="18"/>
                  <w:color w:val="0000EE"/>
                  <w:w w:val="88"/>
                </w:rPr>
                <w:t>Condensed Consolidated Balance Sheets at March 31, 2021 and December 31, 2020</w:t>
              </w:r>
            </w:hyperlink>
          </w:p>
        </w:tc>
        <w:tc>
          <w:tcPr>
            <w:tcW w:w="4340" w:type="dxa"/>
            <w:vAlign w:val="bottom"/>
            <w:gridSpan w:val="5"/>
          </w:tcPr>
          <w:p>
            <w:pPr>
              <w:spacing w:after="0"/>
              <w:rPr>
                <w:sz w:val="24"/>
                <w:szCs w:val="24"/>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3</w:t>
            </w:r>
          </w:p>
        </w:tc>
      </w:tr>
      <w:tr>
        <w:trPr>
          <w:trHeight w:val="318"/>
        </w:trPr>
        <w:tc>
          <w:tcPr>
            <w:tcW w:w="260" w:type="dxa"/>
            <w:vAlign w:val="bottom"/>
          </w:tcPr>
          <w:p>
            <w:pPr>
              <w:spacing w:after="0"/>
              <w:rPr>
                <w:sz w:val="24"/>
                <w:szCs w:val="24"/>
                <w:color w:val="auto"/>
              </w:rPr>
            </w:pPr>
          </w:p>
        </w:tc>
        <w:tc>
          <w:tcPr>
            <w:tcW w:w="10400" w:type="dxa"/>
            <w:vAlign w:val="bottom"/>
            <w:gridSpan w:val="19"/>
          </w:tcPr>
          <w:p>
            <w:pPr>
              <w:spacing w:after="0"/>
              <w:rPr>
                <w:rFonts w:ascii="Arial" w:cs="Arial" w:eastAsia="Arial" w:hAnsi="Arial"/>
                <w:sz w:val="18"/>
                <w:szCs w:val="18"/>
                <w:color w:val="0000EE"/>
              </w:rPr>
            </w:pPr>
            <w:hyperlink w:anchor="page4">
              <w:r>
                <w:rPr>
                  <w:rFonts w:ascii="Arial" w:cs="Arial" w:eastAsia="Arial" w:hAnsi="Arial"/>
                  <w:sz w:val="18"/>
                  <w:szCs w:val="18"/>
                  <w:color w:val="0000EE"/>
                </w:rPr>
                <w:t>Condensed Consolidated Statements of Comprehensive Income for the three months ended March 31, 2021 and 2020</w:t>
              </w:r>
            </w:hyperlink>
          </w:p>
        </w:tc>
        <w:tc>
          <w:tcPr>
            <w:tcW w:w="580" w:type="dxa"/>
            <w:vAlign w:val="bottom"/>
          </w:tcPr>
          <w:p>
            <w:pPr>
              <w:jc w:val="right"/>
              <w:spacing w:after="0"/>
              <w:rPr>
                <w:sz w:val="20"/>
                <w:szCs w:val="20"/>
                <w:color w:val="auto"/>
              </w:rPr>
            </w:pPr>
            <w:r>
              <w:rPr>
                <w:rFonts w:ascii="Arial" w:cs="Arial" w:eastAsia="Arial" w:hAnsi="Arial"/>
                <w:sz w:val="18"/>
                <w:szCs w:val="18"/>
                <w:color w:val="auto"/>
              </w:rPr>
              <w:t>4</w:t>
            </w:r>
          </w:p>
        </w:tc>
      </w:tr>
      <w:tr>
        <w:trPr>
          <w:trHeight w:val="318"/>
        </w:trPr>
        <w:tc>
          <w:tcPr>
            <w:tcW w:w="260" w:type="dxa"/>
            <w:vAlign w:val="bottom"/>
          </w:tcPr>
          <w:p>
            <w:pPr>
              <w:spacing w:after="0"/>
              <w:rPr>
                <w:sz w:val="24"/>
                <w:szCs w:val="24"/>
                <w:color w:val="auto"/>
              </w:rPr>
            </w:pPr>
          </w:p>
        </w:tc>
        <w:tc>
          <w:tcPr>
            <w:tcW w:w="8440" w:type="dxa"/>
            <w:vAlign w:val="bottom"/>
            <w:tcBorders>
              <w:top w:val="single" w:sz="8" w:color="0000EE"/>
            </w:tcBorders>
            <w:gridSpan w:val="18"/>
          </w:tcPr>
          <w:p>
            <w:pPr>
              <w:spacing w:after="0"/>
              <w:rPr>
                <w:rFonts w:ascii="Arial" w:cs="Arial" w:eastAsia="Arial" w:hAnsi="Arial"/>
                <w:sz w:val="18"/>
                <w:szCs w:val="18"/>
                <w:color w:val="0000EE"/>
                <w:w w:val="99"/>
              </w:rPr>
            </w:pPr>
            <w:hyperlink w:anchor="page5">
              <w:r>
                <w:rPr>
                  <w:rFonts w:ascii="Arial" w:cs="Arial" w:eastAsia="Arial" w:hAnsi="Arial"/>
                  <w:sz w:val="18"/>
                  <w:szCs w:val="18"/>
                  <w:color w:val="0000EE"/>
                  <w:w w:val="99"/>
                </w:rPr>
                <w:t>Condensed Consolidated Statements of Cash Flows for the three months ended March 31, 2021 and 2020</w:t>
              </w:r>
            </w:hyperlink>
          </w:p>
        </w:tc>
        <w:tc>
          <w:tcPr>
            <w:tcW w:w="1960" w:type="dxa"/>
            <w:vAlign w:val="bottom"/>
          </w:tcPr>
          <w:p>
            <w:pPr>
              <w:spacing w:after="0"/>
              <w:rPr>
                <w:sz w:val="24"/>
                <w:szCs w:val="24"/>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5</w:t>
            </w:r>
          </w:p>
        </w:tc>
      </w:tr>
      <w:tr>
        <w:trPr>
          <w:trHeight w:val="20"/>
        </w:trPr>
        <w:tc>
          <w:tcPr>
            <w:tcW w:w="260" w:type="dxa"/>
            <w:vAlign w:val="bottom"/>
          </w:tcPr>
          <w:p>
            <w:pPr>
              <w:spacing w:after="0" w:line="20" w:lineRule="exact"/>
              <w:rPr>
                <w:sz w:val="1"/>
                <w:szCs w:val="1"/>
                <w:color w:val="auto"/>
              </w:rPr>
            </w:pPr>
          </w:p>
        </w:tc>
        <w:tc>
          <w:tcPr>
            <w:tcW w:w="900" w:type="dxa"/>
            <w:vAlign w:val="bottom"/>
            <w:gridSpan w:val="2"/>
            <w:shd w:val="clear" w:color="auto" w:fill="0000EE"/>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280" w:type="dxa"/>
            <w:vAlign w:val="bottom"/>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260" w:type="dxa"/>
            <w:vAlign w:val="bottom"/>
            <w:shd w:val="clear" w:color="auto" w:fill="0000EE"/>
          </w:tcPr>
          <w:p>
            <w:pPr>
              <w:spacing w:after="0" w:line="20" w:lineRule="exact"/>
              <w:rPr>
                <w:sz w:val="1"/>
                <w:szCs w:val="1"/>
                <w:color w:val="auto"/>
              </w:rPr>
            </w:pPr>
          </w:p>
        </w:tc>
        <w:tc>
          <w:tcPr>
            <w:tcW w:w="440" w:type="dxa"/>
            <w:vAlign w:val="bottom"/>
            <w:shd w:val="clear" w:color="auto" w:fill="0000EE"/>
          </w:tcPr>
          <w:p>
            <w:pPr>
              <w:spacing w:after="0" w:line="20" w:lineRule="exact"/>
              <w:rPr>
                <w:sz w:val="1"/>
                <w:szCs w:val="1"/>
                <w:color w:val="auto"/>
              </w:rPr>
            </w:pPr>
          </w:p>
        </w:tc>
        <w:tc>
          <w:tcPr>
            <w:tcW w:w="440" w:type="dxa"/>
            <w:vAlign w:val="bottom"/>
            <w:shd w:val="clear" w:color="auto" w:fill="0000EE"/>
          </w:tcPr>
          <w:p>
            <w:pPr>
              <w:spacing w:after="0" w:line="20" w:lineRule="exact"/>
              <w:rPr>
                <w:sz w:val="1"/>
                <w:szCs w:val="1"/>
                <w:color w:val="auto"/>
              </w:rPr>
            </w:pPr>
          </w:p>
        </w:tc>
        <w:tc>
          <w:tcPr>
            <w:tcW w:w="1460" w:type="dxa"/>
            <w:vAlign w:val="bottom"/>
            <w:gridSpan w:val="3"/>
            <w:shd w:val="clear" w:color="auto" w:fill="0000EE"/>
          </w:tcPr>
          <w:p>
            <w:pPr>
              <w:spacing w:after="0" w:line="20" w:lineRule="exact"/>
              <w:rPr>
                <w:sz w:val="1"/>
                <w:szCs w:val="1"/>
                <w:color w:val="auto"/>
              </w:rPr>
            </w:pPr>
          </w:p>
        </w:tc>
        <w:tc>
          <w:tcPr>
            <w:tcW w:w="66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2100" w:type="dxa"/>
            <w:vAlign w:val="bottom"/>
            <w:gridSpan w:val="2"/>
            <w:shd w:val="clear" w:color="auto" w:fill="0000EE"/>
          </w:tcPr>
          <w:p>
            <w:pPr>
              <w:spacing w:after="0" w:line="20" w:lineRule="exact"/>
              <w:rPr>
                <w:sz w:val="1"/>
                <w:szCs w:val="1"/>
                <w:color w:val="auto"/>
              </w:rPr>
            </w:pPr>
          </w:p>
        </w:tc>
        <w:tc>
          <w:tcPr>
            <w:tcW w:w="820" w:type="dxa"/>
            <w:vAlign w:val="bottom"/>
            <w:shd w:val="clear" w:color="auto" w:fill="0000EE"/>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2140" w:type="dxa"/>
            <w:vAlign w:val="bottom"/>
            <w:gridSpan w:val="2"/>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r>
      <w:tr>
        <w:trPr>
          <w:trHeight w:val="318"/>
        </w:trPr>
        <w:tc>
          <w:tcPr>
            <w:tcW w:w="260" w:type="dxa"/>
            <w:vAlign w:val="bottom"/>
          </w:tcPr>
          <w:p>
            <w:pPr>
              <w:spacing w:after="0"/>
              <w:rPr>
                <w:sz w:val="24"/>
                <w:szCs w:val="24"/>
                <w:color w:val="auto"/>
              </w:rPr>
            </w:pPr>
          </w:p>
        </w:tc>
        <w:tc>
          <w:tcPr>
            <w:tcW w:w="8260" w:type="dxa"/>
            <w:vAlign w:val="bottom"/>
            <w:tcBorders>
              <w:bottom w:val="single" w:sz="8" w:color="0000EE"/>
            </w:tcBorders>
            <w:gridSpan w:val="17"/>
          </w:tcPr>
          <w:p>
            <w:pPr>
              <w:spacing w:after="0"/>
              <w:rPr>
                <w:rFonts w:ascii="Arial" w:cs="Arial" w:eastAsia="Arial" w:hAnsi="Arial"/>
                <w:sz w:val="18"/>
                <w:szCs w:val="18"/>
                <w:color w:val="0000EE"/>
                <w:w w:val="89"/>
              </w:rPr>
            </w:pPr>
            <w:hyperlink w:anchor="page6">
              <w:r>
                <w:rPr>
                  <w:rFonts w:ascii="Arial" w:cs="Arial" w:eastAsia="Arial" w:hAnsi="Arial"/>
                  <w:sz w:val="18"/>
                  <w:szCs w:val="18"/>
                  <w:color w:val="0000EE"/>
                  <w:w w:val="89"/>
                </w:rPr>
                <w:t>Condensed Consolidated Statements of Stockholders’ Equity for the three months ended March 31, 2021 and 2020</w:t>
              </w:r>
            </w:hyperlink>
          </w:p>
        </w:tc>
        <w:tc>
          <w:tcPr>
            <w:tcW w:w="2140" w:type="dxa"/>
            <w:vAlign w:val="bottom"/>
            <w:gridSpan w:val="2"/>
          </w:tcPr>
          <w:p>
            <w:pPr>
              <w:spacing w:after="0"/>
              <w:rPr>
                <w:sz w:val="24"/>
                <w:szCs w:val="24"/>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6</w:t>
            </w:r>
          </w:p>
        </w:tc>
      </w:tr>
      <w:tr>
        <w:trPr>
          <w:trHeight w:val="318"/>
        </w:trPr>
        <w:tc>
          <w:tcPr>
            <w:tcW w:w="260" w:type="dxa"/>
            <w:vAlign w:val="bottom"/>
          </w:tcPr>
          <w:p>
            <w:pPr>
              <w:spacing w:after="0"/>
              <w:rPr>
                <w:sz w:val="24"/>
                <w:szCs w:val="24"/>
                <w:color w:val="auto"/>
              </w:rPr>
            </w:pPr>
          </w:p>
        </w:tc>
        <w:tc>
          <w:tcPr>
            <w:tcW w:w="10400" w:type="dxa"/>
            <w:vAlign w:val="bottom"/>
            <w:gridSpan w:val="19"/>
          </w:tcPr>
          <w:p>
            <w:pPr>
              <w:spacing w:after="0"/>
              <w:rPr>
                <w:rFonts w:ascii="Arial" w:cs="Arial" w:eastAsia="Arial" w:hAnsi="Arial"/>
                <w:sz w:val="18"/>
                <w:szCs w:val="18"/>
                <w:color w:val="0000EE"/>
              </w:rPr>
            </w:pPr>
            <w:hyperlink w:anchor="page7">
              <w:r>
                <w:rPr>
                  <w:rFonts w:ascii="Arial" w:cs="Arial" w:eastAsia="Arial" w:hAnsi="Arial"/>
                  <w:sz w:val="18"/>
                  <w:szCs w:val="18"/>
                  <w:color w:val="0000EE"/>
                </w:rPr>
                <w:t>Notes to Condensed Consolidated Financial Statements</w:t>
              </w:r>
            </w:hyperlink>
          </w:p>
        </w:tc>
        <w:tc>
          <w:tcPr>
            <w:tcW w:w="580" w:type="dxa"/>
            <w:vAlign w:val="bottom"/>
          </w:tcPr>
          <w:p>
            <w:pPr>
              <w:jc w:val="right"/>
              <w:spacing w:after="0"/>
              <w:rPr>
                <w:sz w:val="20"/>
                <w:szCs w:val="20"/>
                <w:color w:val="auto"/>
              </w:rPr>
            </w:pPr>
            <w:r>
              <w:rPr>
                <w:rFonts w:ascii="Arial" w:cs="Arial" w:eastAsia="Arial" w:hAnsi="Arial"/>
                <w:sz w:val="18"/>
                <w:szCs w:val="18"/>
                <w:color w:val="auto"/>
              </w:rPr>
              <w:t>7</w:t>
            </w:r>
          </w:p>
        </w:tc>
      </w:tr>
      <w:tr>
        <w:trPr>
          <w:trHeight w:val="20"/>
        </w:trPr>
        <w:tc>
          <w:tcPr>
            <w:tcW w:w="260" w:type="dxa"/>
            <w:vAlign w:val="bottom"/>
          </w:tcPr>
          <w:p>
            <w:pPr>
              <w:spacing w:after="0" w:line="20" w:lineRule="exact"/>
              <w:rPr>
                <w:sz w:val="1"/>
                <w:szCs w:val="1"/>
                <w:color w:val="auto"/>
              </w:rPr>
            </w:pPr>
          </w:p>
        </w:tc>
        <w:tc>
          <w:tcPr>
            <w:tcW w:w="900" w:type="dxa"/>
            <w:vAlign w:val="bottom"/>
            <w:gridSpan w:val="2"/>
            <w:shd w:val="clear" w:color="auto" w:fill="0000EE"/>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280" w:type="dxa"/>
            <w:vAlign w:val="bottom"/>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260" w:type="dxa"/>
            <w:vAlign w:val="bottom"/>
            <w:shd w:val="clear" w:color="auto" w:fill="0000EE"/>
          </w:tcPr>
          <w:p>
            <w:pPr>
              <w:spacing w:after="0" w:line="20" w:lineRule="exact"/>
              <w:rPr>
                <w:sz w:val="1"/>
                <w:szCs w:val="1"/>
                <w:color w:val="auto"/>
              </w:rPr>
            </w:pPr>
          </w:p>
        </w:tc>
        <w:tc>
          <w:tcPr>
            <w:tcW w:w="440" w:type="dxa"/>
            <w:vAlign w:val="bottom"/>
            <w:shd w:val="clear" w:color="auto" w:fill="0000EE"/>
          </w:tcPr>
          <w:p>
            <w:pPr>
              <w:spacing w:after="0" w:line="20" w:lineRule="exact"/>
              <w:rPr>
                <w:sz w:val="1"/>
                <w:szCs w:val="1"/>
                <w:color w:val="auto"/>
              </w:rPr>
            </w:pPr>
          </w:p>
        </w:tc>
        <w:tc>
          <w:tcPr>
            <w:tcW w:w="440" w:type="dxa"/>
            <w:vAlign w:val="bottom"/>
            <w:shd w:val="clear" w:color="auto" w:fill="0000EE"/>
          </w:tcPr>
          <w:p>
            <w:pPr>
              <w:spacing w:after="0" w:line="20" w:lineRule="exact"/>
              <w:rPr>
                <w:sz w:val="1"/>
                <w:szCs w:val="1"/>
                <w:color w:val="auto"/>
              </w:rPr>
            </w:pPr>
          </w:p>
        </w:tc>
        <w:tc>
          <w:tcPr>
            <w:tcW w:w="1460" w:type="dxa"/>
            <w:vAlign w:val="bottom"/>
            <w:gridSpan w:val="3"/>
            <w:shd w:val="clear" w:color="auto" w:fill="0000EE"/>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100" w:type="dxa"/>
            <w:vAlign w:val="bottom"/>
            <w:gridSpan w:val="2"/>
          </w:tcPr>
          <w:p>
            <w:pPr>
              <w:spacing w:after="0" w:line="20" w:lineRule="exact"/>
              <w:rPr>
                <w:sz w:val="1"/>
                <w:szCs w:val="1"/>
                <w:color w:val="auto"/>
              </w:rPr>
            </w:pPr>
          </w:p>
        </w:tc>
        <w:tc>
          <w:tcPr>
            <w:tcW w:w="3640" w:type="dxa"/>
            <w:vAlign w:val="bottom"/>
            <w:gridSpan w:val="4"/>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r>
      <w:tr>
        <w:trPr>
          <w:trHeight w:val="317"/>
        </w:trPr>
        <w:tc>
          <w:tcPr>
            <w:tcW w:w="7020" w:type="dxa"/>
            <w:vAlign w:val="bottom"/>
            <w:tcBorders>
              <w:bottom w:val="single" w:sz="8" w:color="0000EE"/>
            </w:tcBorders>
            <w:gridSpan w:val="16"/>
          </w:tcPr>
          <w:p>
            <w:pPr>
              <w:spacing w:after="0"/>
              <w:rPr>
                <w:rFonts w:ascii="Arial" w:cs="Arial" w:eastAsia="Arial" w:hAnsi="Arial"/>
                <w:sz w:val="18"/>
                <w:szCs w:val="18"/>
                <w:color w:val="0000EE"/>
                <w:w w:val="91"/>
              </w:rPr>
            </w:pPr>
            <w:hyperlink w:anchor="page16">
              <w:r>
                <w:rPr>
                  <w:rFonts w:ascii="Arial" w:cs="Arial" w:eastAsia="Arial" w:hAnsi="Arial"/>
                  <w:sz w:val="18"/>
                  <w:szCs w:val="18"/>
                  <w:color w:val="0000EE"/>
                  <w:w w:val="91"/>
                </w:rPr>
                <w:t>Item 2. Management’s Discussion and Analysis of Financial Condition and Results of Operations</w:t>
              </w:r>
            </w:hyperlink>
          </w:p>
        </w:tc>
        <w:tc>
          <w:tcPr>
            <w:tcW w:w="3640" w:type="dxa"/>
            <w:vAlign w:val="bottom"/>
            <w:gridSpan w:val="4"/>
          </w:tcPr>
          <w:p>
            <w:pPr>
              <w:spacing w:after="0"/>
              <w:rPr>
                <w:sz w:val="24"/>
                <w:szCs w:val="24"/>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16</w:t>
            </w:r>
          </w:p>
        </w:tc>
      </w:tr>
      <w:tr>
        <w:trPr>
          <w:trHeight w:val="318"/>
        </w:trPr>
        <w:tc>
          <w:tcPr>
            <w:tcW w:w="4920" w:type="dxa"/>
            <w:vAlign w:val="bottom"/>
            <w:tcBorders>
              <w:bottom w:val="single" w:sz="8" w:color="0000EE"/>
            </w:tcBorders>
            <w:gridSpan w:val="14"/>
          </w:tcPr>
          <w:p>
            <w:pPr>
              <w:spacing w:after="0"/>
              <w:rPr>
                <w:rFonts w:ascii="Arial" w:cs="Arial" w:eastAsia="Arial" w:hAnsi="Arial"/>
                <w:sz w:val="18"/>
                <w:szCs w:val="18"/>
                <w:color w:val="0000EE"/>
                <w:w w:val="92"/>
              </w:rPr>
            </w:pPr>
            <w:hyperlink w:anchor="page25">
              <w:r>
                <w:rPr>
                  <w:rFonts w:ascii="Arial" w:cs="Arial" w:eastAsia="Arial" w:hAnsi="Arial"/>
                  <w:sz w:val="18"/>
                  <w:szCs w:val="18"/>
                  <w:color w:val="0000EE"/>
                  <w:w w:val="92"/>
                </w:rPr>
                <w:t>Item 3. Quantitative and Qualitative Disclosures About Market Risk</w:t>
              </w:r>
            </w:hyperlink>
          </w:p>
        </w:tc>
        <w:tc>
          <w:tcPr>
            <w:tcW w:w="5740" w:type="dxa"/>
            <w:vAlign w:val="bottom"/>
            <w:gridSpan w:val="6"/>
          </w:tcPr>
          <w:p>
            <w:pPr>
              <w:spacing w:after="0"/>
              <w:rPr>
                <w:sz w:val="24"/>
                <w:szCs w:val="24"/>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24</w:t>
            </w:r>
          </w:p>
        </w:tc>
      </w:tr>
      <w:tr>
        <w:trPr>
          <w:trHeight w:val="318"/>
        </w:trPr>
        <w:tc>
          <w:tcPr>
            <w:tcW w:w="540" w:type="dxa"/>
            <w:vAlign w:val="bottom"/>
            <w:tcBorders>
              <w:bottom w:val="single" w:sz="8" w:color="0000EE"/>
            </w:tcBorders>
            <w:gridSpan w:val="2"/>
          </w:tcPr>
          <w:p>
            <w:pPr>
              <w:spacing w:after="0"/>
              <w:rPr>
                <w:rFonts w:ascii="Arial" w:cs="Arial" w:eastAsia="Arial" w:hAnsi="Arial"/>
                <w:sz w:val="18"/>
                <w:szCs w:val="18"/>
                <w:color w:val="0000EE"/>
                <w:w w:val="94"/>
              </w:rPr>
            </w:pPr>
            <w:hyperlink w:anchor="page25">
              <w:r>
                <w:rPr>
                  <w:rFonts w:ascii="Arial" w:cs="Arial" w:eastAsia="Arial" w:hAnsi="Arial"/>
                  <w:sz w:val="18"/>
                  <w:szCs w:val="18"/>
                  <w:color w:val="0000EE"/>
                  <w:w w:val="94"/>
                </w:rPr>
                <w:t>Item 4.</w:t>
              </w:r>
            </w:hyperlink>
          </w:p>
        </w:tc>
        <w:tc>
          <w:tcPr>
            <w:tcW w:w="1800" w:type="dxa"/>
            <w:vAlign w:val="bottom"/>
            <w:tcBorders>
              <w:bottom w:val="single" w:sz="8" w:color="0000EE"/>
            </w:tcBorders>
            <w:gridSpan w:val="6"/>
          </w:tcPr>
          <w:p>
            <w:pPr>
              <w:ind w:left="20"/>
              <w:spacing w:after="0"/>
              <w:rPr>
                <w:rFonts w:ascii="Arial" w:cs="Arial" w:eastAsia="Arial" w:hAnsi="Arial"/>
                <w:sz w:val="18"/>
                <w:szCs w:val="18"/>
                <w:color w:val="0000EE"/>
                <w:w w:val="88"/>
              </w:rPr>
            </w:pPr>
            <w:hyperlink w:anchor="page25">
              <w:r>
                <w:rPr>
                  <w:rFonts w:ascii="Arial" w:cs="Arial" w:eastAsia="Arial" w:hAnsi="Arial"/>
                  <w:sz w:val="18"/>
                  <w:szCs w:val="18"/>
                  <w:color w:val="0000EE"/>
                  <w:w w:val="88"/>
                </w:rPr>
                <w:t>Controls and Procedures</w:t>
              </w:r>
            </w:hyperlink>
          </w:p>
        </w:tc>
        <w:tc>
          <w:tcPr>
            <w:tcW w:w="8320" w:type="dxa"/>
            <w:vAlign w:val="bottom"/>
            <w:gridSpan w:val="12"/>
          </w:tcPr>
          <w:p>
            <w:pPr>
              <w:spacing w:after="0"/>
              <w:rPr>
                <w:sz w:val="24"/>
                <w:szCs w:val="24"/>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25</w:t>
            </w:r>
          </w:p>
        </w:tc>
      </w:tr>
      <w:tr>
        <w:trPr>
          <w:trHeight w:val="318"/>
        </w:trPr>
        <w:tc>
          <w:tcPr>
            <w:tcW w:w="2780" w:type="dxa"/>
            <w:vAlign w:val="bottom"/>
            <w:tcBorders>
              <w:bottom w:val="single" w:sz="8" w:color="0000EE"/>
            </w:tcBorders>
            <w:gridSpan w:val="9"/>
          </w:tcPr>
          <w:p>
            <w:pPr>
              <w:spacing w:after="0"/>
              <w:rPr>
                <w:rFonts w:ascii="Arial" w:cs="Arial" w:eastAsia="Arial" w:hAnsi="Arial"/>
                <w:sz w:val="18"/>
                <w:szCs w:val="18"/>
                <w:b w:val="1"/>
                <w:bCs w:val="1"/>
                <w:color w:val="0000EE"/>
              </w:rPr>
            </w:pPr>
            <w:hyperlink w:anchor="page26">
              <w:r>
                <w:rPr>
                  <w:rFonts w:ascii="Arial" w:cs="Arial" w:eastAsia="Arial" w:hAnsi="Arial"/>
                  <w:sz w:val="18"/>
                  <w:szCs w:val="18"/>
                  <w:b w:val="1"/>
                  <w:bCs w:val="1"/>
                  <w:color w:val="0000EE"/>
                </w:rPr>
                <w:t>PART II. OTHER INFORMATION</w:t>
              </w:r>
            </w:hyperlink>
          </w:p>
        </w:tc>
        <w:tc>
          <w:tcPr>
            <w:tcW w:w="7880" w:type="dxa"/>
            <w:vAlign w:val="bottom"/>
            <w:gridSpan w:val="11"/>
          </w:tcPr>
          <w:p>
            <w:pPr>
              <w:spacing w:after="0"/>
              <w:rPr>
                <w:sz w:val="24"/>
                <w:szCs w:val="24"/>
                <w:color w:val="auto"/>
              </w:rPr>
            </w:pPr>
          </w:p>
        </w:tc>
        <w:tc>
          <w:tcPr>
            <w:tcW w:w="580" w:type="dxa"/>
            <w:vAlign w:val="bottom"/>
          </w:tcPr>
          <w:p>
            <w:pPr>
              <w:spacing w:after="0"/>
              <w:rPr>
                <w:sz w:val="24"/>
                <w:szCs w:val="24"/>
                <w:color w:val="auto"/>
              </w:rPr>
            </w:pPr>
          </w:p>
        </w:tc>
      </w:tr>
      <w:tr>
        <w:trPr>
          <w:trHeight w:val="317"/>
        </w:trPr>
        <w:tc>
          <w:tcPr>
            <w:tcW w:w="540" w:type="dxa"/>
            <w:vAlign w:val="bottom"/>
            <w:tcBorders>
              <w:bottom w:val="single" w:sz="8" w:color="0000EE"/>
            </w:tcBorders>
            <w:gridSpan w:val="2"/>
          </w:tcPr>
          <w:p>
            <w:pPr>
              <w:spacing w:after="0"/>
              <w:rPr>
                <w:rFonts w:ascii="Arial" w:cs="Arial" w:eastAsia="Arial" w:hAnsi="Arial"/>
                <w:sz w:val="18"/>
                <w:szCs w:val="18"/>
                <w:color w:val="0000EE"/>
                <w:w w:val="94"/>
              </w:rPr>
            </w:pPr>
            <w:hyperlink w:anchor="page26">
              <w:r>
                <w:rPr>
                  <w:rFonts w:ascii="Arial" w:cs="Arial" w:eastAsia="Arial" w:hAnsi="Arial"/>
                  <w:sz w:val="18"/>
                  <w:szCs w:val="18"/>
                  <w:color w:val="0000EE"/>
                  <w:w w:val="94"/>
                </w:rPr>
                <w:t>Item 1.</w:t>
              </w:r>
            </w:hyperlink>
          </w:p>
        </w:tc>
        <w:tc>
          <w:tcPr>
            <w:tcW w:w="1360" w:type="dxa"/>
            <w:vAlign w:val="bottom"/>
            <w:tcBorders>
              <w:bottom w:val="single" w:sz="8" w:color="0000EE"/>
            </w:tcBorders>
            <w:gridSpan w:val="5"/>
          </w:tcPr>
          <w:p>
            <w:pPr>
              <w:ind w:left="20"/>
              <w:spacing w:after="0"/>
              <w:rPr>
                <w:rFonts w:ascii="Arial" w:cs="Arial" w:eastAsia="Arial" w:hAnsi="Arial"/>
                <w:sz w:val="18"/>
                <w:szCs w:val="18"/>
                <w:color w:val="0000EE"/>
                <w:w w:val="88"/>
              </w:rPr>
            </w:pPr>
            <w:hyperlink w:anchor="page26">
              <w:r>
                <w:rPr>
                  <w:rFonts w:ascii="Arial" w:cs="Arial" w:eastAsia="Arial" w:hAnsi="Arial"/>
                  <w:sz w:val="18"/>
                  <w:szCs w:val="18"/>
                  <w:color w:val="0000EE"/>
                  <w:w w:val="88"/>
                </w:rPr>
                <w:t>Legal Proceedings</w:t>
              </w:r>
            </w:hyperlink>
          </w:p>
        </w:tc>
        <w:tc>
          <w:tcPr>
            <w:tcW w:w="8760" w:type="dxa"/>
            <w:vAlign w:val="bottom"/>
            <w:gridSpan w:val="13"/>
          </w:tcPr>
          <w:p>
            <w:pPr>
              <w:spacing w:after="0"/>
              <w:rPr>
                <w:sz w:val="24"/>
                <w:szCs w:val="24"/>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25</w:t>
            </w:r>
          </w:p>
        </w:tc>
      </w:tr>
      <w:tr>
        <w:trPr>
          <w:trHeight w:val="318"/>
        </w:trPr>
        <w:tc>
          <w:tcPr>
            <w:tcW w:w="1600" w:type="dxa"/>
            <w:vAlign w:val="bottom"/>
            <w:tcBorders>
              <w:bottom w:val="single" w:sz="8" w:color="0000EE"/>
            </w:tcBorders>
            <w:gridSpan w:val="5"/>
          </w:tcPr>
          <w:p>
            <w:pPr>
              <w:spacing w:after="0"/>
              <w:rPr>
                <w:rFonts w:ascii="Arial" w:cs="Arial" w:eastAsia="Arial" w:hAnsi="Arial"/>
                <w:sz w:val="18"/>
                <w:szCs w:val="18"/>
                <w:color w:val="0000EE"/>
                <w:w w:val="91"/>
              </w:rPr>
            </w:pPr>
            <w:hyperlink w:anchor="page26">
              <w:r>
                <w:rPr>
                  <w:rFonts w:ascii="Arial" w:cs="Arial" w:eastAsia="Arial" w:hAnsi="Arial"/>
                  <w:sz w:val="18"/>
                  <w:szCs w:val="18"/>
                  <w:color w:val="0000EE"/>
                  <w:w w:val="91"/>
                </w:rPr>
                <w:t>Item 1A. Risk Factors</w:t>
              </w:r>
            </w:hyperlink>
          </w:p>
        </w:tc>
        <w:tc>
          <w:tcPr>
            <w:tcW w:w="9060" w:type="dxa"/>
            <w:vAlign w:val="bottom"/>
            <w:gridSpan w:val="15"/>
          </w:tcPr>
          <w:p>
            <w:pPr>
              <w:spacing w:after="0"/>
              <w:rPr>
                <w:sz w:val="24"/>
                <w:szCs w:val="24"/>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26</w:t>
            </w:r>
          </w:p>
        </w:tc>
      </w:tr>
      <w:tr>
        <w:trPr>
          <w:trHeight w:val="317"/>
        </w:trPr>
        <w:tc>
          <w:tcPr>
            <w:tcW w:w="540" w:type="dxa"/>
            <w:vAlign w:val="bottom"/>
            <w:gridSpan w:val="2"/>
          </w:tcPr>
          <w:p>
            <w:pPr>
              <w:spacing w:after="0"/>
              <w:rPr>
                <w:rFonts w:ascii="Arial" w:cs="Arial" w:eastAsia="Arial" w:hAnsi="Arial"/>
                <w:sz w:val="18"/>
                <w:szCs w:val="18"/>
                <w:color w:val="0000EE"/>
                <w:w w:val="94"/>
              </w:rPr>
            </w:pPr>
            <w:hyperlink w:anchor="page26">
              <w:r>
                <w:rPr>
                  <w:rFonts w:ascii="Arial" w:cs="Arial" w:eastAsia="Arial" w:hAnsi="Arial"/>
                  <w:sz w:val="18"/>
                  <w:szCs w:val="18"/>
                  <w:color w:val="0000EE"/>
                  <w:w w:val="94"/>
                </w:rPr>
                <w:t>Item 2.</w:t>
              </w:r>
            </w:hyperlink>
          </w:p>
        </w:tc>
        <w:tc>
          <w:tcPr>
            <w:tcW w:w="10120" w:type="dxa"/>
            <w:vAlign w:val="bottom"/>
            <w:gridSpan w:val="18"/>
          </w:tcPr>
          <w:p>
            <w:pPr>
              <w:ind w:left="20"/>
              <w:spacing w:after="0"/>
              <w:rPr>
                <w:rFonts w:ascii="Arial" w:cs="Arial" w:eastAsia="Arial" w:hAnsi="Arial"/>
                <w:sz w:val="18"/>
                <w:szCs w:val="18"/>
                <w:color w:val="0000EE"/>
              </w:rPr>
            </w:pPr>
            <w:hyperlink w:anchor="page26">
              <w:r>
                <w:rPr>
                  <w:rFonts w:ascii="Arial" w:cs="Arial" w:eastAsia="Arial" w:hAnsi="Arial"/>
                  <w:sz w:val="18"/>
                  <w:szCs w:val="18"/>
                  <w:color w:val="0000EE"/>
                </w:rPr>
                <w:t>Unregistered Sales of Equity Securities and Use of Proceeds</w:t>
              </w:r>
            </w:hyperlink>
          </w:p>
        </w:tc>
        <w:tc>
          <w:tcPr>
            <w:tcW w:w="580" w:type="dxa"/>
            <w:vAlign w:val="bottom"/>
          </w:tcPr>
          <w:p>
            <w:pPr>
              <w:jc w:val="right"/>
              <w:spacing w:after="0"/>
              <w:rPr>
                <w:sz w:val="20"/>
                <w:szCs w:val="20"/>
                <w:color w:val="auto"/>
              </w:rPr>
            </w:pPr>
            <w:r>
              <w:rPr>
                <w:rFonts w:ascii="Arial" w:cs="Arial" w:eastAsia="Arial" w:hAnsi="Arial"/>
                <w:sz w:val="18"/>
                <w:szCs w:val="18"/>
                <w:color w:val="auto"/>
              </w:rPr>
              <w:t>26</w:t>
            </w:r>
          </w:p>
        </w:tc>
      </w:tr>
      <w:tr>
        <w:trPr>
          <w:trHeight w:val="318"/>
        </w:trPr>
        <w:tc>
          <w:tcPr>
            <w:tcW w:w="540" w:type="dxa"/>
            <w:vAlign w:val="bottom"/>
            <w:tcBorders>
              <w:top w:val="single" w:sz="8" w:color="0000EE"/>
            </w:tcBorders>
            <w:gridSpan w:val="2"/>
          </w:tcPr>
          <w:p>
            <w:pPr>
              <w:spacing w:after="0"/>
              <w:rPr>
                <w:rFonts w:ascii="Arial" w:cs="Arial" w:eastAsia="Arial" w:hAnsi="Arial"/>
                <w:sz w:val="18"/>
                <w:szCs w:val="18"/>
                <w:color w:val="0000EE"/>
                <w:w w:val="94"/>
              </w:rPr>
            </w:pPr>
            <w:hyperlink w:anchor="page27">
              <w:r>
                <w:rPr>
                  <w:rFonts w:ascii="Arial" w:cs="Arial" w:eastAsia="Arial" w:hAnsi="Arial"/>
                  <w:sz w:val="18"/>
                  <w:szCs w:val="18"/>
                  <w:color w:val="0000EE"/>
                  <w:w w:val="94"/>
                </w:rPr>
                <w:t>Item 6.</w:t>
              </w:r>
            </w:hyperlink>
          </w:p>
        </w:tc>
        <w:tc>
          <w:tcPr>
            <w:tcW w:w="4360" w:type="dxa"/>
            <w:vAlign w:val="bottom"/>
            <w:tcBorders>
              <w:top w:val="single" w:sz="8" w:color="0000EE"/>
            </w:tcBorders>
            <w:gridSpan w:val="11"/>
          </w:tcPr>
          <w:p>
            <w:pPr>
              <w:ind w:left="20"/>
              <w:spacing w:after="0"/>
              <w:rPr>
                <w:rFonts w:ascii="Arial" w:cs="Arial" w:eastAsia="Arial" w:hAnsi="Arial"/>
                <w:sz w:val="18"/>
                <w:szCs w:val="18"/>
                <w:color w:val="0000EE"/>
              </w:rPr>
            </w:pPr>
            <w:hyperlink w:anchor="page27">
              <w:r>
                <w:rPr>
                  <w:rFonts w:ascii="Arial" w:cs="Arial" w:eastAsia="Arial" w:hAnsi="Arial"/>
                  <w:sz w:val="18"/>
                  <w:szCs w:val="18"/>
                  <w:color w:val="0000EE"/>
                </w:rPr>
                <w:t>Exhibits</w:t>
              </w:r>
            </w:hyperlink>
          </w:p>
        </w:tc>
        <w:tc>
          <w:tcPr>
            <w:tcW w:w="5760" w:type="dxa"/>
            <w:vAlign w:val="bottom"/>
            <w:gridSpan w:val="7"/>
          </w:tcPr>
          <w:p>
            <w:pPr>
              <w:spacing w:after="0"/>
              <w:rPr>
                <w:sz w:val="24"/>
                <w:szCs w:val="24"/>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27</w:t>
            </w:r>
          </w:p>
        </w:tc>
      </w:tr>
      <w:tr>
        <w:trPr>
          <w:trHeight w:val="20"/>
        </w:trPr>
        <w:tc>
          <w:tcPr>
            <w:tcW w:w="260" w:type="dxa"/>
            <w:vAlign w:val="bottom"/>
            <w:shd w:val="clear" w:color="auto" w:fill="0000EE"/>
          </w:tcPr>
          <w:p>
            <w:pPr>
              <w:spacing w:after="0" w:line="20" w:lineRule="exact"/>
              <w:rPr>
                <w:sz w:val="1"/>
                <w:szCs w:val="1"/>
                <w:color w:val="auto"/>
              </w:rPr>
            </w:pPr>
          </w:p>
        </w:tc>
        <w:tc>
          <w:tcPr>
            <w:tcW w:w="900" w:type="dxa"/>
            <w:vAlign w:val="bottom"/>
            <w:gridSpan w:val="2"/>
            <w:shd w:val="clear" w:color="auto" w:fill="0000EE"/>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320" w:type="dxa"/>
            <w:vAlign w:val="bottom"/>
            <w:gridSpan w:val="2"/>
          </w:tcPr>
          <w:p>
            <w:pPr>
              <w:spacing w:after="0" w:line="20" w:lineRule="exact"/>
              <w:rPr>
                <w:sz w:val="1"/>
                <w:szCs w:val="1"/>
                <w:color w:val="auto"/>
              </w:rPr>
            </w:pPr>
          </w:p>
        </w:tc>
        <w:tc>
          <w:tcPr>
            <w:tcW w:w="9020" w:type="dxa"/>
            <w:vAlign w:val="bottom"/>
            <w:gridSpan w:val="14"/>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r>
      <w:tr>
        <w:trPr>
          <w:trHeight w:val="318"/>
        </w:trPr>
        <w:tc>
          <w:tcPr>
            <w:tcW w:w="260" w:type="dxa"/>
            <w:vAlign w:val="bottom"/>
          </w:tcPr>
          <w:p>
            <w:pPr>
              <w:spacing w:after="0"/>
              <w:rPr>
                <w:sz w:val="24"/>
                <w:szCs w:val="24"/>
                <w:color w:val="auto"/>
              </w:rPr>
            </w:pPr>
          </w:p>
        </w:tc>
        <w:tc>
          <w:tcPr>
            <w:tcW w:w="10400" w:type="dxa"/>
            <w:vAlign w:val="bottom"/>
            <w:gridSpan w:val="19"/>
          </w:tcPr>
          <w:p>
            <w:pPr>
              <w:spacing w:after="0"/>
              <w:rPr>
                <w:rFonts w:ascii="Arial" w:cs="Arial" w:eastAsia="Arial" w:hAnsi="Arial"/>
                <w:sz w:val="18"/>
                <w:szCs w:val="18"/>
                <w:b w:val="1"/>
                <w:bCs w:val="1"/>
                <w:color w:val="0000EE"/>
              </w:rPr>
            </w:pPr>
            <w:hyperlink w:anchor="page27">
              <w:r>
                <w:rPr>
                  <w:rFonts w:ascii="Arial" w:cs="Arial" w:eastAsia="Arial" w:hAnsi="Arial"/>
                  <w:sz w:val="18"/>
                  <w:szCs w:val="18"/>
                  <w:b w:val="1"/>
                  <w:bCs w:val="1"/>
                  <w:color w:val="0000EE"/>
                </w:rPr>
                <w:t>EXHIBIT INDEX</w:t>
              </w:r>
            </w:hyperlink>
          </w:p>
        </w:tc>
        <w:tc>
          <w:tcPr>
            <w:tcW w:w="580" w:type="dxa"/>
            <w:vAlign w:val="bottom"/>
          </w:tcPr>
          <w:p>
            <w:pPr>
              <w:jc w:val="right"/>
              <w:spacing w:after="0"/>
              <w:rPr>
                <w:sz w:val="20"/>
                <w:szCs w:val="20"/>
                <w:color w:val="auto"/>
              </w:rPr>
            </w:pPr>
            <w:r>
              <w:rPr>
                <w:rFonts w:ascii="Arial" w:cs="Arial" w:eastAsia="Arial" w:hAnsi="Arial"/>
                <w:sz w:val="18"/>
                <w:szCs w:val="18"/>
                <w:color w:val="auto"/>
              </w:rPr>
              <w:t>27</w:t>
            </w:r>
          </w:p>
        </w:tc>
      </w:tr>
      <w:tr>
        <w:trPr>
          <w:trHeight w:val="317"/>
        </w:trPr>
        <w:tc>
          <w:tcPr>
            <w:tcW w:w="260" w:type="dxa"/>
            <w:vAlign w:val="bottom"/>
          </w:tcPr>
          <w:p>
            <w:pPr>
              <w:spacing w:after="0"/>
              <w:rPr>
                <w:sz w:val="24"/>
                <w:szCs w:val="24"/>
                <w:color w:val="auto"/>
              </w:rPr>
            </w:pPr>
          </w:p>
        </w:tc>
        <w:tc>
          <w:tcPr>
            <w:tcW w:w="1060" w:type="dxa"/>
            <w:vAlign w:val="bottom"/>
            <w:tcBorders>
              <w:top w:val="single" w:sz="8" w:color="0000EE"/>
              <w:bottom w:val="single" w:sz="8" w:color="0000EE"/>
            </w:tcBorders>
            <w:gridSpan w:val="3"/>
          </w:tcPr>
          <w:p>
            <w:pPr>
              <w:spacing w:after="0"/>
              <w:rPr>
                <w:rFonts w:ascii="Arial" w:cs="Arial" w:eastAsia="Arial" w:hAnsi="Arial"/>
                <w:sz w:val="18"/>
                <w:szCs w:val="18"/>
                <w:b w:val="1"/>
                <w:bCs w:val="1"/>
                <w:color w:val="0000EE"/>
                <w:w w:val="98"/>
              </w:rPr>
            </w:pPr>
            <w:hyperlink w:anchor="page28">
              <w:r>
                <w:rPr>
                  <w:rFonts w:ascii="Arial" w:cs="Arial" w:eastAsia="Arial" w:hAnsi="Arial"/>
                  <w:sz w:val="18"/>
                  <w:szCs w:val="18"/>
                  <w:b w:val="1"/>
                  <w:bCs w:val="1"/>
                  <w:color w:val="0000EE"/>
                  <w:w w:val="98"/>
                </w:rPr>
                <w:t>SIGNATURE</w:t>
              </w:r>
            </w:hyperlink>
          </w:p>
        </w:tc>
        <w:tc>
          <w:tcPr>
            <w:tcW w:w="320" w:type="dxa"/>
            <w:vAlign w:val="bottom"/>
            <w:tcBorders>
              <w:top w:val="single" w:sz="8" w:color="0000EE"/>
            </w:tcBorders>
            <w:gridSpan w:val="2"/>
          </w:tcPr>
          <w:p>
            <w:pPr>
              <w:spacing w:after="0"/>
              <w:rPr>
                <w:sz w:val="24"/>
                <w:szCs w:val="24"/>
                <w:color w:val="auto"/>
              </w:rPr>
            </w:pPr>
          </w:p>
        </w:tc>
        <w:tc>
          <w:tcPr>
            <w:tcW w:w="9020" w:type="dxa"/>
            <w:vAlign w:val="bottom"/>
            <w:gridSpan w:val="14"/>
          </w:tcPr>
          <w:p>
            <w:pPr>
              <w:spacing w:after="0"/>
              <w:rPr>
                <w:sz w:val="24"/>
                <w:szCs w:val="24"/>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28</w:t>
            </w:r>
          </w:p>
        </w:tc>
      </w:tr>
    </w:tbl>
    <w:p>
      <w:pPr>
        <w:spacing w:after="0" w:line="350"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SS&amp;C Technologies Holdings, Inc., or “SS&amp;C Holdings,” is our top-level holding company. SS&amp;C Technologies, Inc., or “SS&amp;C,” is our primary operating company and a wholly-owned subsidiary of SS&amp;C Technologies Holdings, Inc. “We,” “us,” “our” and the “Company” mean SS&amp;C Technologies Holdings, Inc. and its consolidated subsidiaries, including SS&amp;C.</w:t>
      </w:r>
    </w:p>
    <w:p>
      <w:pPr>
        <w:spacing w:after="0" w:line="184" w:lineRule="exact"/>
        <w:rPr>
          <w:sz w:val="20"/>
          <w:szCs w:val="20"/>
          <w:color w:val="auto"/>
        </w:rPr>
      </w:pPr>
    </w:p>
    <w:p>
      <w:pPr>
        <w:jc w:val="both"/>
        <w:spacing w:after="0" w:line="270" w:lineRule="auto"/>
        <w:rPr>
          <w:sz w:val="20"/>
          <w:szCs w:val="20"/>
          <w:color w:val="auto"/>
        </w:rPr>
      </w:pPr>
      <w:r>
        <w:rPr>
          <w:rFonts w:ascii="Arial" w:cs="Arial" w:eastAsia="Arial" w:hAnsi="Arial"/>
          <w:sz w:val="17"/>
          <w:szCs w:val="17"/>
          <w:color w:val="auto"/>
        </w:rPr>
        <w:t>This Quarterly Report on Form 10-Q may contain forward-looking statements within the meaning of Section 27A of the Securities Act of 1933, as amended, and Section 21E of the Securities Exchange Act of 1934, as amended. For this purpose, any statements contained herein that are not statements of historical fact may be deemed to be forward-looking statements. Without limiting the foregoing, the words “believes”, “anticipates”, “plans”, “expects”, “estimates”, “projects”, “forecasts”, “may”, “assume”, “intend”, “will”, “continue”, “opportunity”, “predict”, “potential”, “future”, “guarantee”, “likely”, “target”, “indicate”, “would”, “could” and “should” and similar expressions are intended to identify forward-looking statements. The important factors discussed under the caption “Risk Factors” in this Quarterly Report on Form 10-Q and in our Annual Report on Form 10-K for the year ended December 31, 2020, filed with the Securities and Exchange Commission on February 25, 2021, among others, could cause actual results to differ materially from those indicated by forward-looking statements made herein and presented elsewhere by management from time to time. We do not undertake an obligation to update its forward-looking statements to reflect future events or circumstances.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37" w:right="339" w:bottom="1440" w:gutter="0" w:footer="0" w:header="0"/>
        </w:sectPr>
      </w:pPr>
    </w:p>
    <w:bookmarkStart w:id="2" w:name="page3"/>
    <w:bookmarkEnd w:id="2"/>
    <w:tbl>
      <w:tblPr>
        <w:tblLayout w:type="fixed"/>
        <w:tblInd w:w="0" w:type="dxa"/>
        <w:tblCellMar>
          <w:top w:w="0" w:type="dxa"/>
          <w:left w:w="0" w:type="dxa"/>
          <w:bottom w:w="0" w:type="dxa"/>
          <w:right w:w="0" w:type="dxa"/>
        </w:tblCellMar>
      </w:tblPr>
      <w:tr>
        <w:trPr>
          <w:trHeight w:val="216"/>
        </w:trPr>
        <w:tc>
          <w:tcPr>
            <w:tcW w:w="940" w:type="dxa"/>
            <w:vAlign w:val="bottom"/>
          </w:tcPr>
          <w:p>
            <w:pPr>
              <w:spacing w:after="0"/>
              <w:rPr>
                <w:sz w:val="18"/>
                <w:szCs w:val="18"/>
                <w:color w:val="auto"/>
              </w:rPr>
            </w:pPr>
          </w:p>
        </w:tc>
        <w:tc>
          <w:tcPr>
            <w:tcW w:w="5900" w:type="dxa"/>
            <w:vAlign w:val="bottom"/>
          </w:tcPr>
          <w:p>
            <w:pPr>
              <w:ind w:left="4400"/>
              <w:spacing w:after="0"/>
              <w:rPr>
                <w:sz w:val="20"/>
                <w:szCs w:val="20"/>
                <w:color w:val="auto"/>
              </w:rPr>
            </w:pPr>
            <w:r>
              <w:rPr>
                <w:rFonts w:ascii="Arial" w:cs="Arial" w:eastAsia="Arial" w:hAnsi="Arial"/>
                <w:sz w:val="18"/>
                <w:szCs w:val="18"/>
                <w:b w:val="1"/>
                <w:bCs w:val="1"/>
                <w:color w:val="auto"/>
              </w:rPr>
              <w:t>PART I</w:t>
            </w:r>
          </w:p>
        </w:tc>
        <w:tc>
          <w:tcPr>
            <w:tcW w:w="9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3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4"/>
        </w:trPr>
        <w:tc>
          <w:tcPr>
            <w:tcW w:w="940" w:type="dxa"/>
            <w:vAlign w:val="bottom"/>
          </w:tcPr>
          <w:p>
            <w:pPr>
              <w:spacing w:after="0"/>
              <w:rPr>
                <w:sz w:val="20"/>
                <w:szCs w:val="20"/>
                <w:color w:val="auto"/>
              </w:rPr>
            </w:pPr>
            <w:r>
              <w:rPr>
                <w:rFonts w:ascii="Arial" w:cs="Arial" w:eastAsia="Arial" w:hAnsi="Arial"/>
                <w:sz w:val="18"/>
                <w:szCs w:val="18"/>
                <w:b w:val="1"/>
                <w:bCs w:val="1"/>
                <w:color w:val="auto"/>
              </w:rPr>
              <w:t>Item 1.</w:t>
            </w:r>
          </w:p>
        </w:tc>
        <w:tc>
          <w:tcPr>
            <w:tcW w:w="5900" w:type="dxa"/>
            <w:vAlign w:val="bottom"/>
          </w:tcPr>
          <w:p>
            <w:pPr>
              <w:ind w:left="80"/>
              <w:spacing w:after="0"/>
              <w:rPr>
                <w:sz w:val="20"/>
                <w:szCs w:val="20"/>
                <w:color w:val="auto"/>
              </w:rPr>
            </w:pPr>
            <w:r>
              <w:rPr>
                <w:rFonts w:ascii="Arial" w:cs="Arial" w:eastAsia="Arial" w:hAnsi="Arial"/>
                <w:sz w:val="18"/>
                <w:szCs w:val="18"/>
                <w:b w:val="1"/>
                <w:bCs w:val="1"/>
                <w:color w:val="auto"/>
              </w:rPr>
              <w:t>Financial Statements</w:t>
            </w:r>
          </w:p>
        </w:tc>
        <w:tc>
          <w:tcPr>
            <w:tcW w:w="90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24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3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306"/>
        </w:trPr>
        <w:tc>
          <w:tcPr>
            <w:tcW w:w="6840" w:type="dxa"/>
            <w:vAlign w:val="bottom"/>
            <w:gridSpan w:val="2"/>
          </w:tcPr>
          <w:p>
            <w:pPr>
              <w:spacing w:after="0"/>
              <w:rPr>
                <w:sz w:val="20"/>
                <w:szCs w:val="20"/>
                <w:color w:val="auto"/>
              </w:rPr>
            </w:pPr>
            <w:r>
              <w:rPr>
                <w:rFonts w:ascii="Arial" w:cs="Arial" w:eastAsia="Arial" w:hAnsi="Arial"/>
                <w:sz w:val="18"/>
                <w:szCs w:val="18"/>
                <w:b w:val="1"/>
                <w:bCs w:val="1"/>
                <w:color w:val="auto"/>
              </w:rPr>
              <w:t>SS&amp;C TECHNOLOGIES HOLDINGS, INC. AND SUBSIDIARIES</w:t>
            </w:r>
          </w:p>
        </w:tc>
        <w:tc>
          <w:tcPr>
            <w:tcW w:w="90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3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2"/>
        </w:trPr>
        <w:tc>
          <w:tcPr>
            <w:tcW w:w="6840" w:type="dxa"/>
            <w:vAlign w:val="bottom"/>
            <w:gridSpan w:val="2"/>
          </w:tcPr>
          <w:p>
            <w:pPr>
              <w:spacing w:after="0"/>
              <w:rPr>
                <w:sz w:val="20"/>
                <w:szCs w:val="20"/>
                <w:color w:val="auto"/>
              </w:rPr>
            </w:pPr>
            <w:r>
              <w:rPr>
                <w:rFonts w:ascii="Arial" w:cs="Arial" w:eastAsia="Arial" w:hAnsi="Arial"/>
                <w:sz w:val="18"/>
                <w:szCs w:val="18"/>
                <w:b w:val="1"/>
                <w:bCs w:val="1"/>
                <w:color w:val="auto"/>
              </w:rPr>
              <w:t>CONDENSED CONSOLIDATED BALANCE SHEETS</w:t>
            </w:r>
          </w:p>
        </w:tc>
        <w:tc>
          <w:tcPr>
            <w:tcW w:w="9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3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86"/>
        </w:trPr>
        <w:tc>
          <w:tcPr>
            <w:tcW w:w="6840" w:type="dxa"/>
            <w:vAlign w:val="bottom"/>
            <w:gridSpan w:val="2"/>
          </w:tcPr>
          <w:p>
            <w:pPr>
              <w:spacing w:after="0"/>
              <w:rPr>
                <w:sz w:val="20"/>
                <w:szCs w:val="20"/>
                <w:color w:val="auto"/>
              </w:rPr>
            </w:pPr>
            <w:r>
              <w:rPr>
                <w:rFonts w:ascii="Arial" w:cs="Arial" w:eastAsia="Arial" w:hAnsi="Arial"/>
                <w:sz w:val="14"/>
                <w:szCs w:val="14"/>
                <w:b w:val="1"/>
                <w:bCs w:val="1"/>
                <w:color w:val="auto"/>
              </w:rPr>
              <w:t>(In millions, except per share data) (Unaudited)</w:t>
            </w:r>
          </w:p>
        </w:tc>
        <w:tc>
          <w:tcPr>
            <w:tcW w:w="90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124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3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634"/>
        </w:trPr>
        <w:tc>
          <w:tcPr>
            <w:tcW w:w="940" w:type="dxa"/>
            <w:vAlign w:val="bottom"/>
          </w:tcPr>
          <w:p>
            <w:pPr>
              <w:spacing w:after="0"/>
              <w:rPr>
                <w:sz w:val="24"/>
                <w:szCs w:val="24"/>
                <w:color w:val="auto"/>
              </w:rPr>
            </w:pPr>
          </w:p>
        </w:tc>
        <w:tc>
          <w:tcPr>
            <w:tcW w:w="590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560" w:type="dxa"/>
            <w:vAlign w:val="bottom"/>
            <w:gridSpan w:val="2"/>
          </w:tcPr>
          <w:p>
            <w:pPr>
              <w:jc w:val="right"/>
              <w:ind w:right="780"/>
              <w:spacing w:after="0"/>
              <w:rPr>
                <w:sz w:val="20"/>
                <w:szCs w:val="20"/>
                <w:color w:val="auto"/>
              </w:rPr>
            </w:pPr>
            <w:r>
              <w:rPr>
                <w:rFonts w:ascii="Arial" w:cs="Arial" w:eastAsia="Arial" w:hAnsi="Arial"/>
                <w:sz w:val="13"/>
                <w:szCs w:val="13"/>
                <w:b w:val="1"/>
                <w:bCs w:val="1"/>
                <w:color w:val="auto"/>
              </w:rPr>
              <w:t>March 31,</w:t>
            </w:r>
          </w:p>
        </w:tc>
        <w:tc>
          <w:tcPr>
            <w:tcW w:w="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440" w:type="dxa"/>
            <w:vAlign w:val="bottom"/>
            <w:gridSpan w:val="2"/>
          </w:tcPr>
          <w:p>
            <w:pPr>
              <w:jc w:val="right"/>
              <w:ind w:right="500"/>
              <w:spacing w:after="0"/>
              <w:rPr>
                <w:sz w:val="20"/>
                <w:szCs w:val="20"/>
                <w:color w:val="auto"/>
              </w:rPr>
            </w:pPr>
            <w:r>
              <w:rPr>
                <w:rFonts w:ascii="Arial" w:cs="Arial" w:eastAsia="Arial" w:hAnsi="Arial"/>
                <w:sz w:val="13"/>
                <w:szCs w:val="13"/>
                <w:b w:val="1"/>
                <w:bCs w:val="1"/>
                <w:color w:val="auto"/>
              </w:rPr>
              <w:t>December 31,</w:t>
            </w:r>
          </w:p>
        </w:tc>
        <w:tc>
          <w:tcPr>
            <w:tcW w:w="0" w:type="dxa"/>
            <w:vAlign w:val="bottom"/>
          </w:tcPr>
          <w:p>
            <w:pPr>
              <w:spacing w:after="0"/>
              <w:rPr>
                <w:sz w:val="1"/>
                <w:szCs w:val="1"/>
                <w:color w:val="auto"/>
              </w:rPr>
            </w:pPr>
          </w:p>
        </w:tc>
      </w:tr>
      <w:tr>
        <w:trPr>
          <w:trHeight w:val="161"/>
        </w:trPr>
        <w:tc>
          <w:tcPr>
            <w:tcW w:w="940" w:type="dxa"/>
            <w:vAlign w:val="bottom"/>
            <w:vMerge w:val="restart"/>
          </w:tcPr>
          <w:p>
            <w:pPr>
              <w:spacing w:after="0"/>
              <w:rPr>
                <w:sz w:val="20"/>
                <w:szCs w:val="20"/>
                <w:color w:val="auto"/>
              </w:rPr>
            </w:pPr>
            <w:r>
              <w:rPr>
                <w:rFonts w:ascii="Arial" w:cs="Arial" w:eastAsia="Arial" w:hAnsi="Arial"/>
                <w:sz w:val="14"/>
                <w:szCs w:val="14"/>
                <w:b w:val="1"/>
                <w:bCs w:val="1"/>
                <w:color w:val="auto"/>
              </w:rPr>
              <w:t>Assets</w:t>
            </w:r>
          </w:p>
        </w:tc>
        <w:tc>
          <w:tcPr>
            <w:tcW w:w="590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280" w:type="dxa"/>
            <w:vAlign w:val="bottom"/>
            <w:tcBorders>
              <w:bottom w:val="single" w:sz="8" w:color="auto"/>
            </w:tcBorders>
          </w:tcPr>
          <w:p>
            <w:pPr>
              <w:spacing w:after="0"/>
              <w:rPr>
                <w:sz w:val="14"/>
                <w:szCs w:val="14"/>
                <w:color w:val="auto"/>
              </w:rPr>
            </w:pPr>
          </w:p>
        </w:tc>
        <w:tc>
          <w:tcPr>
            <w:tcW w:w="1240" w:type="dxa"/>
            <w:vAlign w:val="bottom"/>
            <w:tcBorders>
              <w:bottom w:val="single" w:sz="8" w:color="auto"/>
            </w:tcBorders>
          </w:tcPr>
          <w:p>
            <w:pPr>
              <w:jc w:val="right"/>
              <w:ind w:right="548"/>
              <w:spacing w:after="0"/>
              <w:rPr>
                <w:sz w:val="20"/>
                <w:szCs w:val="20"/>
                <w:color w:val="auto"/>
              </w:rPr>
            </w:pPr>
            <w:r>
              <w:rPr>
                <w:rFonts w:ascii="Arial" w:cs="Arial" w:eastAsia="Arial" w:hAnsi="Arial"/>
                <w:sz w:val="13"/>
                <w:szCs w:val="13"/>
                <w:b w:val="1"/>
                <w:bCs w:val="1"/>
                <w:color w:val="auto"/>
              </w:rPr>
              <w:t>2021</w:t>
            </w:r>
          </w:p>
        </w:tc>
        <w:tc>
          <w:tcPr>
            <w:tcW w:w="3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0" w:type="dxa"/>
            <w:vAlign w:val="bottom"/>
            <w:tcBorders>
              <w:bottom w:val="single" w:sz="8" w:color="auto"/>
            </w:tcBorders>
          </w:tcPr>
          <w:p>
            <w:pPr>
              <w:spacing w:after="0"/>
              <w:rPr>
                <w:sz w:val="14"/>
                <w:szCs w:val="14"/>
                <w:color w:val="auto"/>
              </w:rPr>
            </w:pPr>
          </w:p>
        </w:tc>
        <w:tc>
          <w:tcPr>
            <w:tcW w:w="1320" w:type="dxa"/>
            <w:vAlign w:val="bottom"/>
            <w:tcBorders>
              <w:bottom w:val="single" w:sz="8" w:color="auto"/>
            </w:tcBorders>
          </w:tcPr>
          <w:p>
            <w:pPr>
              <w:jc w:val="right"/>
              <w:ind w:right="568"/>
              <w:spacing w:after="0"/>
              <w:rPr>
                <w:sz w:val="20"/>
                <w:szCs w:val="20"/>
                <w:color w:val="auto"/>
              </w:rPr>
            </w:pPr>
            <w:r>
              <w:rPr>
                <w:rFonts w:ascii="Arial" w:cs="Arial" w:eastAsia="Arial" w:hAnsi="Arial"/>
                <w:sz w:val="13"/>
                <w:szCs w:val="13"/>
                <w:b w:val="1"/>
                <w:bCs w:val="1"/>
                <w:color w:val="auto"/>
              </w:rPr>
              <w:t>2020</w:t>
            </w:r>
          </w:p>
        </w:tc>
        <w:tc>
          <w:tcPr>
            <w:tcW w:w="1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50"/>
        </w:trPr>
        <w:tc>
          <w:tcPr>
            <w:tcW w:w="940" w:type="dxa"/>
            <w:vAlign w:val="bottom"/>
            <w:vMerge w:val="continue"/>
          </w:tcPr>
          <w:p>
            <w:pPr>
              <w:spacing w:after="0"/>
              <w:rPr>
                <w:sz w:val="13"/>
                <w:szCs w:val="13"/>
                <w:color w:val="auto"/>
              </w:rPr>
            </w:pPr>
          </w:p>
        </w:tc>
        <w:tc>
          <w:tcPr>
            <w:tcW w:w="5900" w:type="dxa"/>
            <w:vAlign w:val="bottom"/>
          </w:tcPr>
          <w:p>
            <w:pPr>
              <w:spacing w:after="0"/>
              <w:rPr>
                <w:sz w:val="13"/>
                <w:szCs w:val="13"/>
                <w:color w:val="auto"/>
              </w:rPr>
            </w:pPr>
          </w:p>
        </w:tc>
        <w:tc>
          <w:tcPr>
            <w:tcW w:w="90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124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13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67"/>
        </w:trPr>
        <w:tc>
          <w:tcPr>
            <w:tcW w:w="940" w:type="dxa"/>
            <w:vAlign w:val="bottom"/>
          </w:tcPr>
          <w:p>
            <w:pPr>
              <w:spacing w:after="0"/>
              <w:rPr>
                <w:sz w:val="20"/>
                <w:szCs w:val="20"/>
                <w:color w:val="auto"/>
              </w:rPr>
            </w:pPr>
            <w:r>
              <w:rPr>
                <w:rFonts w:ascii="Arial" w:cs="Arial" w:eastAsia="Arial" w:hAnsi="Arial"/>
                <w:sz w:val="14"/>
                <w:szCs w:val="14"/>
                <w:color w:val="auto"/>
                <w:w w:val="96"/>
              </w:rPr>
              <w:t>Current assets:</w:t>
            </w:r>
          </w:p>
        </w:tc>
        <w:tc>
          <w:tcPr>
            <w:tcW w:w="590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124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3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6840" w:type="dxa"/>
            <w:vAlign w:val="bottom"/>
            <w:gridSpan w:val="2"/>
            <w:shd w:val="clear" w:color="auto" w:fill="CFF0FC"/>
          </w:tcPr>
          <w:p>
            <w:pPr>
              <w:ind w:left="260"/>
              <w:spacing w:after="0"/>
              <w:rPr>
                <w:sz w:val="20"/>
                <w:szCs w:val="20"/>
                <w:color w:val="auto"/>
              </w:rPr>
            </w:pPr>
            <w:r>
              <w:rPr>
                <w:rFonts w:ascii="Arial" w:cs="Arial" w:eastAsia="Arial" w:hAnsi="Arial"/>
                <w:sz w:val="14"/>
                <w:szCs w:val="14"/>
                <w:color w:val="auto"/>
              </w:rPr>
              <w:t>Cash and cash equivalents</w:t>
            </w:r>
          </w:p>
        </w:tc>
        <w:tc>
          <w:tcPr>
            <w:tcW w:w="1180" w:type="dxa"/>
            <w:vAlign w:val="bottom"/>
            <w:gridSpan w:val="2"/>
            <w:shd w:val="clear" w:color="auto" w:fill="CFF0FC"/>
          </w:tcPr>
          <w:p>
            <w:pPr>
              <w:jc w:val="right"/>
              <w:ind w:right="128"/>
              <w:spacing w:after="0"/>
              <w:rPr>
                <w:sz w:val="20"/>
                <w:szCs w:val="20"/>
                <w:color w:val="auto"/>
              </w:rPr>
            </w:pPr>
            <w:r>
              <w:rPr>
                <w:rFonts w:ascii="Arial" w:cs="Arial" w:eastAsia="Arial" w:hAnsi="Arial"/>
                <w:sz w:val="14"/>
                <w:szCs w:val="14"/>
                <w:color w:val="auto"/>
              </w:rPr>
              <w:t>$</w:t>
            </w:r>
          </w:p>
        </w:tc>
        <w:tc>
          <w:tcPr>
            <w:tcW w:w="1240" w:type="dxa"/>
            <w:vAlign w:val="bottom"/>
            <w:shd w:val="clear" w:color="auto" w:fill="CFF0FC"/>
          </w:tcPr>
          <w:p>
            <w:pPr>
              <w:jc w:val="right"/>
              <w:spacing w:after="0"/>
              <w:rPr>
                <w:sz w:val="20"/>
                <w:szCs w:val="20"/>
                <w:color w:val="auto"/>
              </w:rPr>
            </w:pPr>
            <w:r>
              <w:rPr>
                <w:rFonts w:ascii="Arial" w:cs="Arial" w:eastAsia="Arial" w:hAnsi="Arial"/>
                <w:sz w:val="14"/>
                <w:szCs w:val="14"/>
                <w:color w:val="auto"/>
              </w:rPr>
              <w:t>253.7</w:t>
            </w:r>
          </w:p>
        </w:tc>
        <w:tc>
          <w:tcPr>
            <w:tcW w:w="320" w:type="dxa"/>
            <w:vAlign w:val="bottom"/>
            <w:shd w:val="clear" w:color="auto" w:fill="CFF0FC"/>
          </w:tcPr>
          <w:p>
            <w:pPr>
              <w:spacing w:after="0"/>
              <w:rPr>
                <w:sz w:val="14"/>
                <w:szCs w:val="14"/>
                <w:color w:val="auto"/>
              </w:rPr>
            </w:pPr>
          </w:p>
        </w:tc>
        <w:tc>
          <w:tcPr>
            <w:tcW w:w="220" w:type="dxa"/>
            <w:vAlign w:val="bottom"/>
            <w:gridSpan w:val="2"/>
            <w:shd w:val="clear" w:color="auto" w:fill="CFF0FC"/>
          </w:tcPr>
          <w:p>
            <w:pPr>
              <w:jc w:val="right"/>
              <w:ind w:right="89"/>
              <w:spacing w:after="0"/>
              <w:rPr>
                <w:sz w:val="20"/>
                <w:szCs w:val="20"/>
                <w:color w:val="auto"/>
              </w:rPr>
            </w:pPr>
            <w:r>
              <w:rPr>
                <w:rFonts w:ascii="Arial" w:cs="Arial" w:eastAsia="Arial" w:hAnsi="Arial"/>
                <w:sz w:val="14"/>
                <w:szCs w:val="14"/>
                <w:color w:val="auto"/>
                <w:w w:val="76"/>
              </w:rPr>
              <w:t>$</w:t>
            </w:r>
          </w:p>
        </w:tc>
        <w:tc>
          <w:tcPr>
            <w:tcW w:w="1320" w:type="dxa"/>
            <w:vAlign w:val="bottom"/>
            <w:shd w:val="clear" w:color="auto" w:fill="CFF0FC"/>
          </w:tcPr>
          <w:p>
            <w:pPr>
              <w:jc w:val="right"/>
              <w:spacing w:after="0"/>
              <w:rPr>
                <w:sz w:val="20"/>
                <w:szCs w:val="20"/>
                <w:color w:val="auto"/>
              </w:rPr>
            </w:pPr>
            <w:r>
              <w:rPr>
                <w:rFonts w:ascii="Arial" w:cs="Arial" w:eastAsia="Arial" w:hAnsi="Arial"/>
                <w:sz w:val="14"/>
                <w:szCs w:val="14"/>
                <w:color w:val="auto"/>
              </w:rPr>
              <w:t>209.3</w:t>
            </w:r>
          </w:p>
        </w:tc>
        <w:tc>
          <w:tcPr>
            <w:tcW w:w="120" w:type="dxa"/>
            <w:vAlign w:val="bottom"/>
            <w:shd w:val="clear" w:color="auto" w:fill="CFF0FC"/>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6840" w:type="dxa"/>
            <w:vAlign w:val="bottom"/>
            <w:gridSpan w:val="2"/>
          </w:tcPr>
          <w:p>
            <w:pPr>
              <w:ind w:left="260"/>
              <w:spacing w:after="0"/>
              <w:rPr>
                <w:sz w:val="20"/>
                <w:szCs w:val="20"/>
                <w:color w:val="auto"/>
              </w:rPr>
            </w:pPr>
            <w:r>
              <w:rPr>
                <w:rFonts w:ascii="Arial" w:cs="Arial" w:eastAsia="Arial" w:hAnsi="Arial"/>
                <w:sz w:val="14"/>
                <w:szCs w:val="14"/>
                <w:color w:val="auto"/>
              </w:rPr>
              <w:t>Funds receivable and funds held on behalf of clients</w:t>
            </w:r>
          </w:p>
        </w:tc>
        <w:tc>
          <w:tcPr>
            <w:tcW w:w="90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1240" w:type="dxa"/>
            <w:vAlign w:val="bottom"/>
          </w:tcPr>
          <w:p>
            <w:pPr>
              <w:jc w:val="right"/>
              <w:spacing w:after="0"/>
              <w:rPr>
                <w:sz w:val="20"/>
                <w:szCs w:val="20"/>
                <w:color w:val="auto"/>
              </w:rPr>
            </w:pPr>
            <w:r>
              <w:rPr>
                <w:rFonts w:ascii="Arial" w:cs="Arial" w:eastAsia="Arial" w:hAnsi="Arial"/>
                <w:sz w:val="14"/>
                <w:szCs w:val="14"/>
                <w:color w:val="auto"/>
              </w:rPr>
              <w:t>2,030.0</w:t>
            </w:r>
          </w:p>
        </w:tc>
        <w:tc>
          <w:tcPr>
            <w:tcW w:w="3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320" w:type="dxa"/>
            <w:vAlign w:val="bottom"/>
          </w:tcPr>
          <w:p>
            <w:pPr>
              <w:jc w:val="right"/>
              <w:spacing w:after="0"/>
              <w:rPr>
                <w:sz w:val="20"/>
                <w:szCs w:val="20"/>
                <w:color w:val="auto"/>
              </w:rPr>
            </w:pPr>
            <w:r>
              <w:rPr>
                <w:rFonts w:ascii="Arial" w:cs="Arial" w:eastAsia="Arial" w:hAnsi="Arial"/>
                <w:sz w:val="14"/>
                <w:szCs w:val="14"/>
                <w:color w:val="auto"/>
              </w:rPr>
              <w:t>1,227.4</w:t>
            </w:r>
          </w:p>
        </w:tc>
        <w:tc>
          <w:tcPr>
            <w:tcW w:w="1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6840" w:type="dxa"/>
            <w:vAlign w:val="bottom"/>
            <w:gridSpan w:val="2"/>
            <w:shd w:val="clear" w:color="auto" w:fill="CFF0FC"/>
          </w:tcPr>
          <w:p>
            <w:pPr>
              <w:ind w:left="260"/>
              <w:spacing w:after="0"/>
              <w:rPr>
                <w:sz w:val="20"/>
                <w:szCs w:val="20"/>
                <w:color w:val="auto"/>
              </w:rPr>
            </w:pPr>
            <w:r>
              <w:rPr>
                <w:rFonts w:ascii="Arial" w:cs="Arial" w:eastAsia="Arial" w:hAnsi="Arial"/>
                <w:sz w:val="14"/>
                <w:szCs w:val="14"/>
                <w:color w:val="auto"/>
              </w:rPr>
              <w:t>Accounts receivable, net of allowance for doubtful accounts of $16.9 and $16.8, respectively</w:t>
            </w:r>
          </w:p>
        </w:tc>
        <w:tc>
          <w:tcPr>
            <w:tcW w:w="900" w:type="dxa"/>
            <w:vAlign w:val="bottom"/>
            <w:shd w:val="clear" w:color="auto" w:fill="CFF0FC"/>
          </w:tcPr>
          <w:p>
            <w:pPr>
              <w:spacing w:after="0"/>
              <w:rPr>
                <w:sz w:val="14"/>
                <w:szCs w:val="14"/>
                <w:color w:val="auto"/>
              </w:rPr>
            </w:pPr>
          </w:p>
        </w:tc>
        <w:tc>
          <w:tcPr>
            <w:tcW w:w="280" w:type="dxa"/>
            <w:vAlign w:val="bottom"/>
            <w:shd w:val="clear" w:color="auto" w:fill="CFF0FC"/>
          </w:tcPr>
          <w:p>
            <w:pPr>
              <w:spacing w:after="0"/>
              <w:rPr>
                <w:sz w:val="14"/>
                <w:szCs w:val="14"/>
                <w:color w:val="auto"/>
              </w:rPr>
            </w:pPr>
          </w:p>
        </w:tc>
        <w:tc>
          <w:tcPr>
            <w:tcW w:w="1240" w:type="dxa"/>
            <w:vAlign w:val="bottom"/>
            <w:shd w:val="clear" w:color="auto" w:fill="CFF0FC"/>
          </w:tcPr>
          <w:p>
            <w:pPr>
              <w:jc w:val="right"/>
              <w:spacing w:after="0"/>
              <w:rPr>
                <w:sz w:val="20"/>
                <w:szCs w:val="20"/>
                <w:color w:val="auto"/>
              </w:rPr>
            </w:pPr>
            <w:r>
              <w:rPr>
                <w:rFonts w:ascii="Arial" w:cs="Arial" w:eastAsia="Arial" w:hAnsi="Arial"/>
                <w:sz w:val="14"/>
                <w:szCs w:val="14"/>
                <w:color w:val="auto"/>
              </w:rPr>
              <w:t>674.5</w:t>
            </w:r>
          </w:p>
        </w:tc>
        <w:tc>
          <w:tcPr>
            <w:tcW w:w="320" w:type="dxa"/>
            <w:vAlign w:val="bottom"/>
            <w:shd w:val="clear" w:color="auto" w:fill="CFF0FC"/>
          </w:tcPr>
          <w:p>
            <w:pPr>
              <w:spacing w:after="0"/>
              <w:rPr>
                <w:sz w:val="14"/>
                <w:szCs w:val="14"/>
                <w:color w:val="auto"/>
              </w:rPr>
            </w:pPr>
          </w:p>
        </w:tc>
        <w:tc>
          <w:tcPr>
            <w:tcW w:w="20" w:type="dxa"/>
            <w:vAlign w:val="bottom"/>
            <w:shd w:val="clear" w:color="auto" w:fill="CFF0FC"/>
          </w:tcPr>
          <w:p>
            <w:pPr>
              <w:spacing w:after="0"/>
              <w:rPr>
                <w:sz w:val="14"/>
                <w:szCs w:val="14"/>
                <w:color w:val="auto"/>
              </w:rPr>
            </w:pPr>
          </w:p>
        </w:tc>
        <w:tc>
          <w:tcPr>
            <w:tcW w:w="200" w:type="dxa"/>
            <w:vAlign w:val="bottom"/>
            <w:shd w:val="clear" w:color="auto" w:fill="CFF0FC"/>
          </w:tcPr>
          <w:p>
            <w:pPr>
              <w:spacing w:after="0"/>
              <w:rPr>
                <w:sz w:val="14"/>
                <w:szCs w:val="14"/>
                <w:color w:val="auto"/>
              </w:rPr>
            </w:pPr>
          </w:p>
        </w:tc>
        <w:tc>
          <w:tcPr>
            <w:tcW w:w="1320" w:type="dxa"/>
            <w:vAlign w:val="bottom"/>
            <w:shd w:val="clear" w:color="auto" w:fill="CFF0FC"/>
          </w:tcPr>
          <w:p>
            <w:pPr>
              <w:jc w:val="right"/>
              <w:spacing w:after="0"/>
              <w:rPr>
                <w:sz w:val="20"/>
                <w:szCs w:val="20"/>
                <w:color w:val="auto"/>
              </w:rPr>
            </w:pPr>
            <w:r>
              <w:rPr>
                <w:rFonts w:ascii="Arial" w:cs="Arial" w:eastAsia="Arial" w:hAnsi="Arial"/>
                <w:sz w:val="14"/>
                <w:szCs w:val="14"/>
                <w:color w:val="auto"/>
              </w:rPr>
              <w:t>648.0</w:t>
            </w:r>
          </w:p>
        </w:tc>
        <w:tc>
          <w:tcPr>
            <w:tcW w:w="120" w:type="dxa"/>
            <w:vAlign w:val="bottom"/>
            <w:shd w:val="clear" w:color="auto" w:fill="CFF0FC"/>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6840" w:type="dxa"/>
            <w:vAlign w:val="bottom"/>
            <w:gridSpan w:val="2"/>
          </w:tcPr>
          <w:p>
            <w:pPr>
              <w:ind w:left="260"/>
              <w:spacing w:after="0"/>
              <w:rPr>
                <w:sz w:val="20"/>
                <w:szCs w:val="20"/>
                <w:color w:val="auto"/>
              </w:rPr>
            </w:pPr>
            <w:r>
              <w:rPr>
                <w:rFonts w:ascii="Arial" w:cs="Arial" w:eastAsia="Arial" w:hAnsi="Arial"/>
                <w:sz w:val="14"/>
                <w:szCs w:val="14"/>
                <w:color w:val="auto"/>
              </w:rPr>
              <w:t>Contract asset</w:t>
            </w:r>
          </w:p>
        </w:tc>
        <w:tc>
          <w:tcPr>
            <w:tcW w:w="90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1240" w:type="dxa"/>
            <w:vAlign w:val="bottom"/>
          </w:tcPr>
          <w:p>
            <w:pPr>
              <w:jc w:val="right"/>
              <w:spacing w:after="0"/>
              <w:rPr>
                <w:sz w:val="20"/>
                <w:szCs w:val="20"/>
                <w:color w:val="auto"/>
              </w:rPr>
            </w:pPr>
            <w:r>
              <w:rPr>
                <w:rFonts w:ascii="Arial" w:cs="Arial" w:eastAsia="Arial" w:hAnsi="Arial"/>
                <w:sz w:val="14"/>
                <w:szCs w:val="14"/>
                <w:color w:val="auto"/>
              </w:rPr>
              <w:t>27.2</w:t>
            </w:r>
          </w:p>
        </w:tc>
        <w:tc>
          <w:tcPr>
            <w:tcW w:w="3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320" w:type="dxa"/>
            <w:vAlign w:val="bottom"/>
          </w:tcPr>
          <w:p>
            <w:pPr>
              <w:jc w:val="right"/>
              <w:spacing w:after="0"/>
              <w:rPr>
                <w:sz w:val="20"/>
                <w:szCs w:val="20"/>
                <w:color w:val="auto"/>
              </w:rPr>
            </w:pPr>
            <w:r>
              <w:rPr>
                <w:rFonts w:ascii="Arial" w:cs="Arial" w:eastAsia="Arial" w:hAnsi="Arial"/>
                <w:sz w:val="14"/>
                <w:szCs w:val="14"/>
                <w:color w:val="auto"/>
              </w:rPr>
              <w:t>20.4</w:t>
            </w:r>
          </w:p>
        </w:tc>
        <w:tc>
          <w:tcPr>
            <w:tcW w:w="1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6840" w:type="dxa"/>
            <w:vAlign w:val="bottom"/>
            <w:gridSpan w:val="2"/>
            <w:shd w:val="clear" w:color="auto" w:fill="CFF0FC"/>
          </w:tcPr>
          <w:p>
            <w:pPr>
              <w:ind w:left="260"/>
              <w:spacing w:after="0"/>
              <w:rPr>
                <w:sz w:val="20"/>
                <w:szCs w:val="20"/>
                <w:color w:val="auto"/>
              </w:rPr>
            </w:pPr>
            <w:r>
              <w:rPr>
                <w:rFonts w:ascii="Arial" w:cs="Arial" w:eastAsia="Arial" w:hAnsi="Arial"/>
                <w:sz w:val="14"/>
                <w:szCs w:val="14"/>
                <w:color w:val="auto"/>
              </w:rPr>
              <w:t>Prepaid expenses and other current assets</w:t>
            </w:r>
          </w:p>
        </w:tc>
        <w:tc>
          <w:tcPr>
            <w:tcW w:w="900" w:type="dxa"/>
            <w:vAlign w:val="bottom"/>
            <w:shd w:val="clear" w:color="auto" w:fill="CFF0FC"/>
          </w:tcPr>
          <w:p>
            <w:pPr>
              <w:spacing w:after="0"/>
              <w:rPr>
                <w:sz w:val="14"/>
                <w:szCs w:val="14"/>
                <w:color w:val="auto"/>
              </w:rPr>
            </w:pPr>
          </w:p>
        </w:tc>
        <w:tc>
          <w:tcPr>
            <w:tcW w:w="280" w:type="dxa"/>
            <w:vAlign w:val="bottom"/>
            <w:shd w:val="clear" w:color="auto" w:fill="CFF0FC"/>
          </w:tcPr>
          <w:p>
            <w:pPr>
              <w:spacing w:after="0"/>
              <w:rPr>
                <w:sz w:val="14"/>
                <w:szCs w:val="14"/>
                <w:color w:val="auto"/>
              </w:rPr>
            </w:pPr>
          </w:p>
        </w:tc>
        <w:tc>
          <w:tcPr>
            <w:tcW w:w="1240" w:type="dxa"/>
            <w:vAlign w:val="bottom"/>
            <w:shd w:val="clear" w:color="auto" w:fill="CFF0FC"/>
          </w:tcPr>
          <w:p>
            <w:pPr>
              <w:jc w:val="right"/>
              <w:spacing w:after="0"/>
              <w:rPr>
                <w:sz w:val="20"/>
                <w:szCs w:val="20"/>
                <w:color w:val="auto"/>
              </w:rPr>
            </w:pPr>
            <w:r>
              <w:rPr>
                <w:rFonts w:ascii="Arial" w:cs="Arial" w:eastAsia="Arial" w:hAnsi="Arial"/>
                <w:sz w:val="14"/>
                <w:szCs w:val="14"/>
                <w:color w:val="auto"/>
              </w:rPr>
              <w:t>209.4</w:t>
            </w:r>
          </w:p>
        </w:tc>
        <w:tc>
          <w:tcPr>
            <w:tcW w:w="320" w:type="dxa"/>
            <w:vAlign w:val="bottom"/>
            <w:shd w:val="clear" w:color="auto" w:fill="CFF0FC"/>
          </w:tcPr>
          <w:p>
            <w:pPr>
              <w:spacing w:after="0"/>
              <w:rPr>
                <w:sz w:val="14"/>
                <w:szCs w:val="14"/>
                <w:color w:val="auto"/>
              </w:rPr>
            </w:pPr>
          </w:p>
        </w:tc>
        <w:tc>
          <w:tcPr>
            <w:tcW w:w="20" w:type="dxa"/>
            <w:vAlign w:val="bottom"/>
            <w:shd w:val="clear" w:color="auto" w:fill="CFF0FC"/>
          </w:tcPr>
          <w:p>
            <w:pPr>
              <w:spacing w:after="0"/>
              <w:rPr>
                <w:sz w:val="14"/>
                <w:szCs w:val="14"/>
                <w:color w:val="auto"/>
              </w:rPr>
            </w:pPr>
          </w:p>
        </w:tc>
        <w:tc>
          <w:tcPr>
            <w:tcW w:w="200" w:type="dxa"/>
            <w:vAlign w:val="bottom"/>
            <w:shd w:val="clear" w:color="auto" w:fill="CFF0FC"/>
          </w:tcPr>
          <w:p>
            <w:pPr>
              <w:spacing w:after="0"/>
              <w:rPr>
                <w:sz w:val="14"/>
                <w:szCs w:val="14"/>
                <w:color w:val="auto"/>
              </w:rPr>
            </w:pPr>
          </w:p>
        </w:tc>
        <w:tc>
          <w:tcPr>
            <w:tcW w:w="1320" w:type="dxa"/>
            <w:vAlign w:val="bottom"/>
            <w:shd w:val="clear" w:color="auto" w:fill="CFF0FC"/>
          </w:tcPr>
          <w:p>
            <w:pPr>
              <w:jc w:val="right"/>
              <w:spacing w:after="0"/>
              <w:rPr>
                <w:sz w:val="20"/>
                <w:szCs w:val="20"/>
                <w:color w:val="auto"/>
              </w:rPr>
            </w:pPr>
            <w:r>
              <w:rPr>
                <w:rFonts w:ascii="Arial" w:cs="Arial" w:eastAsia="Arial" w:hAnsi="Arial"/>
                <w:sz w:val="14"/>
                <w:szCs w:val="14"/>
                <w:color w:val="auto"/>
              </w:rPr>
              <w:t>187.5</w:t>
            </w:r>
          </w:p>
        </w:tc>
        <w:tc>
          <w:tcPr>
            <w:tcW w:w="120" w:type="dxa"/>
            <w:vAlign w:val="bottom"/>
            <w:shd w:val="clear" w:color="auto" w:fill="CFF0FC"/>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6840" w:type="dxa"/>
            <w:vAlign w:val="bottom"/>
            <w:tcBorders>
              <w:bottom w:val="single" w:sz="8" w:color="CFF0FC"/>
            </w:tcBorders>
            <w:gridSpan w:val="2"/>
          </w:tcPr>
          <w:p>
            <w:pPr>
              <w:ind w:left="260"/>
              <w:spacing w:after="0"/>
              <w:rPr>
                <w:sz w:val="20"/>
                <w:szCs w:val="20"/>
                <w:color w:val="auto"/>
              </w:rPr>
            </w:pPr>
            <w:r>
              <w:rPr>
                <w:rFonts w:ascii="Arial" w:cs="Arial" w:eastAsia="Arial" w:hAnsi="Arial"/>
                <w:sz w:val="14"/>
                <w:szCs w:val="14"/>
                <w:color w:val="auto"/>
              </w:rPr>
              <w:t>Restricted cash and cash equivalents</w:t>
            </w:r>
          </w:p>
        </w:tc>
        <w:tc>
          <w:tcPr>
            <w:tcW w:w="900" w:type="dxa"/>
            <w:vAlign w:val="bottom"/>
            <w:tcBorders>
              <w:bottom w:val="single" w:sz="8" w:color="CFF0FC"/>
            </w:tcBorders>
          </w:tcPr>
          <w:p>
            <w:pPr>
              <w:spacing w:after="0"/>
              <w:rPr>
                <w:sz w:val="14"/>
                <w:szCs w:val="14"/>
                <w:color w:val="auto"/>
              </w:rPr>
            </w:pPr>
          </w:p>
        </w:tc>
        <w:tc>
          <w:tcPr>
            <w:tcW w:w="280" w:type="dxa"/>
            <w:vAlign w:val="bottom"/>
            <w:tcBorders>
              <w:bottom w:val="single" w:sz="8" w:color="auto"/>
            </w:tcBorders>
          </w:tcPr>
          <w:p>
            <w:pPr>
              <w:spacing w:after="0"/>
              <w:rPr>
                <w:sz w:val="14"/>
                <w:szCs w:val="14"/>
                <w:color w:val="auto"/>
              </w:rPr>
            </w:pPr>
          </w:p>
        </w:tc>
        <w:tc>
          <w:tcPr>
            <w:tcW w:w="124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4.4</w:t>
            </w:r>
          </w:p>
        </w:tc>
        <w:tc>
          <w:tcPr>
            <w:tcW w:w="320" w:type="dxa"/>
            <w:vAlign w:val="bottom"/>
            <w:tcBorders>
              <w:bottom w:val="single" w:sz="8" w:color="CFF0FC"/>
            </w:tcBorders>
          </w:tcPr>
          <w:p>
            <w:pPr>
              <w:spacing w:after="0"/>
              <w:rPr>
                <w:sz w:val="14"/>
                <w:szCs w:val="14"/>
                <w:color w:val="auto"/>
              </w:rPr>
            </w:pPr>
          </w:p>
        </w:tc>
        <w:tc>
          <w:tcPr>
            <w:tcW w:w="20" w:type="dxa"/>
            <w:vAlign w:val="bottom"/>
            <w:tcBorders>
              <w:bottom w:val="single" w:sz="8" w:color="CFF0FC"/>
            </w:tcBorders>
          </w:tcPr>
          <w:p>
            <w:pPr>
              <w:spacing w:after="0"/>
              <w:rPr>
                <w:sz w:val="14"/>
                <w:szCs w:val="14"/>
                <w:color w:val="auto"/>
              </w:rPr>
            </w:pPr>
          </w:p>
        </w:tc>
        <w:tc>
          <w:tcPr>
            <w:tcW w:w="200" w:type="dxa"/>
            <w:vAlign w:val="bottom"/>
            <w:tcBorders>
              <w:bottom w:val="single" w:sz="8" w:color="auto"/>
            </w:tcBorders>
          </w:tcPr>
          <w:p>
            <w:pPr>
              <w:spacing w:after="0"/>
              <w:rPr>
                <w:sz w:val="14"/>
                <w:szCs w:val="14"/>
                <w:color w:val="auto"/>
              </w:rPr>
            </w:pPr>
          </w:p>
        </w:tc>
        <w:tc>
          <w:tcPr>
            <w:tcW w:w="132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5.9</w:t>
            </w:r>
          </w:p>
        </w:tc>
        <w:tc>
          <w:tcPr>
            <w:tcW w:w="120" w:type="dxa"/>
            <w:vAlign w:val="bottom"/>
            <w:tcBorders>
              <w:bottom w:val="single" w:sz="8" w:color="CFF0FC"/>
            </w:tcBorders>
          </w:tcPr>
          <w:p>
            <w:pPr>
              <w:spacing w:after="0"/>
              <w:rPr>
                <w:sz w:val="14"/>
                <w:szCs w:val="14"/>
                <w:color w:val="auto"/>
              </w:rPr>
            </w:pPr>
          </w:p>
        </w:tc>
        <w:tc>
          <w:tcPr>
            <w:tcW w:w="0" w:type="dxa"/>
            <w:vAlign w:val="bottom"/>
          </w:tcPr>
          <w:p>
            <w:pPr>
              <w:spacing w:after="0"/>
              <w:rPr>
                <w:sz w:val="1"/>
                <w:szCs w:val="1"/>
                <w:color w:val="auto"/>
              </w:rPr>
            </w:pPr>
          </w:p>
        </w:tc>
      </w:tr>
      <w:tr>
        <w:trPr>
          <w:trHeight w:val="156"/>
        </w:trPr>
        <w:tc>
          <w:tcPr>
            <w:tcW w:w="6840" w:type="dxa"/>
            <w:vAlign w:val="bottom"/>
            <w:gridSpan w:val="2"/>
            <w:shd w:val="clear" w:color="auto" w:fill="CFF0FC"/>
          </w:tcPr>
          <w:p>
            <w:pPr>
              <w:spacing w:after="0" w:line="155" w:lineRule="exact"/>
              <w:rPr>
                <w:sz w:val="20"/>
                <w:szCs w:val="20"/>
                <w:color w:val="auto"/>
              </w:rPr>
            </w:pPr>
            <w:r>
              <w:rPr>
                <w:rFonts w:ascii="Arial" w:cs="Arial" w:eastAsia="Arial" w:hAnsi="Arial"/>
                <w:sz w:val="14"/>
                <w:szCs w:val="14"/>
                <w:color w:val="auto"/>
              </w:rPr>
              <w:t>Total current assets</w:t>
            </w:r>
          </w:p>
        </w:tc>
        <w:tc>
          <w:tcPr>
            <w:tcW w:w="900" w:type="dxa"/>
            <w:vAlign w:val="bottom"/>
            <w:shd w:val="clear" w:color="auto" w:fill="CFF0FC"/>
          </w:tcPr>
          <w:p>
            <w:pPr>
              <w:spacing w:after="0"/>
              <w:rPr>
                <w:sz w:val="13"/>
                <w:szCs w:val="13"/>
                <w:color w:val="auto"/>
              </w:rPr>
            </w:pPr>
          </w:p>
        </w:tc>
        <w:tc>
          <w:tcPr>
            <w:tcW w:w="280" w:type="dxa"/>
            <w:vAlign w:val="bottom"/>
            <w:shd w:val="clear" w:color="auto" w:fill="CFF0FC"/>
          </w:tcPr>
          <w:p>
            <w:pPr>
              <w:spacing w:after="0"/>
              <w:rPr>
                <w:sz w:val="13"/>
                <w:szCs w:val="13"/>
                <w:color w:val="auto"/>
              </w:rPr>
            </w:pPr>
          </w:p>
        </w:tc>
        <w:tc>
          <w:tcPr>
            <w:tcW w:w="1240" w:type="dxa"/>
            <w:vAlign w:val="bottom"/>
            <w:shd w:val="clear" w:color="auto" w:fill="CFF0FC"/>
          </w:tcPr>
          <w:p>
            <w:pPr>
              <w:jc w:val="right"/>
              <w:spacing w:after="0" w:line="155" w:lineRule="exact"/>
              <w:rPr>
                <w:sz w:val="20"/>
                <w:szCs w:val="20"/>
                <w:color w:val="auto"/>
              </w:rPr>
            </w:pPr>
            <w:r>
              <w:rPr>
                <w:rFonts w:ascii="Arial" w:cs="Arial" w:eastAsia="Arial" w:hAnsi="Arial"/>
                <w:sz w:val="14"/>
                <w:szCs w:val="14"/>
                <w:color w:val="auto"/>
              </w:rPr>
              <w:t>3,199.2</w:t>
            </w:r>
          </w:p>
        </w:tc>
        <w:tc>
          <w:tcPr>
            <w:tcW w:w="320" w:type="dxa"/>
            <w:vAlign w:val="bottom"/>
            <w:shd w:val="clear" w:color="auto" w:fill="CFF0FC"/>
          </w:tcPr>
          <w:p>
            <w:pPr>
              <w:spacing w:after="0"/>
              <w:rPr>
                <w:sz w:val="13"/>
                <w:szCs w:val="13"/>
                <w:color w:val="auto"/>
              </w:rPr>
            </w:pPr>
          </w:p>
        </w:tc>
        <w:tc>
          <w:tcPr>
            <w:tcW w:w="20" w:type="dxa"/>
            <w:vAlign w:val="bottom"/>
            <w:shd w:val="clear" w:color="auto" w:fill="CFF0FC"/>
          </w:tcPr>
          <w:p>
            <w:pPr>
              <w:spacing w:after="0"/>
              <w:rPr>
                <w:sz w:val="13"/>
                <w:szCs w:val="13"/>
                <w:color w:val="auto"/>
              </w:rPr>
            </w:pPr>
          </w:p>
        </w:tc>
        <w:tc>
          <w:tcPr>
            <w:tcW w:w="200" w:type="dxa"/>
            <w:vAlign w:val="bottom"/>
            <w:shd w:val="clear" w:color="auto" w:fill="CFF0FC"/>
          </w:tcPr>
          <w:p>
            <w:pPr>
              <w:spacing w:after="0"/>
              <w:rPr>
                <w:sz w:val="13"/>
                <w:szCs w:val="13"/>
                <w:color w:val="auto"/>
              </w:rPr>
            </w:pPr>
          </w:p>
        </w:tc>
        <w:tc>
          <w:tcPr>
            <w:tcW w:w="1320" w:type="dxa"/>
            <w:vAlign w:val="bottom"/>
            <w:shd w:val="clear" w:color="auto" w:fill="CFF0FC"/>
          </w:tcPr>
          <w:p>
            <w:pPr>
              <w:jc w:val="right"/>
              <w:spacing w:after="0" w:line="155" w:lineRule="exact"/>
              <w:rPr>
                <w:sz w:val="20"/>
                <w:szCs w:val="20"/>
                <w:color w:val="auto"/>
              </w:rPr>
            </w:pPr>
            <w:r>
              <w:rPr>
                <w:rFonts w:ascii="Arial" w:cs="Arial" w:eastAsia="Arial" w:hAnsi="Arial"/>
                <w:sz w:val="14"/>
                <w:szCs w:val="14"/>
                <w:color w:val="auto"/>
              </w:rPr>
              <w:t>2,298.5</w:t>
            </w:r>
          </w:p>
        </w:tc>
        <w:tc>
          <w:tcPr>
            <w:tcW w:w="120" w:type="dxa"/>
            <w:vAlign w:val="bottom"/>
            <w:shd w:val="clear" w:color="auto" w:fill="CFF0FC"/>
          </w:tcPr>
          <w:p>
            <w:pPr>
              <w:spacing w:after="0"/>
              <w:rPr>
                <w:sz w:val="13"/>
                <w:szCs w:val="13"/>
                <w:color w:val="auto"/>
              </w:rPr>
            </w:pPr>
          </w:p>
        </w:tc>
        <w:tc>
          <w:tcPr>
            <w:tcW w:w="0" w:type="dxa"/>
            <w:vAlign w:val="bottom"/>
          </w:tcPr>
          <w:p>
            <w:pPr>
              <w:spacing w:after="0"/>
              <w:rPr>
                <w:sz w:val="1"/>
                <w:szCs w:val="1"/>
                <w:color w:val="auto"/>
              </w:rPr>
            </w:pPr>
          </w:p>
        </w:tc>
      </w:tr>
      <w:tr>
        <w:trPr>
          <w:trHeight w:val="162"/>
        </w:trPr>
        <w:tc>
          <w:tcPr>
            <w:tcW w:w="6840" w:type="dxa"/>
            <w:vAlign w:val="bottom"/>
            <w:gridSpan w:val="2"/>
          </w:tcPr>
          <w:p>
            <w:pPr>
              <w:spacing w:after="0"/>
              <w:rPr>
                <w:sz w:val="20"/>
                <w:szCs w:val="20"/>
                <w:color w:val="auto"/>
              </w:rPr>
            </w:pPr>
            <w:r>
              <w:rPr>
                <w:rFonts w:ascii="Arial" w:cs="Arial" w:eastAsia="Arial" w:hAnsi="Arial"/>
                <w:sz w:val="14"/>
                <w:szCs w:val="14"/>
                <w:color w:val="auto"/>
              </w:rPr>
              <w:t>Property, plant and equipment, net (Note 2)</w:t>
            </w:r>
          </w:p>
        </w:tc>
        <w:tc>
          <w:tcPr>
            <w:tcW w:w="90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1240" w:type="dxa"/>
            <w:vAlign w:val="bottom"/>
          </w:tcPr>
          <w:p>
            <w:pPr>
              <w:jc w:val="right"/>
              <w:spacing w:after="0"/>
              <w:rPr>
                <w:sz w:val="20"/>
                <w:szCs w:val="20"/>
                <w:color w:val="auto"/>
              </w:rPr>
            </w:pPr>
            <w:r>
              <w:rPr>
                <w:rFonts w:ascii="Arial" w:cs="Arial" w:eastAsia="Arial" w:hAnsi="Arial"/>
                <w:sz w:val="14"/>
                <w:szCs w:val="14"/>
                <w:color w:val="auto"/>
              </w:rPr>
              <w:t>402.7</w:t>
            </w:r>
          </w:p>
        </w:tc>
        <w:tc>
          <w:tcPr>
            <w:tcW w:w="3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320" w:type="dxa"/>
            <w:vAlign w:val="bottom"/>
          </w:tcPr>
          <w:p>
            <w:pPr>
              <w:jc w:val="right"/>
              <w:spacing w:after="0"/>
              <w:rPr>
                <w:sz w:val="20"/>
                <w:szCs w:val="20"/>
                <w:color w:val="auto"/>
              </w:rPr>
            </w:pPr>
            <w:r>
              <w:rPr>
                <w:rFonts w:ascii="Arial" w:cs="Arial" w:eastAsia="Arial" w:hAnsi="Arial"/>
                <w:sz w:val="14"/>
                <w:szCs w:val="14"/>
                <w:color w:val="auto"/>
              </w:rPr>
              <w:t>412.8</w:t>
            </w:r>
          </w:p>
        </w:tc>
        <w:tc>
          <w:tcPr>
            <w:tcW w:w="1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6840" w:type="dxa"/>
            <w:vAlign w:val="bottom"/>
            <w:gridSpan w:val="2"/>
            <w:shd w:val="clear" w:color="auto" w:fill="CFF0FC"/>
          </w:tcPr>
          <w:p>
            <w:pPr>
              <w:spacing w:after="0"/>
              <w:rPr>
                <w:sz w:val="20"/>
                <w:szCs w:val="20"/>
                <w:color w:val="auto"/>
              </w:rPr>
            </w:pPr>
            <w:r>
              <w:rPr>
                <w:rFonts w:ascii="Arial" w:cs="Arial" w:eastAsia="Arial" w:hAnsi="Arial"/>
                <w:sz w:val="14"/>
                <w:szCs w:val="14"/>
                <w:color w:val="auto"/>
              </w:rPr>
              <w:t>Operating lease right-of-use assets</w:t>
            </w:r>
          </w:p>
        </w:tc>
        <w:tc>
          <w:tcPr>
            <w:tcW w:w="900" w:type="dxa"/>
            <w:vAlign w:val="bottom"/>
            <w:shd w:val="clear" w:color="auto" w:fill="CFF0FC"/>
          </w:tcPr>
          <w:p>
            <w:pPr>
              <w:spacing w:after="0"/>
              <w:rPr>
                <w:sz w:val="14"/>
                <w:szCs w:val="14"/>
                <w:color w:val="auto"/>
              </w:rPr>
            </w:pPr>
          </w:p>
        </w:tc>
        <w:tc>
          <w:tcPr>
            <w:tcW w:w="280" w:type="dxa"/>
            <w:vAlign w:val="bottom"/>
            <w:shd w:val="clear" w:color="auto" w:fill="CFF0FC"/>
          </w:tcPr>
          <w:p>
            <w:pPr>
              <w:spacing w:after="0"/>
              <w:rPr>
                <w:sz w:val="14"/>
                <w:szCs w:val="14"/>
                <w:color w:val="auto"/>
              </w:rPr>
            </w:pPr>
          </w:p>
        </w:tc>
        <w:tc>
          <w:tcPr>
            <w:tcW w:w="1240" w:type="dxa"/>
            <w:vAlign w:val="bottom"/>
            <w:shd w:val="clear" w:color="auto" w:fill="CFF0FC"/>
          </w:tcPr>
          <w:p>
            <w:pPr>
              <w:jc w:val="right"/>
              <w:spacing w:after="0"/>
              <w:rPr>
                <w:sz w:val="20"/>
                <w:szCs w:val="20"/>
                <w:color w:val="auto"/>
              </w:rPr>
            </w:pPr>
            <w:r>
              <w:rPr>
                <w:rFonts w:ascii="Arial" w:cs="Arial" w:eastAsia="Arial" w:hAnsi="Arial"/>
                <w:sz w:val="14"/>
                <w:szCs w:val="14"/>
                <w:color w:val="auto"/>
              </w:rPr>
              <w:t>339.2</w:t>
            </w:r>
          </w:p>
        </w:tc>
        <w:tc>
          <w:tcPr>
            <w:tcW w:w="320" w:type="dxa"/>
            <w:vAlign w:val="bottom"/>
            <w:shd w:val="clear" w:color="auto" w:fill="CFF0FC"/>
          </w:tcPr>
          <w:p>
            <w:pPr>
              <w:spacing w:after="0"/>
              <w:rPr>
                <w:sz w:val="14"/>
                <w:szCs w:val="14"/>
                <w:color w:val="auto"/>
              </w:rPr>
            </w:pPr>
          </w:p>
        </w:tc>
        <w:tc>
          <w:tcPr>
            <w:tcW w:w="20" w:type="dxa"/>
            <w:vAlign w:val="bottom"/>
            <w:shd w:val="clear" w:color="auto" w:fill="CFF0FC"/>
          </w:tcPr>
          <w:p>
            <w:pPr>
              <w:spacing w:after="0"/>
              <w:rPr>
                <w:sz w:val="14"/>
                <w:szCs w:val="14"/>
                <w:color w:val="auto"/>
              </w:rPr>
            </w:pPr>
          </w:p>
        </w:tc>
        <w:tc>
          <w:tcPr>
            <w:tcW w:w="200" w:type="dxa"/>
            <w:vAlign w:val="bottom"/>
            <w:shd w:val="clear" w:color="auto" w:fill="CFF0FC"/>
          </w:tcPr>
          <w:p>
            <w:pPr>
              <w:spacing w:after="0"/>
              <w:rPr>
                <w:sz w:val="14"/>
                <w:szCs w:val="14"/>
                <w:color w:val="auto"/>
              </w:rPr>
            </w:pPr>
          </w:p>
        </w:tc>
        <w:tc>
          <w:tcPr>
            <w:tcW w:w="1320" w:type="dxa"/>
            <w:vAlign w:val="bottom"/>
            <w:shd w:val="clear" w:color="auto" w:fill="CFF0FC"/>
          </w:tcPr>
          <w:p>
            <w:pPr>
              <w:jc w:val="right"/>
              <w:spacing w:after="0"/>
              <w:rPr>
                <w:sz w:val="20"/>
                <w:szCs w:val="20"/>
                <w:color w:val="auto"/>
              </w:rPr>
            </w:pPr>
            <w:r>
              <w:rPr>
                <w:rFonts w:ascii="Arial" w:cs="Arial" w:eastAsia="Arial" w:hAnsi="Arial"/>
                <w:sz w:val="14"/>
                <w:szCs w:val="14"/>
                <w:color w:val="auto"/>
              </w:rPr>
              <w:t>350.8</w:t>
            </w:r>
          </w:p>
        </w:tc>
        <w:tc>
          <w:tcPr>
            <w:tcW w:w="120" w:type="dxa"/>
            <w:vAlign w:val="bottom"/>
            <w:shd w:val="clear" w:color="auto" w:fill="CFF0FC"/>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6840" w:type="dxa"/>
            <w:vAlign w:val="bottom"/>
            <w:gridSpan w:val="2"/>
          </w:tcPr>
          <w:p>
            <w:pPr>
              <w:spacing w:after="0"/>
              <w:rPr>
                <w:sz w:val="20"/>
                <w:szCs w:val="20"/>
                <w:color w:val="auto"/>
              </w:rPr>
            </w:pPr>
            <w:r>
              <w:rPr>
                <w:rFonts w:ascii="Arial" w:cs="Arial" w:eastAsia="Arial" w:hAnsi="Arial"/>
                <w:sz w:val="14"/>
                <w:szCs w:val="14"/>
                <w:color w:val="auto"/>
              </w:rPr>
              <w:t>Investments (Note 3)</w:t>
            </w:r>
          </w:p>
        </w:tc>
        <w:tc>
          <w:tcPr>
            <w:tcW w:w="90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1240" w:type="dxa"/>
            <w:vAlign w:val="bottom"/>
          </w:tcPr>
          <w:p>
            <w:pPr>
              <w:jc w:val="right"/>
              <w:spacing w:after="0"/>
              <w:rPr>
                <w:sz w:val="20"/>
                <w:szCs w:val="20"/>
                <w:color w:val="auto"/>
              </w:rPr>
            </w:pPr>
            <w:r>
              <w:rPr>
                <w:rFonts w:ascii="Arial" w:cs="Arial" w:eastAsia="Arial" w:hAnsi="Arial"/>
                <w:sz w:val="14"/>
                <w:szCs w:val="14"/>
                <w:color w:val="auto"/>
              </w:rPr>
              <w:t>193.6</w:t>
            </w:r>
          </w:p>
        </w:tc>
        <w:tc>
          <w:tcPr>
            <w:tcW w:w="3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320" w:type="dxa"/>
            <w:vAlign w:val="bottom"/>
          </w:tcPr>
          <w:p>
            <w:pPr>
              <w:jc w:val="right"/>
              <w:spacing w:after="0"/>
              <w:rPr>
                <w:sz w:val="20"/>
                <w:szCs w:val="20"/>
                <w:color w:val="auto"/>
              </w:rPr>
            </w:pPr>
            <w:r>
              <w:rPr>
                <w:rFonts w:ascii="Arial" w:cs="Arial" w:eastAsia="Arial" w:hAnsi="Arial"/>
                <w:sz w:val="14"/>
                <w:szCs w:val="14"/>
                <w:color w:val="auto"/>
              </w:rPr>
              <w:t>183.5</w:t>
            </w:r>
          </w:p>
        </w:tc>
        <w:tc>
          <w:tcPr>
            <w:tcW w:w="1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6840" w:type="dxa"/>
            <w:vAlign w:val="bottom"/>
            <w:gridSpan w:val="2"/>
            <w:shd w:val="clear" w:color="auto" w:fill="CFF0FC"/>
          </w:tcPr>
          <w:p>
            <w:pPr>
              <w:spacing w:after="0"/>
              <w:rPr>
                <w:sz w:val="20"/>
                <w:szCs w:val="20"/>
                <w:color w:val="auto"/>
              </w:rPr>
            </w:pPr>
            <w:r>
              <w:rPr>
                <w:rFonts w:ascii="Arial" w:cs="Arial" w:eastAsia="Arial" w:hAnsi="Arial"/>
                <w:sz w:val="14"/>
                <w:szCs w:val="14"/>
                <w:color w:val="auto"/>
              </w:rPr>
              <w:t>Unconsolidated affiliates (Note 4)</w:t>
            </w:r>
          </w:p>
        </w:tc>
        <w:tc>
          <w:tcPr>
            <w:tcW w:w="900" w:type="dxa"/>
            <w:vAlign w:val="bottom"/>
            <w:shd w:val="clear" w:color="auto" w:fill="CFF0FC"/>
          </w:tcPr>
          <w:p>
            <w:pPr>
              <w:spacing w:after="0"/>
              <w:rPr>
                <w:sz w:val="14"/>
                <w:szCs w:val="14"/>
                <w:color w:val="auto"/>
              </w:rPr>
            </w:pPr>
          </w:p>
        </w:tc>
        <w:tc>
          <w:tcPr>
            <w:tcW w:w="280" w:type="dxa"/>
            <w:vAlign w:val="bottom"/>
            <w:shd w:val="clear" w:color="auto" w:fill="CFF0FC"/>
          </w:tcPr>
          <w:p>
            <w:pPr>
              <w:spacing w:after="0"/>
              <w:rPr>
                <w:sz w:val="14"/>
                <w:szCs w:val="14"/>
                <w:color w:val="auto"/>
              </w:rPr>
            </w:pPr>
          </w:p>
        </w:tc>
        <w:tc>
          <w:tcPr>
            <w:tcW w:w="1240" w:type="dxa"/>
            <w:vAlign w:val="bottom"/>
            <w:shd w:val="clear" w:color="auto" w:fill="CFF0FC"/>
          </w:tcPr>
          <w:p>
            <w:pPr>
              <w:jc w:val="right"/>
              <w:spacing w:after="0"/>
              <w:rPr>
                <w:sz w:val="20"/>
                <w:szCs w:val="20"/>
                <w:color w:val="auto"/>
              </w:rPr>
            </w:pPr>
            <w:r>
              <w:rPr>
                <w:rFonts w:ascii="Arial" w:cs="Arial" w:eastAsia="Arial" w:hAnsi="Arial"/>
                <w:sz w:val="14"/>
                <w:szCs w:val="14"/>
                <w:color w:val="auto"/>
              </w:rPr>
              <w:t>228.5</w:t>
            </w:r>
          </w:p>
        </w:tc>
        <w:tc>
          <w:tcPr>
            <w:tcW w:w="320" w:type="dxa"/>
            <w:vAlign w:val="bottom"/>
            <w:shd w:val="clear" w:color="auto" w:fill="CFF0FC"/>
          </w:tcPr>
          <w:p>
            <w:pPr>
              <w:spacing w:after="0"/>
              <w:rPr>
                <w:sz w:val="14"/>
                <w:szCs w:val="14"/>
                <w:color w:val="auto"/>
              </w:rPr>
            </w:pPr>
          </w:p>
        </w:tc>
        <w:tc>
          <w:tcPr>
            <w:tcW w:w="20" w:type="dxa"/>
            <w:vAlign w:val="bottom"/>
            <w:shd w:val="clear" w:color="auto" w:fill="CFF0FC"/>
          </w:tcPr>
          <w:p>
            <w:pPr>
              <w:spacing w:after="0"/>
              <w:rPr>
                <w:sz w:val="14"/>
                <w:szCs w:val="14"/>
                <w:color w:val="auto"/>
              </w:rPr>
            </w:pPr>
          </w:p>
        </w:tc>
        <w:tc>
          <w:tcPr>
            <w:tcW w:w="200" w:type="dxa"/>
            <w:vAlign w:val="bottom"/>
            <w:shd w:val="clear" w:color="auto" w:fill="CFF0FC"/>
          </w:tcPr>
          <w:p>
            <w:pPr>
              <w:spacing w:after="0"/>
              <w:rPr>
                <w:sz w:val="14"/>
                <w:szCs w:val="14"/>
                <w:color w:val="auto"/>
              </w:rPr>
            </w:pPr>
          </w:p>
        </w:tc>
        <w:tc>
          <w:tcPr>
            <w:tcW w:w="1320" w:type="dxa"/>
            <w:vAlign w:val="bottom"/>
            <w:shd w:val="clear" w:color="auto" w:fill="CFF0FC"/>
          </w:tcPr>
          <w:p>
            <w:pPr>
              <w:jc w:val="right"/>
              <w:spacing w:after="0"/>
              <w:rPr>
                <w:sz w:val="20"/>
                <w:szCs w:val="20"/>
                <w:color w:val="auto"/>
              </w:rPr>
            </w:pPr>
            <w:r>
              <w:rPr>
                <w:rFonts w:ascii="Arial" w:cs="Arial" w:eastAsia="Arial" w:hAnsi="Arial"/>
                <w:sz w:val="14"/>
                <w:szCs w:val="14"/>
                <w:color w:val="auto"/>
              </w:rPr>
              <w:t>225.6</w:t>
            </w:r>
          </w:p>
        </w:tc>
        <w:tc>
          <w:tcPr>
            <w:tcW w:w="120" w:type="dxa"/>
            <w:vAlign w:val="bottom"/>
            <w:shd w:val="clear" w:color="auto" w:fill="CFF0FC"/>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940" w:type="dxa"/>
            <w:vAlign w:val="bottom"/>
          </w:tcPr>
          <w:p>
            <w:pPr>
              <w:spacing w:after="0"/>
              <w:rPr>
                <w:sz w:val="20"/>
                <w:szCs w:val="20"/>
                <w:color w:val="auto"/>
              </w:rPr>
            </w:pPr>
            <w:r>
              <w:rPr>
                <w:rFonts w:ascii="Arial" w:cs="Arial" w:eastAsia="Arial" w:hAnsi="Arial"/>
                <w:sz w:val="14"/>
                <w:szCs w:val="14"/>
                <w:color w:val="auto"/>
              </w:rPr>
              <w:t>Contract asset</w:t>
            </w:r>
          </w:p>
        </w:tc>
        <w:tc>
          <w:tcPr>
            <w:tcW w:w="590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1240" w:type="dxa"/>
            <w:vAlign w:val="bottom"/>
          </w:tcPr>
          <w:p>
            <w:pPr>
              <w:jc w:val="right"/>
              <w:spacing w:after="0"/>
              <w:rPr>
                <w:sz w:val="20"/>
                <w:szCs w:val="20"/>
                <w:color w:val="auto"/>
              </w:rPr>
            </w:pPr>
            <w:r>
              <w:rPr>
                <w:rFonts w:ascii="Arial" w:cs="Arial" w:eastAsia="Arial" w:hAnsi="Arial"/>
                <w:sz w:val="14"/>
                <w:szCs w:val="14"/>
                <w:color w:val="auto"/>
              </w:rPr>
              <w:t>81.7</w:t>
            </w:r>
          </w:p>
        </w:tc>
        <w:tc>
          <w:tcPr>
            <w:tcW w:w="3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320" w:type="dxa"/>
            <w:vAlign w:val="bottom"/>
          </w:tcPr>
          <w:p>
            <w:pPr>
              <w:jc w:val="right"/>
              <w:spacing w:after="0"/>
              <w:rPr>
                <w:sz w:val="20"/>
                <w:szCs w:val="20"/>
                <w:color w:val="auto"/>
              </w:rPr>
            </w:pPr>
            <w:r>
              <w:rPr>
                <w:rFonts w:ascii="Arial" w:cs="Arial" w:eastAsia="Arial" w:hAnsi="Arial"/>
                <w:sz w:val="14"/>
                <w:szCs w:val="14"/>
                <w:color w:val="auto"/>
              </w:rPr>
              <w:t>82.0</w:t>
            </w:r>
          </w:p>
        </w:tc>
        <w:tc>
          <w:tcPr>
            <w:tcW w:w="1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6840" w:type="dxa"/>
            <w:vAlign w:val="bottom"/>
            <w:gridSpan w:val="2"/>
            <w:shd w:val="clear" w:color="auto" w:fill="CFF0FC"/>
          </w:tcPr>
          <w:p>
            <w:pPr>
              <w:spacing w:after="0"/>
              <w:rPr>
                <w:sz w:val="20"/>
                <w:szCs w:val="20"/>
                <w:color w:val="auto"/>
              </w:rPr>
            </w:pPr>
            <w:r>
              <w:rPr>
                <w:rFonts w:ascii="Arial" w:cs="Arial" w:eastAsia="Arial" w:hAnsi="Arial"/>
                <w:sz w:val="14"/>
                <w:szCs w:val="14"/>
                <w:color w:val="auto"/>
              </w:rPr>
              <w:t>Goodwill (Note 6)</w:t>
            </w:r>
          </w:p>
        </w:tc>
        <w:tc>
          <w:tcPr>
            <w:tcW w:w="900" w:type="dxa"/>
            <w:vAlign w:val="bottom"/>
            <w:shd w:val="clear" w:color="auto" w:fill="CFF0FC"/>
          </w:tcPr>
          <w:p>
            <w:pPr>
              <w:spacing w:after="0"/>
              <w:rPr>
                <w:sz w:val="14"/>
                <w:szCs w:val="14"/>
                <w:color w:val="auto"/>
              </w:rPr>
            </w:pPr>
          </w:p>
        </w:tc>
        <w:tc>
          <w:tcPr>
            <w:tcW w:w="280" w:type="dxa"/>
            <w:vAlign w:val="bottom"/>
            <w:shd w:val="clear" w:color="auto" w:fill="CFF0FC"/>
          </w:tcPr>
          <w:p>
            <w:pPr>
              <w:spacing w:after="0"/>
              <w:rPr>
                <w:sz w:val="14"/>
                <w:szCs w:val="14"/>
                <w:color w:val="auto"/>
              </w:rPr>
            </w:pPr>
          </w:p>
        </w:tc>
        <w:tc>
          <w:tcPr>
            <w:tcW w:w="1240" w:type="dxa"/>
            <w:vAlign w:val="bottom"/>
            <w:shd w:val="clear" w:color="auto" w:fill="CFF0FC"/>
          </w:tcPr>
          <w:p>
            <w:pPr>
              <w:jc w:val="right"/>
              <w:spacing w:after="0"/>
              <w:rPr>
                <w:sz w:val="20"/>
                <w:szCs w:val="20"/>
                <w:color w:val="auto"/>
              </w:rPr>
            </w:pPr>
            <w:r>
              <w:rPr>
                <w:rFonts w:ascii="Arial" w:cs="Arial" w:eastAsia="Arial" w:hAnsi="Arial"/>
                <w:sz w:val="14"/>
                <w:szCs w:val="14"/>
                <w:color w:val="auto"/>
              </w:rPr>
              <w:t>8,078.1</w:t>
            </w:r>
          </w:p>
        </w:tc>
        <w:tc>
          <w:tcPr>
            <w:tcW w:w="320" w:type="dxa"/>
            <w:vAlign w:val="bottom"/>
            <w:shd w:val="clear" w:color="auto" w:fill="CFF0FC"/>
          </w:tcPr>
          <w:p>
            <w:pPr>
              <w:spacing w:after="0"/>
              <w:rPr>
                <w:sz w:val="14"/>
                <w:szCs w:val="14"/>
                <w:color w:val="auto"/>
              </w:rPr>
            </w:pPr>
          </w:p>
        </w:tc>
        <w:tc>
          <w:tcPr>
            <w:tcW w:w="20" w:type="dxa"/>
            <w:vAlign w:val="bottom"/>
            <w:shd w:val="clear" w:color="auto" w:fill="CFF0FC"/>
          </w:tcPr>
          <w:p>
            <w:pPr>
              <w:spacing w:after="0"/>
              <w:rPr>
                <w:sz w:val="14"/>
                <w:szCs w:val="14"/>
                <w:color w:val="auto"/>
              </w:rPr>
            </w:pPr>
          </w:p>
        </w:tc>
        <w:tc>
          <w:tcPr>
            <w:tcW w:w="200" w:type="dxa"/>
            <w:vAlign w:val="bottom"/>
            <w:shd w:val="clear" w:color="auto" w:fill="CFF0FC"/>
          </w:tcPr>
          <w:p>
            <w:pPr>
              <w:spacing w:after="0"/>
              <w:rPr>
                <w:sz w:val="14"/>
                <w:szCs w:val="14"/>
                <w:color w:val="auto"/>
              </w:rPr>
            </w:pPr>
          </w:p>
        </w:tc>
        <w:tc>
          <w:tcPr>
            <w:tcW w:w="1320" w:type="dxa"/>
            <w:vAlign w:val="bottom"/>
            <w:shd w:val="clear" w:color="auto" w:fill="CFF0FC"/>
          </w:tcPr>
          <w:p>
            <w:pPr>
              <w:jc w:val="right"/>
              <w:spacing w:after="0"/>
              <w:rPr>
                <w:sz w:val="20"/>
                <w:szCs w:val="20"/>
                <w:color w:val="auto"/>
              </w:rPr>
            </w:pPr>
            <w:r>
              <w:rPr>
                <w:rFonts w:ascii="Arial" w:cs="Arial" w:eastAsia="Arial" w:hAnsi="Arial"/>
                <w:sz w:val="14"/>
                <w:szCs w:val="14"/>
                <w:color w:val="auto"/>
              </w:rPr>
              <w:t>8,078.7</w:t>
            </w:r>
          </w:p>
        </w:tc>
        <w:tc>
          <w:tcPr>
            <w:tcW w:w="120" w:type="dxa"/>
            <w:vAlign w:val="bottom"/>
            <w:shd w:val="clear" w:color="auto" w:fill="CFF0FC"/>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6840" w:type="dxa"/>
            <w:vAlign w:val="bottom"/>
            <w:tcBorders>
              <w:bottom w:val="single" w:sz="8" w:color="CFF0FC"/>
            </w:tcBorders>
            <w:gridSpan w:val="2"/>
          </w:tcPr>
          <w:p>
            <w:pPr>
              <w:spacing w:after="0"/>
              <w:rPr>
                <w:sz w:val="20"/>
                <w:szCs w:val="20"/>
                <w:color w:val="auto"/>
              </w:rPr>
            </w:pPr>
            <w:r>
              <w:rPr>
                <w:rFonts w:ascii="Arial" w:cs="Arial" w:eastAsia="Arial" w:hAnsi="Arial"/>
                <w:sz w:val="14"/>
                <w:szCs w:val="14"/>
                <w:color w:val="auto"/>
              </w:rPr>
              <w:t>Intangible and other assets, net of accumulated amortization of $2,802.4 and $2,655.6, respectively</w:t>
            </w:r>
          </w:p>
        </w:tc>
        <w:tc>
          <w:tcPr>
            <w:tcW w:w="900" w:type="dxa"/>
            <w:vAlign w:val="bottom"/>
            <w:tcBorders>
              <w:bottom w:val="single" w:sz="8" w:color="CFF0FC"/>
            </w:tcBorders>
          </w:tcPr>
          <w:p>
            <w:pPr>
              <w:spacing w:after="0"/>
              <w:rPr>
                <w:sz w:val="14"/>
                <w:szCs w:val="14"/>
                <w:color w:val="auto"/>
              </w:rPr>
            </w:pPr>
          </w:p>
        </w:tc>
        <w:tc>
          <w:tcPr>
            <w:tcW w:w="280" w:type="dxa"/>
            <w:vAlign w:val="bottom"/>
            <w:tcBorders>
              <w:bottom w:val="single" w:sz="8" w:color="auto"/>
            </w:tcBorders>
          </w:tcPr>
          <w:p>
            <w:pPr>
              <w:spacing w:after="0"/>
              <w:rPr>
                <w:sz w:val="14"/>
                <w:szCs w:val="14"/>
                <w:color w:val="auto"/>
              </w:rPr>
            </w:pPr>
          </w:p>
        </w:tc>
        <w:tc>
          <w:tcPr>
            <w:tcW w:w="124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4,166.1</w:t>
            </w:r>
          </w:p>
        </w:tc>
        <w:tc>
          <w:tcPr>
            <w:tcW w:w="320" w:type="dxa"/>
            <w:vAlign w:val="bottom"/>
            <w:tcBorders>
              <w:bottom w:val="single" w:sz="8" w:color="CFF0FC"/>
            </w:tcBorders>
          </w:tcPr>
          <w:p>
            <w:pPr>
              <w:spacing w:after="0"/>
              <w:rPr>
                <w:sz w:val="14"/>
                <w:szCs w:val="14"/>
                <w:color w:val="auto"/>
              </w:rPr>
            </w:pPr>
          </w:p>
        </w:tc>
        <w:tc>
          <w:tcPr>
            <w:tcW w:w="20" w:type="dxa"/>
            <w:vAlign w:val="bottom"/>
            <w:tcBorders>
              <w:bottom w:val="single" w:sz="8" w:color="CFF0FC"/>
            </w:tcBorders>
          </w:tcPr>
          <w:p>
            <w:pPr>
              <w:spacing w:after="0"/>
              <w:rPr>
                <w:sz w:val="14"/>
                <w:szCs w:val="14"/>
                <w:color w:val="auto"/>
              </w:rPr>
            </w:pPr>
          </w:p>
        </w:tc>
        <w:tc>
          <w:tcPr>
            <w:tcW w:w="200" w:type="dxa"/>
            <w:vAlign w:val="bottom"/>
            <w:tcBorders>
              <w:bottom w:val="single" w:sz="8" w:color="auto"/>
            </w:tcBorders>
          </w:tcPr>
          <w:p>
            <w:pPr>
              <w:spacing w:after="0"/>
              <w:rPr>
                <w:sz w:val="14"/>
                <w:szCs w:val="14"/>
                <w:color w:val="auto"/>
              </w:rPr>
            </w:pPr>
          </w:p>
        </w:tc>
        <w:tc>
          <w:tcPr>
            <w:tcW w:w="132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4,291.7</w:t>
            </w:r>
          </w:p>
        </w:tc>
        <w:tc>
          <w:tcPr>
            <w:tcW w:w="120" w:type="dxa"/>
            <w:vAlign w:val="bottom"/>
            <w:tcBorders>
              <w:bottom w:val="single" w:sz="8" w:color="CFF0FC"/>
            </w:tcBorders>
          </w:tcPr>
          <w:p>
            <w:pPr>
              <w:spacing w:after="0"/>
              <w:rPr>
                <w:sz w:val="14"/>
                <w:szCs w:val="14"/>
                <w:color w:val="auto"/>
              </w:rPr>
            </w:pPr>
          </w:p>
        </w:tc>
        <w:tc>
          <w:tcPr>
            <w:tcW w:w="0" w:type="dxa"/>
            <w:vAlign w:val="bottom"/>
          </w:tcPr>
          <w:p>
            <w:pPr>
              <w:spacing w:after="0"/>
              <w:rPr>
                <w:sz w:val="1"/>
                <w:szCs w:val="1"/>
                <w:color w:val="auto"/>
              </w:rPr>
            </w:pPr>
          </w:p>
        </w:tc>
      </w:tr>
      <w:tr>
        <w:trPr>
          <w:trHeight w:val="155"/>
        </w:trPr>
        <w:tc>
          <w:tcPr>
            <w:tcW w:w="940" w:type="dxa"/>
            <w:vAlign w:val="bottom"/>
            <w:tcBorders>
              <w:bottom w:val="single" w:sz="8" w:color="CFF0FC"/>
            </w:tcBorders>
            <w:shd w:val="clear" w:color="auto" w:fill="CFF0FC"/>
          </w:tcPr>
          <w:p>
            <w:pPr>
              <w:spacing w:after="0" w:line="155" w:lineRule="exact"/>
              <w:rPr>
                <w:sz w:val="20"/>
                <w:szCs w:val="20"/>
                <w:color w:val="auto"/>
              </w:rPr>
            </w:pPr>
            <w:r>
              <w:rPr>
                <w:rFonts w:ascii="Arial" w:cs="Arial" w:eastAsia="Arial" w:hAnsi="Arial"/>
                <w:sz w:val="14"/>
                <w:szCs w:val="14"/>
                <w:color w:val="auto"/>
              </w:rPr>
              <w:t>Total assets</w:t>
            </w:r>
          </w:p>
        </w:tc>
        <w:tc>
          <w:tcPr>
            <w:tcW w:w="5900" w:type="dxa"/>
            <w:vAlign w:val="bottom"/>
            <w:tcBorders>
              <w:bottom w:val="single" w:sz="8" w:color="CFF0FC"/>
            </w:tcBorders>
            <w:shd w:val="clear" w:color="auto" w:fill="CFF0FC"/>
          </w:tcPr>
          <w:p>
            <w:pPr>
              <w:spacing w:after="0"/>
              <w:rPr>
                <w:sz w:val="13"/>
                <w:szCs w:val="13"/>
                <w:color w:val="auto"/>
              </w:rPr>
            </w:pPr>
          </w:p>
        </w:tc>
        <w:tc>
          <w:tcPr>
            <w:tcW w:w="900" w:type="dxa"/>
            <w:vAlign w:val="bottom"/>
            <w:tcBorders>
              <w:bottom w:val="single" w:sz="8" w:color="CFF0FC"/>
            </w:tcBorders>
            <w:shd w:val="clear" w:color="auto" w:fill="CFF0FC"/>
          </w:tcPr>
          <w:p>
            <w:pPr>
              <w:spacing w:after="0"/>
              <w:rPr>
                <w:sz w:val="13"/>
                <w:szCs w:val="13"/>
                <w:color w:val="auto"/>
              </w:rPr>
            </w:pPr>
          </w:p>
        </w:tc>
        <w:tc>
          <w:tcPr>
            <w:tcW w:w="280" w:type="dxa"/>
            <w:vAlign w:val="bottom"/>
            <w:tcBorders>
              <w:bottom w:val="single" w:sz="8" w:color="auto"/>
            </w:tcBorders>
            <w:shd w:val="clear" w:color="auto" w:fill="CFF0FC"/>
          </w:tcPr>
          <w:p>
            <w:pPr>
              <w:jc w:val="right"/>
              <w:ind w:right="128"/>
              <w:spacing w:after="0" w:line="155" w:lineRule="exact"/>
              <w:rPr>
                <w:sz w:val="20"/>
                <w:szCs w:val="20"/>
                <w:color w:val="auto"/>
              </w:rPr>
            </w:pPr>
            <w:r>
              <w:rPr>
                <w:rFonts w:ascii="Arial" w:cs="Arial" w:eastAsia="Arial" w:hAnsi="Arial"/>
                <w:sz w:val="14"/>
                <w:szCs w:val="14"/>
                <w:color w:val="auto"/>
                <w:w w:val="76"/>
              </w:rPr>
              <w:t>$</w:t>
            </w:r>
          </w:p>
        </w:tc>
        <w:tc>
          <w:tcPr>
            <w:tcW w:w="1240" w:type="dxa"/>
            <w:vAlign w:val="bottom"/>
            <w:tcBorders>
              <w:bottom w:val="single" w:sz="8" w:color="auto"/>
            </w:tcBorders>
            <w:shd w:val="clear" w:color="auto" w:fill="CFF0FC"/>
          </w:tcPr>
          <w:p>
            <w:pPr>
              <w:jc w:val="right"/>
              <w:spacing w:after="0" w:line="155" w:lineRule="exact"/>
              <w:rPr>
                <w:sz w:val="20"/>
                <w:szCs w:val="20"/>
                <w:color w:val="auto"/>
              </w:rPr>
            </w:pPr>
            <w:r>
              <w:rPr>
                <w:rFonts w:ascii="Arial" w:cs="Arial" w:eastAsia="Arial" w:hAnsi="Arial"/>
                <w:sz w:val="14"/>
                <w:szCs w:val="14"/>
                <w:color w:val="auto"/>
              </w:rPr>
              <w:t>16,689.1</w:t>
            </w:r>
          </w:p>
        </w:tc>
        <w:tc>
          <w:tcPr>
            <w:tcW w:w="320" w:type="dxa"/>
            <w:vAlign w:val="bottom"/>
            <w:tcBorders>
              <w:bottom w:val="single" w:sz="8" w:color="CFF0FC"/>
            </w:tcBorders>
            <w:shd w:val="clear" w:color="auto" w:fill="CFF0FC"/>
          </w:tcPr>
          <w:p>
            <w:pPr>
              <w:spacing w:after="0"/>
              <w:rPr>
                <w:sz w:val="13"/>
                <w:szCs w:val="13"/>
                <w:color w:val="auto"/>
              </w:rPr>
            </w:pPr>
          </w:p>
        </w:tc>
        <w:tc>
          <w:tcPr>
            <w:tcW w:w="20" w:type="dxa"/>
            <w:vAlign w:val="bottom"/>
            <w:tcBorders>
              <w:bottom w:val="single" w:sz="8" w:color="CFF0FC"/>
            </w:tcBorders>
            <w:shd w:val="clear" w:color="auto" w:fill="CFF0FC"/>
          </w:tcPr>
          <w:p>
            <w:pPr>
              <w:spacing w:after="0"/>
              <w:rPr>
                <w:sz w:val="13"/>
                <w:szCs w:val="13"/>
                <w:color w:val="auto"/>
              </w:rPr>
            </w:pPr>
          </w:p>
        </w:tc>
        <w:tc>
          <w:tcPr>
            <w:tcW w:w="200" w:type="dxa"/>
            <w:vAlign w:val="bottom"/>
            <w:tcBorders>
              <w:bottom w:val="single" w:sz="8" w:color="auto"/>
            </w:tcBorders>
            <w:shd w:val="clear" w:color="auto" w:fill="CFF0FC"/>
          </w:tcPr>
          <w:p>
            <w:pPr>
              <w:jc w:val="right"/>
              <w:ind w:right="89"/>
              <w:spacing w:after="0"/>
              <w:rPr>
                <w:sz w:val="20"/>
                <w:szCs w:val="20"/>
                <w:color w:val="auto"/>
              </w:rPr>
            </w:pPr>
            <w:r>
              <w:rPr>
                <w:rFonts w:ascii="Arial" w:cs="Arial" w:eastAsia="Arial" w:hAnsi="Arial"/>
                <w:sz w:val="10"/>
                <w:szCs w:val="10"/>
                <w:color w:val="auto"/>
                <w:w w:val="71"/>
              </w:rPr>
              <w:t>$</w:t>
            </w:r>
          </w:p>
        </w:tc>
        <w:tc>
          <w:tcPr>
            <w:tcW w:w="1320" w:type="dxa"/>
            <w:vAlign w:val="bottom"/>
            <w:tcBorders>
              <w:bottom w:val="single" w:sz="8" w:color="auto"/>
            </w:tcBorders>
            <w:shd w:val="clear" w:color="auto" w:fill="CFF0FC"/>
          </w:tcPr>
          <w:p>
            <w:pPr>
              <w:jc w:val="right"/>
              <w:spacing w:after="0" w:line="155" w:lineRule="exact"/>
              <w:rPr>
                <w:sz w:val="20"/>
                <w:szCs w:val="20"/>
                <w:color w:val="auto"/>
              </w:rPr>
            </w:pPr>
            <w:r>
              <w:rPr>
                <w:rFonts w:ascii="Arial" w:cs="Arial" w:eastAsia="Arial" w:hAnsi="Arial"/>
                <w:sz w:val="14"/>
                <w:szCs w:val="14"/>
                <w:color w:val="auto"/>
              </w:rPr>
              <w:t>15,923.6</w:t>
            </w:r>
          </w:p>
        </w:tc>
        <w:tc>
          <w:tcPr>
            <w:tcW w:w="120" w:type="dxa"/>
            <w:vAlign w:val="bottom"/>
            <w:tcBorders>
              <w:bottom w:val="single" w:sz="8" w:color="CFF0FC"/>
            </w:tcBorders>
            <w:shd w:val="clear" w:color="auto" w:fill="CFF0FC"/>
          </w:tcPr>
          <w:p>
            <w:pPr>
              <w:spacing w:after="0"/>
              <w:rPr>
                <w:sz w:val="13"/>
                <w:szCs w:val="13"/>
                <w:color w:val="auto"/>
              </w:rPr>
            </w:pPr>
          </w:p>
        </w:tc>
        <w:tc>
          <w:tcPr>
            <w:tcW w:w="0" w:type="dxa"/>
            <w:vAlign w:val="bottom"/>
          </w:tcPr>
          <w:p>
            <w:pPr>
              <w:spacing w:after="0"/>
              <w:rPr>
                <w:sz w:val="1"/>
                <w:szCs w:val="1"/>
                <w:color w:val="auto"/>
              </w:rPr>
            </w:pPr>
          </w:p>
        </w:tc>
      </w:tr>
      <w:tr>
        <w:trPr>
          <w:trHeight w:val="20"/>
        </w:trPr>
        <w:tc>
          <w:tcPr>
            <w:tcW w:w="6840" w:type="dxa"/>
            <w:vAlign w:val="bottom"/>
            <w:gridSpan w:val="2"/>
            <w:vMerge w:val="restart"/>
          </w:tcPr>
          <w:p>
            <w:pPr>
              <w:spacing w:after="0"/>
              <w:rPr>
                <w:sz w:val="20"/>
                <w:szCs w:val="20"/>
                <w:color w:val="auto"/>
              </w:rPr>
            </w:pPr>
            <w:r>
              <w:rPr>
                <w:rFonts w:ascii="Arial" w:cs="Arial" w:eastAsia="Arial" w:hAnsi="Arial"/>
                <w:sz w:val="14"/>
                <w:szCs w:val="14"/>
                <w:b w:val="1"/>
                <w:bCs w:val="1"/>
                <w:color w:val="auto"/>
              </w:rPr>
              <w:t>Liabilities and Stockholders’ Equity</w:t>
            </w:r>
          </w:p>
        </w:tc>
        <w:tc>
          <w:tcPr>
            <w:tcW w:w="90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3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37"/>
        </w:trPr>
        <w:tc>
          <w:tcPr>
            <w:tcW w:w="6840" w:type="dxa"/>
            <w:vAlign w:val="bottom"/>
            <w:gridSpan w:val="2"/>
            <w:vMerge w:val="continue"/>
          </w:tcPr>
          <w:p>
            <w:pPr>
              <w:spacing w:after="0"/>
              <w:rPr>
                <w:sz w:val="11"/>
                <w:szCs w:val="11"/>
                <w:color w:val="auto"/>
              </w:rPr>
            </w:pPr>
          </w:p>
        </w:tc>
        <w:tc>
          <w:tcPr>
            <w:tcW w:w="90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124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3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7"/>
        </w:trPr>
        <w:tc>
          <w:tcPr>
            <w:tcW w:w="6840" w:type="dxa"/>
            <w:vAlign w:val="bottom"/>
            <w:gridSpan w:val="2"/>
          </w:tcPr>
          <w:p>
            <w:pPr>
              <w:spacing w:after="0"/>
              <w:rPr>
                <w:sz w:val="20"/>
                <w:szCs w:val="20"/>
                <w:color w:val="auto"/>
              </w:rPr>
            </w:pPr>
            <w:r>
              <w:rPr>
                <w:rFonts w:ascii="Arial" w:cs="Arial" w:eastAsia="Arial" w:hAnsi="Arial"/>
                <w:sz w:val="14"/>
                <w:szCs w:val="14"/>
                <w:color w:val="auto"/>
              </w:rPr>
              <w:t>Current liabilities:</w:t>
            </w:r>
          </w:p>
        </w:tc>
        <w:tc>
          <w:tcPr>
            <w:tcW w:w="90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124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3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6840" w:type="dxa"/>
            <w:vAlign w:val="bottom"/>
            <w:gridSpan w:val="2"/>
            <w:shd w:val="clear" w:color="auto" w:fill="CFF0FC"/>
          </w:tcPr>
          <w:p>
            <w:pPr>
              <w:ind w:left="260"/>
              <w:spacing w:after="0"/>
              <w:rPr>
                <w:sz w:val="20"/>
                <w:szCs w:val="20"/>
                <w:color w:val="auto"/>
              </w:rPr>
            </w:pPr>
            <w:r>
              <w:rPr>
                <w:rFonts w:ascii="Arial" w:cs="Arial" w:eastAsia="Arial" w:hAnsi="Arial"/>
                <w:sz w:val="14"/>
                <w:szCs w:val="14"/>
                <w:color w:val="auto"/>
              </w:rPr>
              <w:t>Current portion of long-term debt (Note 7)</w:t>
            </w:r>
          </w:p>
        </w:tc>
        <w:tc>
          <w:tcPr>
            <w:tcW w:w="1180" w:type="dxa"/>
            <w:vAlign w:val="bottom"/>
            <w:gridSpan w:val="2"/>
            <w:shd w:val="clear" w:color="auto" w:fill="CFF0FC"/>
          </w:tcPr>
          <w:p>
            <w:pPr>
              <w:jc w:val="right"/>
              <w:ind w:right="128"/>
              <w:spacing w:after="0"/>
              <w:rPr>
                <w:sz w:val="20"/>
                <w:szCs w:val="20"/>
                <w:color w:val="auto"/>
              </w:rPr>
            </w:pPr>
            <w:r>
              <w:rPr>
                <w:rFonts w:ascii="Arial" w:cs="Arial" w:eastAsia="Arial" w:hAnsi="Arial"/>
                <w:sz w:val="14"/>
                <w:szCs w:val="14"/>
                <w:color w:val="auto"/>
              </w:rPr>
              <w:t>$</w:t>
            </w:r>
          </w:p>
        </w:tc>
        <w:tc>
          <w:tcPr>
            <w:tcW w:w="1240" w:type="dxa"/>
            <w:vAlign w:val="bottom"/>
            <w:shd w:val="clear" w:color="auto" w:fill="CFF0FC"/>
          </w:tcPr>
          <w:p>
            <w:pPr>
              <w:jc w:val="right"/>
              <w:spacing w:after="0"/>
              <w:rPr>
                <w:sz w:val="20"/>
                <w:szCs w:val="20"/>
                <w:color w:val="auto"/>
              </w:rPr>
            </w:pPr>
            <w:r>
              <w:rPr>
                <w:rFonts w:ascii="Arial" w:cs="Arial" w:eastAsia="Arial" w:hAnsi="Arial"/>
                <w:sz w:val="14"/>
                <w:szCs w:val="14"/>
                <w:color w:val="auto"/>
              </w:rPr>
              <w:t>178.2</w:t>
            </w:r>
          </w:p>
        </w:tc>
        <w:tc>
          <w:tcPr>
            <w:tcW w:w="320" w:type="dxa"/>
            <w:vAlign w:val="bottom"/>
            <w:shd w:val="clear" w:color="auto" w:fill="CFF0FC"/>
          </w:tcPr>
          <w:p>
            <w:pPr>
              <w:spacing w:after="0"/>
              <w:rPr>
                <w:sz w:val="14"/>
                <w:szCs w:val="14"/>
                <w:color w:val="auto"/>
              </w:rPr>
            </w:pPr>
          </w:p>
        </w:tc>
        <w:tc>
          <w:tcPr>
            <w:tcW w:w="220" w:type="dxa"/>
            <w:vAlign w:val="bottom"/>
            <w:gridSpan w:val="2"/>
            <w:shd w:val="clear" w:color="auto" w:fill="CFF0FC"/>
          </w:tcPr>
          <w:p>
            <w:pPr>
              <w:jc w:val="right"/>
              <w:ind w:right="89"/>
              <w:spacing w:after="0"/>
              <w:rPr>
                <w:sz w:val="20"/>
                <w:szCs w:val="20"/>
                <w:color w:val="auto"/>
              </w:rPr>
            </w:pPr>
            <w:r>
              <w:rPr>
                <w:rFonts w:ascii="Arial" w:cs="Arial" w:eastAsia="Arial" w:hAnsi="Arial"/>
                <w:sz w:val="14"/>
                <w:szCs w:val="14"/>
                <w:color w:val="auto"/>
                <w:w w:val="76"/>
              </w:rPr>
              <w:t>$</w:t>
            </w:r>
          </w:p>
        </w:tc>
        <w:tc>
          <w:tcPr>
            <w:tcW w:w="1320" w:type="dxa"/>
            <w:vAlign w:val="bottom"/>
            <w:shd w:val="clear" w:color="auto" w:fill="CFF0FC"/>
          </w:tcPr>
          <w:p>
            <w:pPr>
              <w:jc w:val="right"/>
              <w:spacing w:after="0"/>
              <w:rPr>
                <w:sz w:val="20"/>
                <w:szCs w:val="20"/>
                <w:color w:val="auto"/>
              </w:rPr>
            </w:pPr>
            <w:r>
              <w:rPr>
                <w:rFonts w:ascii="Arial" w:cs="Arial" w:eastAsia="Arial" w:hAnsi="Arial"/>
                <w:sz w:val="14"/>
                <w:szCs w:val="14"/>
                <w:color w:val="auto"/>
              </w:rPr>
              <w:t>53.9</w:t>
            </w:r>
          </w:p>
        </w:tc>
        <w:tc>
          <w:tcPr>
            <w:tcW w:w="120" w:type="dxa"/>
            <w:vAlign w:val="bottom"/>
            <w:shd w:val="clear" w:color="auto" w:fill="CFF0FC"/>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6840" w:type="dxa"/>
            <w:vAlign w:val="bottom"/>
            <w:gridSpan w:val="2"/>
          </w:tcPr>
          <w:p>
            <w:pPr>
              <w:ind w:left="260"/>
              <w:spacing w:after="0"/>
              <w:rPr>
                <w:sz w:val="20"/>
                <w:szCs w:val="20"/>
                <w:color w:val="auto"/>
              </w:rPr>
            </w:pPr>
            <w:r>
              <w:rPr>
                <w:rFonts w:ascii="Arial" w:cs="Arial" w:eastAsia="Arial" w:hAnsi="Arial"/>
                <w:sz w:val="14"/>
                <w:szCs w:val="14"/>
                <w:color w:val="auto"/>
              </w:rPr>
              <w:t>Client funds obligations</w:t>
            </w:r>
          </w:p>
        </w:tc>
        <w:tc>
          <w:tcPr>
            <w:tcW w:w="90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1240" w:type="dxa"/>
            <w:vAlign w:val="bottom"/>
          </w:tcPr>
          <w:p>
            <w:pPr>
              <w:jc w:val="right"/>
              <w:spacing w:after="0"/>
              <w:rPr>
                <w:sz w:val="20"/>
                <w:szCs w:val="20"/>
                <w:color w:val="auto"/>
              </w:rPr>
            </w:pPr>
            <w:r>
              <w:rPr>
                <w:rFonts w:ascii="Arial" w:cs="Arial" w:eastAsia="Arial" w:hAnsi="Arial"/>
                <w:sz w:val="14"/>
                <w:szCs w:val="14"/>
                <w:color w:val="auto"/>
              </w:rPr>
              <w:t>2,030.0</w:t>
            </w:r>
          </w:p>
        </w:tc>
        <w:tc>
          <w:tcPr>
            <w:tcW w:w="3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320" w:type="dxa"/>
            <w:vAlign w:val="bottom"/>
          </w:tcPr>
          <w:p>
            <w:pPr>
              <w:jc w:val="right"/>
              <w:spacing w:after="0"/>
              <w:rPr>
                <w:sz w:val="20"/>
                <w:szCs w:val="20"/>
                <w:color w:val="auto"/>
              </w:rPr>
            </w:pPr>
            <w:r>
              <w:rPr>
                <w:rFonts w:ascii="Arial" w:cs="Arial" w:eastAsia="Arial" w:hAnsi="Arial"/>
                <w:sz w:val="14"/>
                <w:szCs w:val="14"/>
                <w:color w:val="auto"/>
              </w:rPr>
              <w:t>1,227.4</w:t>
            </w:r>
          </w:p>
        </w:tc>
        <w:tc>
          <w:tcPr>
            <w:tcW w:w="1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6840" w:type="dxa"/>
            <w:vAlign w:val="bottom"/>
            <w:gridSpan w:val="2"/>
            <w:shd w:val="clear" w:color="auto" w:fill="CFF0FC"/>
          </w:tcPr>
          <w:p>
            <w:pPr>
              <w:ind w:left="260"/>
              <w:spacing w:after="0"/>
              <w:rPr>
                <w:sz w:val="20"/>
                <w:szCs w:val="20"/>
                <w:color w:val="auto"/>
              </w:rPr>
            </w:pPr>
            <w:r>
              <w:rPr>
                <w:rFonts w:ascii="Arial" w:cs="Arial" w:eastAsia="Arial" w:hAnsi="Arial"/>
                <w:sz w:val="14"/>
                <w:szCs w:val="14"/>
                <w:color w:val="auto"/>
              </w:rPr>
              <w:t>Accounts payable</w:t>
            </w:r>
          </w:p>
        </w:tc>
        <w:tc>
          <w:tcPr>
            <w:tcW w:w="900" w:type="dxa"/>
            <w:vAlign w:val="bottom"/>
            <w:shd w:val="clear" w:color="auto" w:fill="CFF0FC"/>
          </w:tcPr>
          <w:p>
            <w:pPr>
              <w:spacing w:after="0"/>
              <w:rPr>
                <w:sz w:val="14"/>
                <w:szCs w:val="14"/>
                <w:color w:val="auto"/>
              </w:rPr>
            </w:pPr>
          </w:p>
        </w:tc>
        <w:tc>
          <w:tcPr>
            <w:tcW w:w="280" w:type="dxa"/>
            <w:vAlign w:val="bottom"/>
            <w:shd w:val="clear" w:color="auto" w:fill="CFF0FC"/>
          </w:tcPr>
          <w:p>
            <w:pPr>
              <w:spacing w:after="0"/>
              <w:rPr>
                <w:sz w:val="14"/>
                <w:szCs w:val="14"/>
                <w:color w:val="auto"/>
              </w:rPr>
            </w:pPr>
          </w:p>
        </w:tc>
        <w:tc>
          <w:tcPr>
            <w:tcW w:w="1240" w:type="dxa"/>
            <w:vAlign w:val="bottom"/>
            <w:shd w:val="clear" w:color="auto" w:fill="CFF0FC"/>
          </w:tcPr>
          <w:p>
            <w:pPr>
              <w:jc w:val="right"/>
              <w:spacing w:after="0"/>
              <w:rPr>
                <w:sz w:val="20"/>
                <w:szCs w:val="20"/>
                <w:color w:val="auto"/>
              </w:rPr>
            </w:pPr>
            <w:r>
              <w:rPr>
                <w:rFonts w:ascii="Arial" w:cs="Arial" w:eastAsia="Arial" w:hAnsi="Arial"/>
                <w:sz w:val="14"/>
                <w:szCs w:val="14"/>
                <w:color w:val="auto"/>
              </w:rPr>
              <w:t>27.9</w:t>
            </w:r>
          </w:p>
        </w:tc>
        <w:tc>
          <w:tcPr>
            <w:tcW w:w="320" w:type="dxa"/>
            <w:vAlign w:val="bottom"/>
            <w:shd w:val="clear" w:color="auto" w:fill="CFF0FC"/>
          </w:tcPr>
          <w:p>
            <w:pPr>
              <w:spacing w:after="0"/>
              <w:rPr>
                <w:sz w:val="14"/>
                <w:szCs w:val="14"/>
                <w:color w:val="auto"/>
              </w:rPr>
            </w:pPr>
          </w:p>
        </w:tc>
        <w:tc>
          <w:tcPr>
            <w:tcW w:w="20" w:type="dxa"/>
            <w:vAlign w:val="bottom"/>
            <w:shd w:val="clear" w:color="auto" w:fill="CFF0FC"/>
          </w:tcPr>
          <w:p>
            <w:pPr>
              <w:spacing w:after="0"/>
              <w:rPr>
                <w:sz w:val="14"/>
                <w:szCs w:val="14"/>
                <w:color w:val="auto"/>
              </w:rPr>
            </w:pPr>
          </w:p>
        </w:tc>
        <w:tc>
          <w:tcPr>
            <w:tcW w:w="200" w:type="dxa"/>
            <w:vAlign w:val="bottom"/>
            <w:shd w:val="clear" w:color="auto" w:fill="CFF0FC"/>
          </w:tcPr>
          <w:p>
            <w:pPr>
              <w:spacing w:after="0"/>
              <w:rPr>
                <w:sz w:val="14"/>
                <w:szCs w:val="14"/>
                <w:color w:val="auto"/>
              </w:rPr>
            </w:pPr>
          </w:p>
        </w:tc>
        <w:tc>
          <w:tcPr>
            <w:tcW w:w="1320" w:type="dxa"/>
            <w:vAlign w:val="bottom"/>
            <w:shd w:val="clear" w:color="auto" w:fill="CFF0FC"/>
          </w:tcPr>
          <w:p>
            <w:pPr>
              <w:jc w:val="right"/>
              <w:spacing w:after="0"/>
              <w:rPr>
                <w:sz w:val="20"/>
                <w:szCs w:val="20"/>
                <w:color w:val="auto"/>
              </w:rPr>
            </w:pPr>
            <w:r>
              <w:rPr>
                <w:rFonts w:ascii="Arial" w:cs="Arial" w:eastAsia="Arial" w:hAnsi="Arial"/>
                <w:sz w:val="14"/>
                <w:szCs w:val="14"/>
                <w:color w:val="auto"/>
              </w:rPr>
              <w:t>28.1</w:t>
            </w:r>
          </w:p>
        </w:tc>
        <w:tc>
          <w:tcPr>
            <w:tcW w:w="120" w:type="dxa"/>
            <w:vAlign w:val="bottom"/>
            <w:shd w:val="clear" w:color="auto" w:fill="CFF0FC"/>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6840" w:type="dxa"/>
            <w:vAlign w:val="bottom"/>
            <w:gridSpan w:val="2"/>
          </w:tcPr>
          <w:p>
            <w:pPr>
              <w:ind w:left="260"/>
              <w:spacing w:after="0"/>
              <w:rPr>
                <w:sz w:val="20"/>
                <w:szCs w:val="20"/>
                <w:color w:val="auto"/>
              </w:rPr>
            </w:pPr>
            <w:r>
              <w:rPr>
                <w:rFonts w:ascii="Arial" w:cs="Arial" w:eastAsia="Arial" w:hAnsi="Arial"/>
                <w:sz w:val="14"/>
                <w:szCs w:val="14"/>
                <w:color w:val="auto"/>
              </w:rPr>
              <w:t>Income taxes payable</w:t>
            </w:r>
          </w:p>
        </w:tc>
        <w:tc>
          <w:tcPr>
            <w:tcW w:w="90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1240" w:type="dxa"/>
            <w:vAlign w:val="bottom"/>
          </w:tcPr>
          <w:p>
            <w:pPr>
              <w:jc w:val="right"/>
              <w:spacing w:after="0"/>
              <w:rPr>
                <w:sz w:val="20"/>
                <w:szCs w:val="20"/>
                <w:color w:val="auto"/>
              </w:rPr>
            </w:pPr>
            <w:r>
              <w:rPr>
                <w:rFonts w:ascii="Arial" w:cs="Arial" w:eastAsia="Arial" w:hAnsi="Arial"/>
                <w:sz w:val="14"/>
                <w:szCs w:val="14"/>
                <w:color w:val="auto"/>
              </w:rPr>
              <w:t>46.8</w:t>
            </w:r>
          </w:p>
        </w:tc>
        <w:tc>
          <w:tcPr>
            <w:tcW w:w="3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320" w:type="dxa"/>
            <w:vAlign w:val="bottom"/>
          </w:tcPr>
          <w:p>
            <w:pPr>
              <w:jc w:val="right"/>
              <w:spacing w:after="0"/>
              <w:rPr>
                <w:sz w:val="20"/>
                <w:szCs w:val="20"/>
                <w:color w:val="auto"/>
              </w:rPr>
            </w:pPr>
            <w:r>
              <w:rPr>
                <w:rFonts w:ascii="Arial" w:cs="Arial" w:eastAsia="Arial" w:hAnsi="Arial"/>
                <w:sz w:val="14"/>
                <w:szCs w:val="14"/>
                <w:color w:val="auto"/>
              </w:rPr>
              <w:t>9.3</w:t>
            </w:r>
          </w:p>
        </w:tc>
        <w:tc>
          <w:tcPr>
            <w:tcW w:w="1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6840" w:type="dxa"/>
            <w:vAlign w:val="bottom"/>
            <w:gridSpan w:val="2"/>
            <w:shd w:val="clear" w:color="auto" w:fill="CFF0FC"/>
          </w:tcPr>
          <w:p>
            <w:pPr>
              <w:ind w:left="260"/>
              <w:spacing w:after="0"/>
              <w:rPr>
                <w:sz w:val="20"/>
                <w:szCs w:val="20"/>
                <w:color w:val="auto"/>
              </w:rPr>
            </w:pPr>
            <w:r>
              <w:rPr>
                <w:rFonts w:ascii="Arial" w:cs="Arial" w:eastAsia="Arial" w:hAnsi="Arial"/>
                <w:sz w:val="14"/>
                <w:szCs w:val="14"/>
                <w:color w:val="auto"/>
              </w:rPr>
              <w:t>Accrued employee compensation and benefits</w:t>
            </w:r>
          </w:p>
        </w:tc>
        <w:tc>
          <w:tcPr>
            <w:tcW w:w="900" w:type="dxa"/>
            <w:vAlign w:val="bottom"/>
            <w:shd w:val="clear" w:color="auto" w:fill="CFF0FC"/>
          </w:tcPr>
          <w:p>
            <w:pPr>
              <w:spacing w:after="0"/>
              <w:rPr>
                <w:sz w:val="14"/>
                <w:szCs w:val="14"/>
                <w:color w:val="auto"/>
              </w:rPr>
            </w:pPr>
          </w:p>
        </w:tc>
        <w:tc>
          <w:tcPr>
            <w:tcW w:w="280" w:type="dxa"/>
            <w:vAlign w:val="bottom"/>
            <w:shd w:val="clear" w:color="auto" w:fill="CFF0FC"/>
          </w:tcPr>
          <w:p>
            <w:pPr>
              <w:spacing w:after="0"/>
              <w:rPr>
                <w:sz w:val="14"/>
                <w:szCs w:val="14"/>
                <w:color w:val="auto"/>
              </w:rPr>
            </w:pPr>
          </w:p>
        </w:tc>
        <w:tc>
          <w:tcPr>
            <w:tcW w:w="1240" w:type="dxa"/>
            <w:vAlign w:val="bottom"/>
            <w:shd w:val="clear" w:color="auto" w:fill="CFF0FC"/>
          </w:tcPr>
          <w:p>
            <w:pPr>
              <w:jc w:val="right"/>
              <w:spacing w:after="0"/>
              <w:rPr>
                <w:sz w:val="20"/>
                <w:szCs w:val="20"/>
                <w:color w:val="auto"/>
              </w:rPr>
            </w:pPr>
            <w:r>
              <w:rPr>
                <w:rFonts w:ascii="Arial" w:cs="Arial" w:eastAsia="Arial" w:hAnsi="Arial"/>
                <w:sz w:val="14"/>
                <w:szCs w:val="14"/>
                <w:color w:val="auto"/>
              </w:rPr>
              <w:t>177.5</w:t>
            </w:r>
          </w:p>
        </w:tc>
        <w:tc>
          <w:tcPr>
            <w:tcW w:w="320" w:type="dxa"/>
            <w:vAlign w:val="bottom"/>
            <w:shd w:val="clear" w:color="auto" w:fill="CFF0FC"/>
          </w:tcPr>
          <w:p>
            <w:pPr>
              <w:spacing w:after="0"/>
              <w:rPr>
                <w:sz w:val="14"/>
                <w:szCs w:val="14"/>
                <w:color w:val="auto"/>
              </w:rPr>
            </w:pPr>
          </w:p>
        </w:tc>
        <w:tc>
          <w:tcPr>
            <w:tcW w:w="20" w:type="dxa"/>
            <w:vAlign w:val="bottom"/>
            <w:shd w:val="clear" w:color="auto" w:fill="CFF0FC"/>
          </w:tcPr>
          <w:p>
            <w:pPr>
              <w:spacing w:after="0"/>
              <w:rPr>
                <w:sz w:val="14"/>
                <w:szCs w:val="14"/>
                <w:color w:val="auto"/>
              </w:rPr>
            </w:pPr>
          </w:p>
        </w:tc>
        <w:tc>
          <w:tcPr>
            <w:tcW w:w="200" w:type="dxa"/>
            <w:vAlign w:val="bottom"/>
            <w:shd w:val="clear" w:color="auto" w:fill="CFF0FC"/>
          </w:tcPr>
          <w:p>
            <w:pPr>
              <w:spacing w:after="0"/>
              <w:rPr>
                <w:sz w:val="14"/>
                <w:szCs w:val="14"/>
                <w:color w:val="auto"/>
              </w:rPr>
            </w:pPr>
          </w:p>
        </w:tc>
        <w:tc>
          <w:tcPr>
            <w:tcW w:w="1320" w:type="dxa"/>
            <w:vAlign w:val="bottom"/>
            <w:shd w:val="clear" w:color="auto" w:fill="CFF0FC"/>
          </w:tcPr>
          <w:p>
            <w:pPr>
              <w:jc w:val="right"/>
              <w:spacing w:after="0"/>
              <w:rPr>
                <w:sz w:val="20"/>
                <w:szCs w:val="20"/>
                <w:color w:val="auto"/>
              </w:rPr>
            </w:pPr>
            <w:r>
              <w:rPr>
                <w:rFonts w:ascii="Arial" w:cs="Arial" w:eastAsia="Arial" w:hAnsi="Arial"/>
                <w:sz w:val="14"/>
                <w:szCs w:val="14"/>
                <w:color w:val="auto"/>
              </w:rPr>
              <w:t>311.5</w:t>
            </w:r>
          </w:p>
        </w:tc>
        <w:tc>
          <w:tcPr>
            <w:tcW w:w="120" w:type="dxa"/>
            <w:vAlign w:val="bottom"/>
            <w:shd w:val="clear" w:color="auto" w:fill="CFF0FC"/>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6840" w:type="dxa"/>
            <w:vAlign w:val="bottom"/>
            <w:gridSpan w:val="2"/>
          </w:tcPr>
          <w:p>
            <w:pPr>
              <w:ind w:left="260"/>
              <w:spacing w:after="0"/>
              <w:rPr>
                <w:sz w:val="20"/>
                <w:szCs w:val="20"/>
                <w:color w:val="auto"/>
              </w:rPr>
            </w:pPr>
            <w:r>
              <w:rPr>
                <w:rFonts w:ascii="Arial" w:cs="Arial" w:eastAsia="Arial" w:hAnsi="Arial"/>
                <w:sz w:val="14"/>
                <w:szCs w:val="14"/>
                <w:color w:val="auto"/>
              </w:rPr>
              <w:t>Interest payable</w:t>
            </w:r>
          </w:p>
        </w:tc>
        <w:tc>
          <w:tcPr>
            <w:tcW w:w="90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1560" w:type="dxa"/>
            <w:vAlign w:val="bottom"/>
            <w:gridSpan w:val="2"/>
          </w:tcPr>
          <w:p>
            <w:pPr>
              <w:jc w:val="right"/>
              <w:ind w:right="320"/>
              <w:spacing w:after="0"/>
              <w:rPr>
                <w:sz w:val="20"/>
                <w:szCs w:val="20"/>
                <w:color w:val="auto"/>
              </w:rPr>
            </w:pPr>
            <w:r>
              <w:rPr>
                <w:rFonts w:ascii="Arial" w:cs="Arial" w:eastAsia="Arial" w:hAnsi="Arial"/>
                <w:sz w:val="14"/>
                <w:szCs w:val="14"/>
                <w:color w:val="auto"/>
              </w:rPr>
              <w:t>—</w:t>
            </w:r>
          </w:p>
        </w:tc>
        <w:tc>
          <w:tcPr>
            <w:tcW w:w="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320" w:type="dxa"/>
            <w:vAlign w:val="bottom"/>
          </w:tcPr>
          <w:p>
            <w:pPr>
              <w:jc w:val="right"/>
              <w:spacing w:after="0"/>
              <w:rPr>
                <w:sz w:val="20"/>
                <w:szCs w:val="20"/>
                <w:color w:val="auto"/>
              </w:rPr>
            </w:pPr>
            <w:r>
              <w:rPr>
                <w:rFonts w:ascii="Arial" w:cs="Arial" w:eastAsia="Arial" w:hAnsi="Arial"/>
                <w:sz w:val="14"/>
                <w:szCs w:val="14"/>
                <w:color w:val="auto"/>
              </w:rPr>
              <w:t>27.5</w:t>
            </w:r>
          </w:p>
        </w:tc>
        <w:tc>
          <w:tcPr>
            <w:tcW w:w="1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6840" w:type="dxa"/>
            <w:vAlign w:val="bottom"/>
            <w:gridSpan w:val="2"/>
            <w:shd w:val="clear" w:color="auto" w:fill="CFF0FC"/>
          </w:tcPr>
          <w:p>
            <w:pPr>
              <w:ind w:left="260"/>
              <w:spacing w:after="0"/>
              <w:rPr>
                <w:sz w:val="20"/>
                <w:szCs w:val="20"/>
                <w:color w:val="auto"/>
              </w:rPr>
            </w:pPr>
            <w:r>
              <w:rPr>
                <w:rFonts w:ascii="Arial" w:cs="Arial" w:eastAsia="Arial" w:hAnsi="Arial"/>
                <w:sz w:val="14"/>
                <w:szCs w:val="14"/>
                <w:color w:val="auto"/>
              </w:rPr>
              <w:t>Other accrued expenses</w:t>
            </w:r>
          </w:p>
        </w:tc>
        <w:tc>
          <w:tcPr>
            <w:tcW w:w="900" w:type="dxa"/>
            <w:vAlign w:val="bottom"/>
            <w:shd w:val="clear" w:color="auto" w:fill="CFF0FC"/>
          </w:tcPr>
          <w:p>
            <w:pPr>
              <w:spacing w:after="0"/>
              <w:rPr>
                <w:sz w:val="14"/>
                <w:szCs w:val="14"/>
                <w:color w:val="auto"/>
              </w:rPr>
            </w:pPr>
          </w:p>
        </w:tc>
        <w:tc>
          <w:tcPr>
            <w:tcW w:w="280" w:type="dxa"/>
            <w:vAlign w:val="bottom"/>
            <w:shd w:val="clear" w:color="auto" w:fill="CFF0FC"/>
          </w:tcPr>
          <w:p>
            <w:pPr>
              <w:spacing w:after="0"/>
              <w:rPr>
                <w:sz w:val="14"/>
                <w:szCs w:val="14"/>
                <w:color w:val="auto"/>
              </w:rPr>
            </w:pPr>
          </w:p>
        </w:tc>
        <w:tc>
          <w:tcPr>
            <w:tcW w:w="1240" w:type="dxa"/>
            <w:vAlign w:val="bottom"/>
            <w:shd w:val="clear" w:color="auto" w:fill="CFF0FC"/>
          </w:tcPr>
          <w:p>
            <w:pPr>
              <w:jc w:val="right"/>
              <w:spacing w:after="0"/>
              <w:rPr>
                <w:sz w:val="20"/>
                <w:szCs w:val="20"/>
                <w:color w:val="auto"/>
              </w:rPr>
            </w:pPr>
            <w:r>
              <w:rPr>
                <w:rFonts w:ascii="Arial" w:cs="Arial" w:eastAsia="Arial" w:hAnsi="Arial"/>
                <w:sz w:val="14"/>
                <w:szCs w:val="14"/>
                <w:color w:val="auto"/>
              </w:rPr>
              <w:t>323.0</w:t>
            </w:r>
          </w:p>
        </w:tc>
        <w:tc>
          <w:tcPr>
            <w:tcW w:w="320" w:type="dxa"/>
            <w:vAlign w:val="bottom"/>
            <w:shd w:val="clear" w:color="auto" w:fill="CFF0FC"/>
          </w:tcPr>
          <w:p>
            <w:pPr>
              <w:spacing w:after="0"/>
              <w:rPr>
                <w:sz w:val="14"/>
                <w:szCs w:val="14"/>
                <w:color w:val="auto"/>
              </w:rPr>
            </w:pPr>
          </w:p>
        </w:tc>
        <w:tc>
          <w:tcPr>
            <w:tcW w:w="20" w:type="dxa"/>
            <w:vAlign w:val="bottom"/>
            <w:shd w:val="clear" w:color="auto" w:fill="CFF0FC"/>
          </w:tcPr>
          <w:p>
            <w:pPr>
              <w:spacing w:after="0"/>
              <w:rPr>
                <w:sz w:val="14"/>
                <w:szCs w:val="14"/>
                <w:color w:val="auto"/>
              </w:rPr>
            </w:pPr>
          </w:p>
        </w:tc>
        <w:tc>
          <w:tcPr>
            <w:tcW w:w="200" w:type="dxa"/>
            <w:vAlign w:val="bottom"/>
            <w:shd w:val="clear" w:color="auto" w:fill="CFF0FC"/>
          </w:tcPr>
          <w:p>
            <w:pPr>
              <w:spacing w:after="0"/>
              <w:rPr>
                <w:sz w:val="14"/>
                <w:szCs w:val="14"/>
                <w:color w:val="auto"/>
              </w:rPr>
            </w:pPr>
          </w:p>
        </w:tc>
        <w:tc>
          <w:tcPr>
            <w:tcW w:w="1320" w:type="dxa"/>
            <w:vAlign w:val="bottom"/>
            <w:shd w:val="clear" w:color="auto" w:fill="CFF0FC"/>
          </w:tcPr>
          <w:p>
            <w:pPr>
              <w:jc w:val="right"/>
              <w:spacing w:after="0"/>
              <w:rPr>
                <w:sz w:val="20"/>
                <w:szCs w:val="20"/>
                <w:color w:val="auto"/>
              </w:rPr>
            </w:pPr>
            <w:r>
              <w:rPr>
                <w:rFonts w:ascii="Arial" w:cs="Arial" w:eastAsia="Arial" w:hAnsi="Arial"/>
                <w:sz w:val="14"/>
                <w:szCs w:val="14"/>
                <w:color w:val="auto"/>
              </w:rPr>
              <w:t>293.1</w:t>
            </w:r>
          </w:p>
        </w:tc>
        <w:tc>
          <w:tcPr>
            <w:tcW w:w="120" w:type="dxa"/>
            <w:vAlign w:val="bottom"/>
            <w:shd w:val="clear" w:color="auto" w:fill="CFF0FC"/>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6840" w:type="dxa"/>
            <w:vAlign w:val="bottom"/>
            <w:tcBorders>
              <w:bottom w:val="single" w:sz="8" w:color="CFF0FC"/>
            </w:tcBorders>
            <w:gridSpan w:val="2"/>
          </w:tcPr>
          <w:p>
            <w:pPr>
              <w:ind w:left="260"/>
              <w:spacing w:after="0"/>
              <w:rPr>
                <w:sz w:val="20"/>
                <w:szCs w:val="20"/>
                <w:color w:val="auto"/>
              </w:rPr>
            </w:pPr>
            <w:r>
              <w:rPr>
                <w:rFonts w:ascii="Arial" w:cs="Arial" w:eastAsia="Arial" w:hAnsi="Arial"/>
                <w:sz w:val="14"/>
                <w:szCs w:val="14"/>
                <w:color w:val="auto"/>
              </w:rPr>
              <w:t>Deferred revenues</w:t>
            </w:r>
          </w:p>
        </w:tc>
        <w:tc>
          <w:tcPr>
            <w:tcW w:w="900" w:type="dxa"/>
            <w:vAlign w:val="bottom"/>
            <w:tcBorders>
              <w:bottom w:val="single" w:sz="8" w:color="CFF0FC"/>
            </w:tcBorders>
          </w:tcPr>
          <w:p>
            <w:pPr>
              <w:spacing w:after="0"/>
              <w:rPr>
                <w:sz w:val="14"/>
                <w:szCs w:val="14"/>
                <w:color w:val="auto"/>
              </w:rPr>
            </w:pPr>
          </w:p>
        </w:tc>
        <w:tc>
          <w:tcPr>
            <w:tcW w:w="280" w:type="dxa"/>
            <w:vAlign w:val="bottom"/>
            <w:tcBorders>
              <w:bottom w:val="single" w:sz="8" w:color="auto"/>
            </w:tcBorders>
          </w:tcPr>
          <w:p>
            <w:pPr>
              <w:spacing w:after="0"/>
              <w:rPr>
                <w:sz w:val="14"/>
                <w:szCs w:val="14"/>
                <w:color w:val="auto"/>
              </w:rPr>
            </w:pPr>
          </w:p>
        </w:tc>
        <w:tc>
          <w:tcPr>
            <w:tcW w:w="124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349.9</w:t>
            </w:r>
          </w:p>
        </w:tc>
        <w:tc>
          <w:tcPr>
            <w:tcW w:w="320" w:type="dxa"/>
            <w:vAlign w:val="bottom"/>
            <w:tcBorders>
              <w:bottom w:val="single" w:sz="8" w:color="CFF0FC"/>
            </w:tcBorders>
          </w:tcPr>
          <w:p>
            <w:pPr>
              <w:spacing w:after="0"/>
              <w:rPr>
                <w:sz w:val="14"/>
                <w:szCs w:val="14"/>
                <w:color w:val="auto"/>
              </w:rPr>
            </w:pPr>
          </w:p>
        </w:tc>
        <w:tc>
          <w:tcPr>
            <w:tcW w:w="20" w:type="dxa"/>
            <w:vAlign w:val="bottom"/>
            <w:tcBorders>
              <w:bottom w:val="single" w:sz="8" w:color="CFF0FC"/>
            </w:tcBorders>
          </w:tcPr>
          <w:p>
            <w:pPr>
              <w:spacing w:after="0"/>
              <w:rPr>
                <w:sz w:val="14"/>
                <w:szCs w:val="14"/>
                <w:color w:val="auto"/>
              </w:rPr>
            </w:pPr>
          </w:p>
        </w:tc>
        <w:tc>
          <w:tcPr>
            <w:tcW w:w="200" w:type="dxa"/>
            <w:vAlign w:val="bottom"/>
            <w:tcBorders>
              <w:bottom w:val="single" w:sz="8" w:color="auto"/>
            </w:tcBorders>
          </w:tcPr>
          <w:p>
            <w:pPr>
              <w:spacing w:after="0"/>
              <w:rPr>
                <w:sz w:val="14"/>
                <w:szCs w:val="14"/>
                <w:color w:val="auto"/>
              </w:rPr>
            </w:pPr>
          </w:p>
        </w:tc>
        <w:tc>
          <w:tcPr>
            <w:tcW w:w="132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332.5</w:t>
            </w:r>
          </w:p>
        </w:tc>
        <w:tc>
          <w:tcPr>
            <w:tcW w:w="120" w:type="dxa"/>
            <w:vAlign w:val="bottom"/>
            <w:tcBorders>
              <w:bottom w:val="single" w:sz="8" w:color="CFF0FC"/>
            </w:tcBorders>
          </w:tcPr>
          <w:p>
            <w:pPr>
              <w:spacing w:after="0"/>
              <w:rPr>
                <w:sz w:val="14"/>
                <w:szCs w:val="14"/>
                <w:color w:val="auto"/>
              </w:rPr>
            </w:pPr>
          </w:p>
        </w:tc>
        <w:tc>
          <w:tcPr>
            <w:tcW w:w="0" w:type="dxa"/>
            <w:vAlign w:val="bottom"/>
          </w:tcPr>
          <w:p>
            <w:pPr>
              <w:spacing w:after="0"/>
              <w:rPr>
                <w:sz w:val="1"/>
                <w:szCs w:val="1"/>
                <w:color w:val="auto"/>
              </w:rPr>
            </w:pPr>
          </w:p>
        </w:tc>
      </w:tr>
      <w:tr>
        <w:trPr>
          <w:trHeight w:val="155"/>
        </w:trPr>
        <w:tc>
          <w:tcPr>
            <w:tcW w:w="6840" w:type="dxa"/>
            <w:vAlign w:val="bottom"/>
            <w:gridSpan w:val="2"/>
            <w:shd w:val="clear" w:color="auto" w:fill="CFF0FC"/>
          </w:tcPr>
          <w:p>
            <w:pPr>
              <w:spacing w:after="0" w:line="155" w:lineRule="exact"/>
              <w:rPr>
                <w:sz w:val="20"/>
                <w:szCs w:val="20"/>
                <w:color w:val="auto"/>
              </w:rPr>
            </w:pPr>
            <w:r>
              <w:rPr>
                <w:rFonts w:ascii="Arial" w:cs="Arial" w:eastAsia="Arial" w:hAnsi="Arial"/>
                <w:sz w:val="14"/>
                <w:szCs w:val="14"/>
                <w:color w:val="auto"/>
              </w:rPr>
              <w:t>Total current liabilities</w:t>
            </w:r>
          </w:p>
        </w:tc>
        <w:tc>
          <w:tcPr>
            <w:tcW w:w="900" w:type="dxa"/>
            <w:vAlign w:val="bottom"/>
            <w:shd w:val="clear" w:color="auto" w:fill="CFF0FC"/>
          </w:tcPr>
          <w:p>
            <w:pPr>
              <w:spacing w:after="0"/>
              <w:rPr>
                <w:sz w:val="13"/>
                <w:szCs w:val="13"/>
                <w:color w:val="auto"/>
              </w:rPr>
            </w:pPr>
          </w:p>
        </w:tc>
        <w:tc>
          <w:tcPr>
            <w:tcW w:w="280" w:type="dxa"/>
            <w:vAlign w:val="bottom"/>
            <w:shd w:val="clear" w:color="auto" w:fill="CFF0FC"/>
          </w:tcPr>
          <w:p>
            <w:pPr>
              <w:spacing w:after="0"/>
              <w:rPr>
                <w:sz w:val="13"/>
                <w:szCs w:val="13"/>
                <w:color w:val="auto"/>
              </w:rPr>
            </w:pPr>
          </w:p>
        </w:tc>
        <w:tc>
          <w:tcPr>
            <w:tcW w:w="1240" w:type="dxa"/>
            <w:vAlign w:val="bottom"/>
            <w:shd w:val="clear" w:color="auto" w:fill="CFF0FC"/>
          </w:tcPr>
          <w:p>
            <w:pPr>
              <w:jc w:val="right"/>
              <w:spacing w:after="0" w:line="155" w:lineRule="exact"/>
              <w:rPr>
                <w:sz w:val="20"/>
                <w:szCs w:val="20"/>
                <w:color w:val="auto"/>
              </w:rPr>
            </w:pPr>
            <w:r>
              <w:rPr>
                <w:rFonts w:ascii="Arial" w:cs="Arial" w:eastAsia="Arial" w:hAnsi="Arial"/>
                <w:sz w:val="14"/>
                <w:szCs w:val="14"/>
                <w:color w:val="auto"/>
              </w:rPr>
              <w:t>3,133.3</w:t>
            </w:r>
          </w:p>
        </w:tc>
        <w:tc>
          <w:tcPr>
            <w:tcW w:w="320" w:type="dxa"/>
            <w:vAlign w:val="bottom"/>
            <w:shd w:val="clear" w:color="auto" w:fill="CFF0FC"/>
          </w:tcPr>
          <w:p>
            <w:pPr>
              <w:spacing w:after="0"/>
              <w:rPr>
                <w:sz w:val="13"/>
                <w:szCs w:val="13"/>
                <w:color w:val="auto"/>
              </w:rPr>
            </w:pPr>
          </w:p>
        </w:tc>
        <w:tc>
          <w:tcPr>
            <w:tcW w:w="20" w:type="dxa"/>
            <w:vAlign w:val="bottom"/>
            <w:shd w:val="clear" w:color="auto" w:fill="CFF0FC"/>
          </w:tcPr>
          <w:p>
            <w:pPr>
              <w:spacing w:after="0"/>
              <w:rPr>
                <w:sz w:val="13"/>
                <w:szCs w:val="13"/>
                <w:color w:val="auto"/>
              </w:rPr>
            </w:pPr>
          </w:p>
        </w:tc>
        <w:tc>
          <w:tcPr>
            <w:tcW w:w="200" w:type="dxa"/>
            <w:vAlign w:val="bottom"/>
            <w:shd w:val="clear" w:color="auto" w:fill="CFF0FC"/>
          </w:tcPr>
          <w:p>
            <w:pPr>
              <w:spacing w:after="0"/>
              <w:rPr>
                <w:sz w:val="13"/>
                <w:szCs w:val="13"/>
                <w:color w:val="auto"/>
              </w:rPr>
            </w:pPr>
          </w:p>
        </w:tc>
        <w:tc>
          <w:tcPr>
            <w:tcW w:w="1320" w:type="dxa"/>
            <w:vAlign w:val="bottom"/>
            <w:shd w:val="clear" w:color="auto" w:fill="CFF0FC"/>
          </w:tcPr>
          <w:p>
            <w:pPr>
              <w:jc w:val="right"/>
              <w:spacing w:after="0" w:line="155" w:lineRule="exact"/>
              <w:rPr>
                <w:sz w:val="20"/>
                <w:szCs w:val="20"/>
                <w:color w:val="auto"/>
              </w:rPr>
            </w:pPr>
            <w:r>
              <w:rPr>
                <w:rFonts w:ascii="Arial" w:cs="Arial" w:eastAsia="Arial" w:hAnsi="Arial"/>
                <w:sz w:val="14"/>
                <w:szCs w:val="14"/>
                <w:color w:val="auto"/>
              </w:rPr>
              <w:t>2,283.3</w:t>
            </w:r>
          </w:p>
        </w:tc>
        <w:tc>
          <w:tcPr>
            <w:tcW w:w="120" w:type="dxa"/>
            <w:vAlign w:val="bottom"/>
            <w:shd w:val="clear" w:color="auto" w:fill="CFF0FC"/>
          </w:tcPr>
          <w:p>
            <w:pPr>
              <w:spacing w:after="0"/>
              <w:rPr>
                <w:sz w:val="13"/>
                <w:szCs w:val="13"/>
                <w:color w:val="auto"/>
              </w:rPr>
            </w:pPr>
          </w:p>
        </w:tc>
        <w:tc>
          <w:tcPr>
            <w:tcW w:w="0" w:type="dxa"/>
            <w:vAlign w:val="bottom"/>
          </w:tcPr>
          <w:p>
            <w:pPr>
              <w:spacing w:after="0"/>
              <w:rPr>
                <w:sz w:val="1"/>
                <w:szCs w:val="1"/>
                <w:color w:val="auto"/>
              </w:rPr>
            </w:pPr>
          </w:p>
        </w:tc>
      </w:tr>
      <w:tr>
        <w:trPr>
          <w:trHeight w:val="162"/>
        </w:trPr>
        <w:tc>
          <w:tcPr>
            <w:tcW w:w="6840" w:type="dxa"/>
            <w:vAlign w:val="bottom"/>
            <w:gridSpan w:val="2"/>
          </w:tcPr>
          <w:p>
            <w:pPr>
              <w:spacing w:after="0"/>
              <w:rPr>
                <w:sz w:val="20"/>
                <w:szCs w:val="20"/>
                <w:color w:val="auto"/>
              </w:rPr>
            </w:pPr>
            <w:r>
              <w:rPr>
                <w:rFonts w:ascii="Arial" w:cs="Arial" w:eastAsia="Arial" w:hAnsi="Arial"/>
                <w:sz w:val="14"/>
                <w:szCs w:val="14"/>
                <w:color w:val="auto"/>
              </w:rPr>
              <w:t>Long-term debt, net of current portion (Note 7)</w:t>
            </w:r>
          </w:p>
        </w:tc>
        <w:tc>
          <w:tcPr>
            <w:tcW w:w="90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1240" w:type="dxa"/>
            <w:vAlign w:val="bottom"/>
          </w:tcPr>
          <w:p>
            <w:pPr>
              <w:jc w:val="right"/>
              <w:spacing w:after="0"/>
              <w:rPr>
                <w:sz w:val="20"/>
                <w:szCs w:val="20"/>
                <w:color w:val="auto"/>
              </w:rPr>
            </w:pPr>
            <w:r>
              <w:rPr>
                <w:rFonts w:ascii="Arial" w:cs="Arial" w:eastAsia="Arial" w:hAnsi="Arial"/>
                <w:sz w:val="14"/>
                <w:szCs w:val="14"/>
                <w:color w:val="auto"/>
              </w:rPr>
              <w:t>6,338.1</w:t>
            </w:r>
          </w:p>
        </w:tc>
        <w:tc>
          <w:tcPr>
            <w:tcW w:w="3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320" w:type="dxa"/>
            <w:vAlign w:val="bottom"/>
          </w:tcPr>
          <w:p>
            <w:pPr>
              <w:jc w:val="right"/>
              <w:spacing w:after="0"/>
              <w:rPr>
                <w:sz w:val="20"/>
                <w:szCs w:val="20"/>
                <w:color w:val="auto"/>
              </w:rPr>
            </w:pPr>
            <w:r>
              <w:rPr>
                <w:rFonts w:ascii="Arial" w:cs="Arial" w:eastAsia="Arial" w:hAnsi="Arial"/>
                <w:sz w:val="14"/>
                <w:szCs w:val="14"/>
                <w:color w:val="auto"/>
              </w:rPr>
              <w:t>6,388.5</w:t>
            </w:r>
          </w:p>
        </w:tc>
        <w:tc>
          <w:tcPr>
            <w:tcW w:w="1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6840" w:type="dxa"/>
            <w:vAlign w:val="bottom"/>
            <w:gridSpan w:val="2"/>
            <w:shd w:val="clear" w:color="auto" w:fill="CFF0FC"/>
          </w:tcPr>
          <w:p>
            <w:pPr>
              <w:spacing w:after="0"/>
              <w:rPr>
                <w:sz w:val="20"/>
                <w:szCs w:val="20"/>
                <w:color w:val="auto"/>
              </w:rPr>
            </w:pPr>
            <w:r>
              <w:rPr>
                <w:rFonts w:ascii="Arial" w:cs="Arial" w:eastAsia="Arial" w:hAnsi="Arial"/>
                <w:sz w:val="14"/>
                <w:szCs w:val="14"/>
                <w:color w:val="auto"/>
              </w:rPr>
              <w:t>Operating lease liabilities</w:t>
            </w:r>
          </w:p>
        </w:tc>
        <w:tc>
          <w:tcPr>
            <w:tcW w:w="900" w:type="dxa"/>
            <w:vAlign w:val="bottom"/>
            <w:shd w:val="clear" w:color="auto" w:fill="CFF0FC"/>
          </w:tcPr>
          <w:p>
            <w:pPr>
              <w:spacing w:after="0"/>
              <w:rPr>
                <w:sz w:val="14"/>
                <w:szCs w:val="14"/>
                <w:color w:val="auto"/>
              </w:rPr>
            </w:pPr>
          </w:p>
        </w:tc>
        <w:tc>
          <w:tcPr>
            <w:tcW w:w="280" w:type="dxa"/>
            <w:vAlign w:val="bottom"/>
            <w:shd w:val="clear" w:color="auto" w:fill="CFF0FC"/>
          </w:tcPr>
          <w:p>
            <w:pPr>
              <w:spacing w:after="0"/>
              <w:rPr>
                <w:sz w:val="14"/>
                <w:szCs w:val="14"/>
                <w:color w:val="auto"/>
              </w:rPr>
            </w:pPr>
          </w:p>
        </w:tc>
        <w:tc>
          <w:tcPr>
            <w:tcW w:w="1240" w:type="dxa"/>
            <w:vAlign w:val="bottom"/>
            <w:shd w:val="clear" w:color="auto" w:fill="CFF0FC"/>
          </w:tcPr>
          <w:p>
            <w:pPr>
              <w:jc w:val="right"/>
              <w:spacing w:after="0"/>
              <w:rPr>
                <w:sz w:val="20"/>
                <w:szCs w:val="20"/>
                <w:color w:val="auto"/>
              </w:rPr>
            </w:pPr>
            <w:r>
              <w:rPr>
                <w:rFonts w:ascii="Arial" w:cs="Arial" w:eastAsia="Arial" w:hAnsi="Arial"/>
                <w:sz w:val="14"/>
                <w:szCs w:val="14"/>
                <w:color w:val="auto"/>
              </w:rPr>
              <w:t>311.8</w:t>
            </w:r>
          </w:p>
        </w:tc>
        <w:tc>
          <w:tcPr>
            <w:tcW w:w="320" w:type="dxa"/>
            <w:vAlign w:val="bottom"/>
            <w:shd w:val="clear" w:color="auto" w:fill="CFF0FC"/>
          </w:tcPr>
          <w:p>
            <w:pPr>
              <w:spacing w:after="0"/>
              <w:rPr>
                <w:sz w:val="14"/>
                <w:szCs w:val="14"/>
                <w:color w:val="auto"/>
              </w:rPr>
            </w:pPr>
          </w:p>
        </w:tc>
        <w:tc>
          <w:tcPr>
            <w:tcW w:w="20" w:type="dxa"/>
            <w:vAlign w:val="bottom"/>
            <w:shd w:val="clear" w:color="auto" w:fill="CFF0FC"/>
          </w:tcPr>
          <w:p>
            <w:pPr>
              <w:spacing w:after="0"/>
              <w:rPr>
                <w:sz w:val="14"/>
                <w:szCs w:val="14"/>
                <w:color w:val="auto"/>
              </w:rPr>
            </w:pPr>
          </w:p>
        </w:tc>
        <w:tc>
          <w:tcPr>
            <w:tcW w:w="200" w:type="dxa"/>
            <w:vAlign w:val="bottom"/>
            <w:shd w:val="clear" w:color="auto" w:fill="CFF0FC"/>
          </w:tcPr>
          <w:p>
            <w:pPr>
              <w:spacing w:after="0"/>
              <w:rPr>
                <w:sz w:val="14"/>
                <w:szCs w:val="14"/>
                <w:color w:val="auto"/>
              </w:rPr>
            </w:pPr>
          </w:p>
        </w:tc>
        <w:tc>
          <w:tcPr>
            <w:tcW w:w="1320" w:type="dxa"/>
            <w:vAlign w:val="bottom"/>
            <w:shd w:val="clear" w:color="auto" w:fill="CFF0FC"/>
          </w:tcPr>
          <w:p>
            <w:pPr>
              <w:jc w:val="right"/>
              <w:spacing w:after="0"/>
              <w:rPr>
                <w:sz w:val="20"/>
                <w:szCs w:val="20"/>
                <w:color w:val="auto"/>
              </w:rPr>
            </w:pPr>
            <w:r>
              <w:rPr>
                <w:rFonts w:ascii="Arial" w:cs="Arial" w:eastAsia="Arial" w:hAnsi="Arial"/>
                <w:sz w:val="14"/>
                <w:szCs w:val="14"/>
                <w:color w:val="auto"/>
              </w:rPr>
              <w:t>323.6</w:t>
            </w:r>
          </w:p>
        </w:tc>
        <w:tc>
          <w:tcPr>
            <w:tcW w:w="120" w:type="dxa"/>
            <w:vAlign w:val="bottom"/>
            <w:shd w:val="clear" w:color="auto" w:fill="CFF0FC"/>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6840" w:type="dxa"/>
            <w:vAlign w:val="bottom"/>
            <w:gridSpan w:val="2"/>
          </w:tcPr>
          <w:p>
            <w:pPr>
              <w:spacing w:after="0"/>
              <w:rPr>
                <w:sz w:val="20"/>
                <w:szCs w:val="20"/>
                <w:color w:val="auto"/>
              </w:rPr>
            </w:pPr>
            <w:r>
              <w:rPr>
                <w:rFonts w:ascii="Arial" w:cs="Arial" w:eastAsia="Arial" w:hAnsi="Arial"/>
                <w:sz w:val="14"/>
                <w:szCs w:val="14"/>
                <w:color w:val="auto"/>
              </w:rPr>
              <w:t>Other long-term liabilities</w:t>
            </w:r>
          </w:p>
        </w:tc>
        <w:tc>
          <w:tcPr>
            <w:tcW w:w="90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1240" w:type="dxa"/>
            <w:vAlign w:val="bottom"/>
          </w:tcPr>
          <w:p>
            <w:pPr>
              <w:jc w:val="right"/>
              <w:spacing w:after="0"/>
              <w:rPr>
                <w:sz w:val="20"/>
                <w:szCs w:val="20"/>
                <w:color w:val="auto"/>
              </w:rPr>
            </w:pPr>
            <w:r>
              <w:rPr>
                <w:rFonts w:ascii="Arial" w:cs="Arial" w:eastAsia="Arial" w:hAnsi="Arial"/>
                <w:sz w:val="14"/>
                <w:szCs w:val="14"/>
                <w:color w:val="auto"/>
              </w:rPr>
              <w:t>280.9</w:t>
            </w:r>
          </w:p>
        </w:tc>
        <w:tc>
          <w:tcPr>
            <w:tcW w:w="3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320" w:type="dxa"/>
            <w:vAlign w:val="bottom"/>
          </w:tcPr>
          <w:p>
            <w:pPr>
              <w:jc w:val="right"/>
              <w:spacing w:after="0"/>
              <w:rPr>
                <w:sz w:val="20"/>
                <w:szCs w:val="20"/>
                <w:color w:val="auto"/>
              </w:rPr>
            </w:pPr>
            <w:r>
              <w:rPr>
                <w:rFonts w:ascii="Arial" w:cs="Arial" w:eastAsia="Arial" w:hAnsi="Arial"/>
                <w:sz w:val="14"/>
                <w:szCs w:val="14"/>
                <w:color w:val="auto"/>
              </w:rPr>
              <w:t>287.9</w:t>
            </w:r>
          </w:p>
        </w:tc>
        <w:tc>
          <w:tcPr>
            <w:tcW w:w="1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6840" w:type="dxa"/>
            <w:vAlign w:val="bottom"/>
            <w:gridSpan w:val="2"/>
            <w:shd w:val="clear" w:color="auto" w:fill="CFF0FC"/>
          </w:tcPr>
          <w:p>
            <w:pPr>
              <w:spacing w:after="0"/>
              <w:rPr>
                <w:sz w:val="20"/>
                <w:szCs w:val="20"/>
                <w:color w:val="auto"/>
              </w:rPr>
            </w:pPr>
            <w:r>
              <w:rPr>
                <w:rFonts w:ascii="Arial" w:cs="Arial" w:eastAsia="Arial" w:hAnsi="Arial"/>
                <w:sz w:val="14"/>
                <w:szCs w:val="14"/>
                <w:color w:val="auto"/>
              </w:rPr>
              <w:t>Deferred income taxes</w:t>
            </w:r>
          </w:p>
        </w:tc>
        <w:tc>
          <w:tcPr>
            <w:tcW w:w="900" w:type="dxa"/>
            <w:vAlign w:val="bottom"/>
            <w:shd w:val="clear" w:color="auto" w:fill="CFF0FC"/>
          </w:tcPr>
          <w:p>
            <w:pPr>
              <w:spacing w:after="0"/>
              <w:rPr>
                <w:sz w:val="14"/>
                <w:szCs w:val="14"/>
                <w:color w:val="auto"/>
              </w:rPr>
            </w:pPr>
          </w:p>
        </w:tc>
        <w:tc>
          <w:tcPr>
            <w:tcW w:w="280" w:type="dxa"/>
            <w:vAlign w:val="bottom"/>
            <w:tcBorders>
              <w:bottom w:val="single" w:sz="8" w:color="auto"/>
            </w:tcBorders>
            <w:shd w:val="clear" w:color="auto" w:fill="CFF0FC"/>
          </w:tcPr>
          <w:p>
            <w:pPr>
              <w:spacing w:after="0"/>
              <w:rPr>
                <w:sz w:val="14"/>
                <w:szCs w:val="14"/>
                <w:color w:val="auto"/>
              </w:rPr>
            </w:pPr>
          </w:p>
        </w:tc>
        <w:tc>
          <w:tcPr>
            <w:tcW w:w="12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4"/>
                <w:szCs w:val="14"/>
                <w:color w:val="auto"/>
              </w:rPr>
              <w:t>890.8</w:t>
            </w:r>
          </w:p>
        </w:tc>
        <w:tc>
          <w:tcPr>
            <w:tcW w:w="320" w:type="dxa"/>
            <w:vAlign w:val="bottom"/>
            <w:shd w:val="clear" w:color="auto" w:fill="CFF0FC"/>
          </w:tcPr>
          <w:p>
            <w:pPr>
              <w:spacing w:after="0"/>
              <w:rPr>
                <w:sz w:val="14"/>
                <w:szCs w:val="14"/>
                <w:color w:val="auto"/>
              </w:rPr>
            </w:pPr>
          </w:p>
        </w:tc>
        <w:tc>
          <w:tcPr>
            <w:tcW w:w="20" w:type="dxa"/>
            <w:vAlign w:val="bottom"/>
            <w:shd w:val="clear" w:color="auto" w:fill="CFF0FC"/>
          </w:tcPr>
          <w:p>
            <w:pPr>
              <w:spacing w:after="0"/>
              <w:rPr>
                <w:sz w:val="14"/>
                <w:szCs w:val="14"/>
                <w:color w:val="auto"/>
              </w:rPr>
            </w:pPr>
          </w:p>
        </w:tc>
        <w:tc>
          <w:tcPr>
            <w:tcW w:w="200" w:type="dxa"/>
            <w:vAlign w:val="bottom"/>
            <w:tcBorders>
              <w:bottom w:val="single" w:sz="8" w:color="auto"/>
            </w:tcBorders>
            <w:shd w:val="clear" w:color="auto" w:fill="CFF0FC"/>
          </w:tcPr>
          <w:p>
            <w:pPr>
              <w:spacing w:after="0"/>
              <w:rPr>
                <w:sz w:val="14"/>
                <w:szCs w:val="14"/>
                <w:color w:val="auto"/>
              </w:rPr>
            </w:pPr>
          </w:p>
        </w:tc>
        <w:tc>
          <w:tcPr>
            <w:tcW w:w="13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4"/>
                <w:szCs w:val="14"/>
                <w:color w:val="auto"/>
              </w:rPr>
              <w:t>923.8</w:t>
            </w:r>
          </w:p>
        </w:tc>
        <w:tc>
          <w:tcPr>
            <w:tcW w:w="120" w:type="dxa"/>
            <w:vAlign w:val="bottom"/>
            <w:shd w:val="clear" w:color="auto" w:fill="CFF0FC"/>
          </w:tcPr>
          <w:p>
            <w:pPr>
              <w:spacing w:after="0"/>
              <w:rPr>
                <w:sz w:val="14"/>
                <w:szCs w:val="14"/>
                <w:color w:val="auto"/>
              </w:rPr>
            </w:pPr>
          </w:p>
        </w:tc>
        <w:tc>
          <w:tcPr>
            <w:tcW w:w="0" w:type="dxa"/>
            <w:vAlign w:val="bottom"/>
          </w:tcPr>
          <w:p>
            <w:pPr>
              <w:spacing w:after="0"/>
              <w:rPr>
                <w:sz w:val="1"/>
                <w:szCs w:val="1"/>
                <w:color w:val="auto"/>
              </w:rPr>
            </w:pPr>
          </w:p>
        </w:tc>
      </w:tr>
      <w:tr>
        <w:trPr>
          <w:trHeight w:val="156"/>
        </w:trPr>
        <w:tc>
          <w:tcPr>
            <w:tcW w:w="940" w:type="dxa"/>
            <w:vAlign w:val="bottom"/>
            <w:tcBorders>
              <w:bottom w:val="single" w:sz="8" w:color="CFF0FC"/>
            </w:tcBorders>
          </w:tcPr>
          <w:p>
            <w:pPr>
              <w:spacing w:after="0" w:line="155" w:lineRule="exact"/>
              <w:rPr>
                <w:sz w:val="20"/>
                <w:szCs w:val="20"/>
                <w:color w:val="auto"/>
              </w:rPr>
            </w:pPr>
            <w:r>
              <w:rPr>
                <w:rFonts w:ascii="Arial" w:cs="Arial" w:eastAsia="Arial" w:hAnsi="Arial"/>
                <w:sz w:val="14"/>
                <w:szCs w:val="14"/>
                <w:color w:val="auto"/>
              </w:rPr>
              <w:t>Total liabilities</w:t>
            </w:r>
          </w:p>
        </w:tc>
        <w:tc>
          <w:tcPr>
            <w:tcW w:w="5900" w:type="dxa"/>
            <w:vAlign w:val="bottom"/>
            <w:tcBorders>
              <w:bottom w:val="single" w:sz="8" w:color="CFF0FC"/>
            </w:tcBorders>
          </w:tcPr>
          <w:p>
            <w:pPr>
              <w:spacing w:after="0"/>
              <w:rPr>
                <w:sz w:val="13"/>
                <w:szCs w:val="13"/>
                <w:color w:val="auto"/>
              </w:rPr>
            </w:pPr>
          </w:p>
        </w:tc>
        <w:tc>
          <w:tcPr>
            <w:tcW w:w="900" w:type="dxa"/>
            <w:vAlign w:val="bottom"/>
            <w:tcBorders>
              <w:bottom w:val="single" w:sz="8" w:color="CFF0FC"/>
            </w:tcBorders>
          </w:tcPr>
          <w:p>
            <w:pPr>
              <w:spacing w:after="0"/>
              <w:rPr>
                <w:sz w:val="13"/>
                <w:szCs w:val="13"/>
                <w:color w:val="auto"/>
              </w:rPr>
            </w:pPr>
          </w:p>
        </w:tc>
        <w:tc>
          <w:tcPr>
            <w:tcW w:w="280" w:type="dxa"/>
            <w:vAlign w:val="bottom"/>
            <w:tcBorders>
              <w:bottom w:val="single" w:sz="8" w:color="auto"/>
            </w:tcBorders>
          </w:tcPr>
          <w:p>
            <w:pPr>
              <w:spacing w:after="0"/>
              <w:rPr>
                <w:sz w:val="13"/>
                <w:szCs w:val="13"/>
                <w:color w:val="auto"/>
              </w:rPr>
            </w:pPr>
          </w:p>
        </w:tc>
        <w:tc>
          <w:tcPr>
            <w:tcW w:w="1240" w:type="dxa"/>
            <w:vAlign w:val="bottom"/>
            <w:tcBorders>
              <w:bottom w:val="single" w:sz="8" w:color="auto"/>
            </w:tcBorders>
          </w:tcPr>
          <w:p>
            <w:pPr>
              <w:jc w:val="right"/>
              <w:spacing w:after="0" w:line="155" w:lineRule="exact"/>
              <w:rPr>
                <w:sz w:val="20"/>
                <w:szCs w:val="20"/>
                <w:color w:val="auto"/>
              </w:rPr>
            </w:pPr>
            <w:r>
              <w:rPr>
                <w:rFonts w:ascii="Arial" w:cs="Arial" w:eastAsia="Arial" w:hAnsi="Arial"/>
                <w:sz w:val="14"/>
                <w:szCs w:val="14"/>
                <w:color w:val="auto"/>
              </w:rPr>
              <w:t>10,954.9</w:t>
            </w:r>
          </w:p>
        </w:tc>
        <w:tc>
          <w:tcPr>
            <w:tcW w:w="320" w:type="dxa"/>
            <w:vAlign w:val="bottom"/>
            <w:tcBorders>
              <w:bottom w:val="single" w:sz="8" w:color="CFF0FC"/>
            </w:tcBorders>
          </w:tcPr>
          <w:p>
            <w:pPr>
              <w:spacing w:after="0"/>
              <w:rPr>
                <w:sz w:val="13"/>
                <w:szCs w:val="13"/>
                <w:color w:val="auto"/>
              </w:rPr>
            </w:pPr>
          </w:p>
        </w:tc>
        <w:tc>
          <w:tcPr>
            <w:tcW w:w="20" w:type="dxa"/>
            <w:vAlign w:val="bottom"/>
            <w:tcBorders>
              <w:bottom w:val="single" w:sz="8" w:color="CFF0FC"/>
            </w:tcBorders>
          </w:tcPr>
          <w:p>
            <w:pPr>
              <w:spacing w:after="0"/>
              <w:rPr>
                <w:sz w:val="13"/>
                <w:szCs w:val="13"/>
                <w:color w:val="auto"/>
              </w:rPr>
            </w:pPr>
          </w:p>
        </w:tc>
        <w:tc>
          <w:tcPr>
            <w:tcW w:w="200" w:type="dxa"/>
            <w:vAlign w:val="bottom"/>
            <w:tcBorders>
              <w:bottom w:val="single" w:sz="8" w:color="auto"/>
            </w:tcBorders>
          </w:tcPr>
          <w:p>
            <w:pPr>
              <w:spacing w:after="0"/>
              <w:rPr>
                <w:sz w:val="13"/>
                <w:szCs w:val="13"/>
                <w:color w:val="auto"/>
              </w:rPr>
            </w:pPr>
          </w:p>
        </w:tc>
        <w:tc>
          <w:tcPr>
            <w:tcW w:w="1320" w:type="dxa"/>
            <w:vAlign w:val="bottom"/>
            <w:tcBorders>
              <w:bottom w:val="single" w:sz="8" w:color="auto"/>
            </w:tcBorders>
          </w:tcPr>
          <w:p>
            <w:pPr>
              <w:jc w:val="right"/>
              <w:spacing w:after="0" w:line="155" w:lineRule="exact"/>
              <w:rPr>
                <w:sz w:val="20"/>
                <w:szCs w:val="20"/>
                <w:color w:val="auto"/>
              </w:rPr>
            </w:pPr>
            <w:r>
              <w:rPr>
                <w:rFonts w:ascii="Arial" w:cs="Arial" w:eastAsia="Arial" w:hAnsi="Arial"/>
                <w:sz w:val="14"/>
                <w:szCs w:val="14"/>
                <w:color w:val="auto"/>
              </w:rPr>
              <w:t>10,207.1</w:t>
            </w:r>
          </w:p>
        </w:tc>
        <w:tc>
          <w:tcPr>
            <w:tcW w:w="120" w:type="dxa"/>
            <w:vAlign w:val="bottom"/>
            <w:tcBorders>
              <w:bottom w:val="single" w:sz="8" w:color="CFF0FC"/>
            </w:tcBorders>
          </w:tcPr>
          <w:p>
            <w:pPr>
              <w:spacing w:after="0"/>
              <w:rPr>
                <w:sz w:val="13"/>
                <w:szCs w:val="13"/>
                <w:color w:val="auto"/>
              </w:rPr>
            </w:pPr>
          </w:p>
        </w:tc>
        <w:tc>
          <w:tcPr>
            <w:tcW w:w="0" w:type="dxa"/>
            <w:vAlign w:val="bottom"/>
          </w:tcPr>
          <w:p>
            <w:pPr>
              <w:spacing w:after="0"/>
              <w:rPr>
                <w:sz w:val="1"/>
                <w:szCs w:val="1"/>
                <w:color w:val="auto"/>
              </w:rPr>
            </w:pPr>
          </w:p>
        </w:tc>
      </w:tr>
      <w:tr>
        <w:trPr>
          <w:trHeight w:val="155"/>
        </w:trPr>
        <w:tc>
          <w:tcPr>
            <w:tcW w:w="6840" w:type="dxa"/>
            <w:vAlign w:val="bottom"/>
            <w:gridSpan w:val="2"/>
            <w:shd w:val="clear" w:color="auto" w:fill="CFF0FC"/>
          </w:tcPr>
          <w:p>
            <w:pPr>
              <w:spacing w:after="0" w:line="155" w:lineRule="exact"/>
              <w:rPr>
                <w:sz w:val="20"/>
                <w:szCs w:val="20"/>
                <w:color w:val="auto"/>
              </w:rPr>
            </w:pPr>
            <w:r>
              <w:rPr>
                <w:rFonts w:ascii="Arial" w:cs="Arial" w:eastAsia="Arial" w:hAnsi="Arial"/>
                <w:sz w:val="14"/>
                <w:szCs w:val="14"/>
                <w:color w:val="auto"/>
              </w:rPr>
              <w:t>Commitments and contingencies (Note 13)</w:t>
            </w:r>
          </w:p>
        </w:tc>
        <w:tc>
          <w:tcPr>
            <w:tcW w:w="900" w:type="dxa"/>
            <w:vAlign w:val="bottom"/>
            <w:shd w:val="clear" w:color="auto" w:fill="CFF0FC"/>
          </w:tcPr>
          <w:p>
            <w:pPr>
              <w:spacing w:after="0"/>
              <w:rPr>
                <w:sz w:val="13"/>
                <w:szCs w:val="13"/>
                <w:color w:val="auto"/>
              </w:rPr>
            </w:pPr>
          </w:p>
        </w:tc>
        <w:tc>
          <w:tcPr>
            <w:tcW w:w="280" w:type="dxa"/>
            <w:vAlign w:val="bottom"/>
            <w:shd w:val="clear" w:color="auto" w:fill="CFF0FC"/>
          </w:tcPr>
          <w:p>
            <w:pPr>
              <w:spacing w:after="0"/>
              <w:rPr>
                <w:sz w:val="13"/>
                <w:szCs w:val="13"/>
                <w:color w:val="auto"/>
              </w:rPr>
            </w:pPr>
          </w:p>
        </w:tc>
        <w:tc>
          <w:tcPr>
            <w:tcW w:w="1240" w:type="dxa"/>
            <w:vAlign w:val="bottom"/>
            <w:shd w:val="clear" w:color="auto" w:fill="CFF0FC"/>
          </w:tcPr>
          <w:p>
            <w:pPr>
              <w:spacing w:after="0"/>
              <w:rPr>
                <w:sz w:val="13"/>
                <w:szCs w:val="13"/>
                <w:color w:val="auto"/>
              </w:rPr>
            </w:pPr>
          </w:p>
        </w:tc>
        <w:tc>
          <w:tcPr>
            <w:tcW w:w="320" w:type="dxa"/>
            <w:vAlign w:val="bottom"/>
            <w:shd w:val="clear" w:color="auto" w:fill="CFF0FC"/>
          </w:tcPr>
          <w:p>
            <w:pPr>
              <w:spacing w:after="0"/>
              <w:rPr>
                <w:sz w:val="13"/>
                <w:szCs w:val="13"/>
                <w:color w:val="auto"/>
              </w:rPr>
            </w:pPr>
          </w:p>
        </w:tc>
        <w:tc>
          <w:tcPr>
            <w:tcW w:w="20" w:type="dxa"/>
            <w:vAlign w:val="bottom"/>
            <w:shd w:val="clear" w:color="auto" w:fill="CFF0FC"/>
          </w:tcPr>
          <w:p>
            <w:pPr>
              <w:spacing w:after="0"/>
              <w:rPr>
                <w:sz w:val="13"/>
                <w:szCs w:val="13"/>
                <w:color w:val="auto"/>
              </w:rPr>
            </w:pPr>
          </w:p>
        </w:tc>
        <w:tc>
          <w:tcPr>
            <w:tcW w:w="200" w:type="dxa"/>
            <w:vAlign w:val="bottom"/>
            <w:shd w:val="clear" w:color="auto" w:fill="CFF0FC"/>
          </w:tcPr>
          <w:p>
            <w:pPr>
              <w:spacing w:after="0"/>
              <w:rPr>
                <w:sz w:val="13"/>
                <w:szCs w:val="13"/>
                <w:color w:val="auto"/>
              </w:rPr>
            </w:pPr>
          </w:p>
        </w:tc>
        <w:tc>
          <w:tcPr>
            <w:tcW w:w="1320" w:type="dxa"/>
            <w:vAlign w:val="bottom"/>
            <w:shd w:val="clear" w:color="auto" w:fill="CFF0FC"/>
          </w:tcPr>
          <w:p>
            <w:pPr>
              <w:spacing w:after="0"/>
              <w:rPr>
                <w:sz w:val="13"/>
                <w:szCs w:val="13"/>
                <w:color w:val="auto"/>
              </w:rPr>
            </w:pPr>
          </w:p>
        </w:tc>
        <w:tc>
          <w:tcPr>
            <w:tcW w:w="120" w:type="dxa"/>
            <w:vAlign w:val="bottom"/>
            <w:shd w:val="clear" w:color="auto" w:fill="CFF0FC"/>
          </w:tcPr>
          <w:p>
            <w:pPr>
              <w:spacing w:after="0"/>
              <w:rPr>
                <w:sz w:val="13"/>
                <w:szCs w:val="13"/>
                <w:color w:val="auto"/>
              </w:rPr>
            </w:pPr>
          </w:p>
        </w:tc>
        <w:tc>
          <w:tcPr>
            <w:tcW w:w="0" w:type="dxa"/>
            <w:vAlign w:val="bottom"/>
          </w:tcPr>
          <w:p>
            <w:pPr>
              <w:spacing w:after="0"/>
              <w:rPr>
                <w:sz w:val="1"/>
                <w:szCs w:val="1"/>
                <w:color w:val="auto"/>
              </w:rPr>
            </w:pPr>
          </w:p>
        </w:tc>
      </w:tr>
      <w:tr>
        <w:trPr>
          <w:trHeight w:val="162"/>
        </w:trPr>
        <w:tc>
          <w:tcPr>
            <w:tcW w:w="6840" w:type="dxa"/>
            <w:vAlign w:val="bottom"/>
            <w:gridSpan w:val="2"/>
          </w:tcPr>
          <w:p>
            <w:pPr>
              <w:spacing w:after="0"/>
              <w:rPr>
                <w:sz w:val="20"/>
                <w:szCs w:val="20"/>
                <w:color w:val="auto"/>
              </w:rPr>
            </w:pPr>
            <w:r>
              <w:rPr>
                <w:rFonts w:ascii="Arial" w:cs="Arial" w:eastAsia="Arial" w:hAnsi="Arial"/>
                <w:sz w:val="14"/>
                <w:szCs w:val="14"/>
                <w:color w:val="auto"/>
              </w:rPr>
              <w:t>Stockholders’ equity (Note 8):</w:t>
            </w:r>
          </w:p>
        </w:tc>
        <w:tc>
          <w:tcPr>
            <w:tcW w:w="90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124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3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6840" w:type="dxa"/>
            <w:vAlign w:val="bottom"/>
            <w:gridSpan w:val="2"/>
            <w:shd w:val="clear" w:color="auto" w:fill="CFF0FC"/>
          </w:tcPr>
          <w:p>
            <w:pPr>
              <w:ind w:left="260"/>
              <w:spacing w:after="0"/>
              <w:rPr>
                <w:sz w:val="20"/>
                <w:szCs w:val="20"/>
                <w:color w:val="auto"/>
              </w:rPr>
            </w:pPr>
            <w:r>
              <w:rPr>
                <w:rFonts w:ascii="Arial" w:cs="Arial" w:eastAsia="Arial" w:hAnsi="Arial"/>
                <w:sz w:val="14"/>
                <w:szCs w:val="14"/>
                <w:color w:val="auto"/>
              </w:rPr>
              <w:t>Preferred stock, $0.01 par value per share, 5.0 million shares authorized; no shares issued</w:t>
            </w:r>
          </w:p>
        </w:tc>
        <w:tc>
          <w:tcPr>
            <w:tcW w:w="900" w:type="dxa"/>
            <w:vAlign w:val="bottom"/>
            <w:shd w:val="clear" w:color="auto" w:fill="CFF0FC"/>
          </w:tcPr>
          <w:p>
            <w:pPr>
              <w:spacing w:after="0"/>
              <w:rPr>
                <w:sz w:val="14"/>
                <w:szCs w:val="14"/>
                <w:color w:val="auto"/>
              </w:rPr>
            </w:pPr>
          </w:p>
        </w:tc>
        <w:tc>
          <w:tcPr>
            <w:tcW w:w="280" w:type="dxa"/>
            <w:vAlign w:val="bottom"/>
            <w:shd w:val="clear" w:color="auto" w:fill="CFF0FC"/>
          </w:tcPr>
          <w:p>
            <w:pPr>
              <w:spacing w:after="0"/>
              <w:rPr>
                <w:sz w:val="14"/>
                <w:szCs w:val="14"/>
                <w:color w:val="auto"/>
              </w:rPr>
            </w:pPr>
          </w:p>
        </w:tc>
        <w:tc>
          <w:tcPr>
            <w:tcW w:w="1560" w:type="dxa"/>
            <w:vAlign w:val="bottom"/>
            <w:gridSpan w:val="2"/>
            <w:shd w:val="clear" w:color="auto" w:fill="CFF0FC"/>
          </w:tcPr>
          <w:p>
            <w:pPr>
              <w:jc w:val="right"/>
              <w:ind w:right="320"/>
              <w:spacing w:after="0"/>
              <w:rPr>
                <w:sz w:val="20"/>
                <w:szCs w:val="20"/>
                <w:color w:val="auto"/>
              </w:rPr>
            </w:pPr>
            <w:r>
              <w:rPr>
                <w:rFonts w:ascii="Arial" w:cs="Arial" w:eastAsia="Arial" w:hAnsi="Arial"/>
                <w:sz w:val="14"/>
                <w:szCs w:val="14"/>
                <w:color w:val="auto"/>
              </w:rPr>
              <w:t>—</w:t>
            </w:r>
          </w:p>
        </w:tc>
        <w:tc>
          <w:tcPr>
            <w:tcW w:w="20" w:type="dxa"/>
            <w:vAlign w:val="bottom"/>
            <w:shd w:val="clear" w:color="auto" w:fill="CFF0FC"/>
          </w:tcPr>
          <w:p>
            <w:pPr>
              <w:spacing w:after="0"/>
              <w:rPr>
                <w:sz w:val="14"/>
                <w:szCs w:val="14"/>
                <w:color w:val="auto"/>
              </w:rPr>
            </w:pPr>
          </w:p>
        </w:tc>
        <w:tc>
          <w:tcPr>
            <w:tcW w:w="200" w:type="dxa"/>
            <w:vAlign w:val="bottom"/>
            <w:shd w:val="clear" w:color="auto" w:fill="CFF0FC"/>
          </w:tcPr>
          <w:p>
            <w:pPr>
              <w:spacing w:after="0"/>
              <w:rPr>
                <w:sz w:val="14"/>
                <w:szCs w:val="14"/>
                <w:color w:val="auto"/>
              </w:rPr>
            </w:pPr>
          </w:p>
        </w:tc>
        <w:tc>
          <w:tcPr>
            <w:tcW w:w="1440" w:type="dxa"/>
            <w:vAlign w:val="bottom"/>
            <w:gridSpan w:val="2"/>
            <w:shd w:val="clear" w:color="auto" w:fill="CFF0FC"/>
          </w:tcPr>
          <w:p>
            <w:pPr>
              <w:jc w:val="right"/>
              <w:ind w:right="140"/>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43"/>
        </w:trPr>
        <w:tc>
          <w:tcPr>
            <w:tcW w:w="6840" w:type="dxa"/>
            <w:vAlign w:val="bottom"/>
            <w:gridSpan w:val="2"/>
          </w:tcPr>
          <w:p>
            <w:pPr>
              <w:ind w:left="260"/>
              <w:spacing w:after="0" w:line="143" w:lineRule="exact"/>
              <w:rPr>
                <w:sz w:val="20"/>
                <w:szCs w:val="20"/>
                <w:color w:val="auto"/>
              </w:rPr>
            </w:pPr>
            <w:r>
              <w:rPr>
                <w:rFonts w:ascii="Arial" w:cs="Arial" w:eastAsia="Arial" w:hAnsi="Arial"/>
                <w:sz w:val="14"/>
                <w:szCs w:val="14"/>
                <w:color w:val="auto"/>
              </w:rPr>
              <w:t>Class A non-voting common stock, $0.01 par value per share, 5.0 million shares authorized;</w:t>
            </w:r>
          </w:p>
        </w:tc>
        <w:tc>
          <w:tcPr>
            <w:tcW w:w="90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124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3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67"/>
        </w:trPr>
        <w:tc>
          <w:tcPr>
            <w:tcW w:w="6840" w:type="dxa"/>
            <w:vAlign w:val="bottom"/>
            <w:gridSpan w:val="2"/>
          </w:tcPr>
          <w:p>
            <w:pPr>
              <w:ind w:left="360"/>
              <w:spacing w:after="0"/>
              <w:rPr>
                <w:sz w:val="20"/>
                <w:szCs w:val="20"/>
                <w:color w:val="auto"/>
              </w:rPr>
            </w:pPr>
            <w:r>
              <w:rPr>
                <w:rFonts w:ascii="Arial" w:cs="Arial" w:eastAsia="Arial" w:hAnsi="Arial"/>
                <w:sz w:val="14"/>
                <w:szCs w:val="14"/>
                <w:color w:val="auto"/>
              </w:rPr>
              <w:t>no shares issued</w:t>
            </w:r>
          </w:p>
        </w:tc>
        <w:tc>
          <w:tcPr>
            <w:tcW w:w="90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1560" w:type="dxa"/>
            <w:vAlign w:val="bottom"/>
            <w:gridSpan w:val="2"/>
          </w:tcPr>
          <w:p>
            <w:pPr>
              <w:jc w:val="right"/>
              <w:ind w:right="320"/>
              <w:spacing w:after="0"/>
              <w:rPr>
                <w:sz w:val="20"/>
                <w:szCs w:val="20"/>
                <w:color w:val="auto"/>
              </w:rPr>
            </w:pPr>
            <w:r>
              <w:rPr>
                <w:rFonts w:ascii="Arial" w:cs="Arial" w:eastAsia="Arial" w:hAnsi="Arial"/>
                <w:sz w:val="14"/>
                <w:szCs w:val="14"/>
                <w:color w:val="auto"/>
              </w:rPr>
              <w:t>—</w:t>
            </w:r>
          </w:p>
        </w:tc>
        <w:tc>
          <w:tcPr>
            <w:tcW w:w="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440" w:type="dxa"/>
            <w:vAlign w:val="bottom"/>
            <w:gridSpan w:val="2"/>
          </w:tcPr>
          <w:p>
            <w:pPr>
              <w:jc w:val="right"/>
              <w:ind w:right="140"/>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43"/>
        </w:trPr>
        <w:tc>
          <w:tcPr>
            <w:tcW w:w="6840" w:type="dxa"/>
            <w:vAlign w:val="bottom"/>
            <w:gridSpan w:val="2"/>
            <w:shd w:val="clear" w:color="auto" w:fill="CFF0FC"/>
          </w:tcPr>
          <w:p>
            <w:pPr>
              <w:ind w:left="260"/>
              <w:spacing w:after="0" w:line="143" w:lineRule="exact"/>
              <w:rPr>
                <w:sz w:val="20"/>
                <w:szCs w:val="20"/>
                <w:color w:val="auto"/>
              </w:rPr>
            </w:pPr>
            <w:r>
              <w:rPr>
                <w:rFonts w:ascii="Arial" w:cs="Arial" w:eastAsia="Arial" w:hAnsi="Arial"/>
                <w:sz w:val="14"/>
                <w:szCs w:val="14"/>
                <w:color w:val="auto"/>
              </w:rPr>
              <w:t>Common stock, $0.01 par value per share, 400.0 million shares authorized; 264.7 million shares</w:t>
            </w:r>
          </w:p>
        </w:tc>
        <w:tc>
          <w:tcPr>
            <w:tcW w:w="900" w:type="dxa"/>
            <w:vAlign w:val="bottom"/>
            <w:shd w:val="clear" w:color="auto" w:fill="CFF0FC"/>
          </w:tcPr>
          <w:p>
            <w:pPr>
              <w:spacing w:after="0"/>
              <w:rPr>
                <w:sz w:val="12"/>
                <w:szCs w:val="12"/>
                <w:color w:val="auto"/>
              </w:rPr>
            </w:pPr>
          </w:p>
        </w:tc>
        <w:tc>
          <w:tcPr>
            <w:tcW w:w="280" w:type="dxa"/>
            <w:vAlign w:val="bottom"/>
            <w:shd w:val="clear" w:color="auto" w:fill="CFF0FC"/>
          </w:tcPr>
          <w:p>
            <w:pPr>
              <w:spacing w:after="0"/>
              <w:rPr>
                <w:sz w:val="12"/>
                <w:szCs w:val="12"/>
                <w:color w:val="auto"/>
              </w:rPr>
            </w:pPr>
          </w:p>
        </w:tc>
        <w:tc>
          <w:tcPr>
            <w:tcW w:w="1240" w:type="dxa"/>
            <w:vAlign w:val="bottom"/>
            <w:shd w:val="clear" w:color="auto" w:fill="CFF0FC"/>
          </w:tcPr>
          <w:p>
            <w:pPr>
              <w:spacing w:after="0"/>
              <w:rPr>
                <w:sz w:val="12"/>
                <w:szCs w:val="12"/>
                <w:color w:val="auto"/>
              </w:rPr>
            </w:pPr>
          </w:p>
        </w:tc>
        <w:tc>
          <w:tcPr>
            <w:tcW w:w="320" w:type="dxa"/>
            <w:vAlign w:val="bottom"/>
            <w:shd w:val="clear" w:color="auto" w:fill="CFF0FC"/>
          </w:tcPr>
          <w:p>
            <w:pPr>
              <w:spacing w:after="0"/>
              <w:rPr>
                <w:sz w:val="12"/>
                <w:szCs w:val="12"/>
                <w:color w:val="auto"/>
              </w:rPr>
            </w:pPr>
          </w:p>
        </w:tc>
        <w:tc>
          <w:tcPr>
            <w:tcW w:w="20" w:type="dxa"/>
            <w:vAlign w:val="bottom"/>
            <w:shd w:val="clear" w:color="auto" w:fill="CFF0FC"/>
          </w:tcPr>
          <w:p>
            <w:pPr>
              <w:spacing w:after="0"/>
              <w:rPr>
                <w:sz w:val="12"/>
                <w:szCs w:val="12"/>
                <w:color w:val="auto"/>
              </w:rPr>
            </w:pPr>
          </w:p>
        </w:tc>
        <w:tc>
          <w:tcPr>
            <w:tcW w:w="200" w:type="dxa"/>
            <w:vAlign w:val="bottom"/>
            <w:shd w:val="clear" w:color="auto" w:fill="CFF0FC"/>
          </w:tcPr>
          <w:p>
            <w:pPr>
              <w:spacing w:after="0"/>
              <w:rPr>
                <w:sz w:val="12"/>
                <w:szCs w:val="12"/>
                <w:color w:val="auto"/>
              </w:rPr>
            </w:pPr>
          </w:p>
        </w:tc>
        <w:tc>
          <w:tcPr>
            <w:tcW w:w="1320" w:type="dxa"/>
            <w:vAlign w:val="bottom"/>
            <w:shd w:val="clear" w:color="auto" w:fill="CFF0FC"/>
          </w:tcPr>
          <w:p>
            <w:pPr>
              <w:spacing w:after="0"/>
              <w:rPr>
                <w:sz w:val="12"/>
                <w:szCs w:val="12"/>
                <w:color w:val="auto"/>
              </w:rPr>
            </w:pPr>
          </w:p>
        </w:tc>
        <w:tc>
          <w:tcPr>
            <w:tcW w:w="120" w:type="dxa"/>
            <w:vAlign w:val="bottom"/>
            <w:shd w:val="clear" w:color="auto" w:fill="CFF0FC"/>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6840" w:type="dxa"/>
            <w:vAlign w:val="bottom"/>
            <w:gridSpan w:val="2"/>
            <w:shd w:val="clear" w:color="auto" w:fill="CFF0FC"/>
          </w:tcPr>
          <w:p>
            <w:pPr>
              <w:ind w:left="360"/>
              <w:spacing w:after="0" w:line="149" w:lineRule="exact"/>
              <w:rPr>
                <w:sz w:val="20"/>
                <w:szCs w:val="20"/>
                <w:color w:val="auto"/>
              </w:rPr>
            </w:pPr>
            <w:r>
              <w:rPr>
                <w:rFonts w:ascii="Arial" w:cs="Arial" w:eastAsia="Arial" w:hAnsi="Arial"/>
                <w:sz w:val="14"/>
                <w:szCs w:val="14"/>
                <w:color w:val="auto"/>
              </w:rPr>
              <w:t>and 263.9 million shares issued, respectively, and 255.7 million shares and 257.6 million shares</w:t>
            </w:r>
          </w:p>
        </w:tc>
        <w:tc>
          <w:tcPr>
            <w:tcW w:w="900" w:type="dxa"/>
            <w:vAlign w:val="bottom"/>
            <w:shd w:val="clear" w:color="auto" w:fill="CFF0FC"/>
          </w:tcPr>
          <w:p>
            <w:pPr>
              <w:spacing w:after="0"/>
              <w:rPr>
                <w:sz w:val="12"/>
                <w:szCs w:val="12"/>
                <w:color w:val="auto"/>
              </w:rPr>
            </w:pPr>
          </w:p>
        </w:tc>
        <w:tc>
          <w:tcPr>
            <w:tcW w:w="280" w:type="dxa"/>
            <w:vAlign w:val="bottom"/>
            <w:shd w:val="clear" w:color="auto" w:fill="CFF0FC"/>
          </w:tcPr>
          <w:p>
            <w:pPr>
              <w:spacing w:after="0"/>
              <w:rPr>
                <w:sz w:val="12"/>
                <w:szCs w:val="12"/>
                <w:color w:val="auto"/>
              </w:rPr>
            </w:pPr>
          </w:p>
        </w:tc>
        <w:tc>
          <w:tcPr>
            <w:tcW w:w="1240" w:type="dxa"/>
            <w:vAlign w:val="bottom"/>
            <w:shd w:val="clear" w:color="auto" w:fill="CFF0FC"/>
          </w:tcPr>
          <w:p>
            <w:pPr>
              <w:spacing w:after="0"/>
              <w:rPr>
                <w:sz w:val="12"/>
                <w:szCs w:val="12"/>
                <w:color w:val="auto"/>
              </w:rPr>
            </w:pPr>
          </w:p>
        </w:tc>
        <w:tc>
          <w:tcPr>
            <w:tcW w:w="320" w:type="dxa"/>
            <w:vAlign w:val="bottom"/>
            <w:shd w:val="clear" w:color="auto" w:fill="CFF0FC"/>
          </w:tcPr>
          <w:p>
            <w:pPr>
              <w:spacing w:after="0"/>
              <w:rPr>
                <w:sz w:val="12"/>
                <w:szCs w:val="12"/>
                <w:color w:val="auto"/>
              </w:rPr>
            </w:pPr>
          </w:p>
        </w:tc>
        <w:tc>
          <w:tcPr>
            <w:tcW w:w="20" w:type="dxa"/>
            <w:vAlign w:val="bottom"/>
            <w:shd w:val="clear" w:color="auto" w:fill="CFF0FC"/>
          </w:tcPr>
          <w:p>
            <w:pPr>
              <w:spacing w:after="0"/>
              <w:rPr>
                <w:sz w:val="12"/>
                <w:szCs w:val="12"/>
                <w:color w:val="auto"/>
              </w:rPr>
            </w:pPr>
          </w:p>
        </w:tc>
        <w:tc>
          <w:tcPr>
            <w:tcW w:w="200" w:type="dxa"/>
            <w:vAlign w:val="bottom"/>
            <w:shd w:val="clear" w:color="auto" w:fill="CFF0FC"/>
          </w:tcPr>
          <w:p>
            <w:pPr>
              <w:spacing w:after="0"/>
              <w:rPr>
                <w:sz w:val="12"/>
                <w:szCs w:val="12"/>
                <w:color w:val="auto"/>
              </w:rPr>
            </w:pPr>
          </w:p>
        </w:tc>
        <w:tc>
          <w:tcPr>
            <w:tcW w:w="1320" w:type="dxa"/>
            <w:vAlign w:val="bottom"/>
            <w:shd w:val="clear" w:color="auto" w:fill="CFF0FC"/>
          </w:tcPr>
          <w:p>
            <w:pPr>
              <w:spacing w:after="0"/>
              <w:rPr>
                <w:sz w:val="12"/>
                <w:szCs w:val="12"/>
                <w:color w:val="auto"/>
              </w:rPr>
            </w:pPr>
          </w:p>
        </w:tc>
        <w:tc>
          <w:tcPr>
            <w:tcW w:w="120" w:type="dxa"/>
            <w:vAlign w:val="bottom"/>
            <w:shd w:val="clear" w:color="auto" w:fill="CFF0FC"/>
          </w:tcPr>
          <w:p>
            <w:pPr>
              <w:spacing w:after="0"/>
              <w:rPr>
                <w:sz w:val="12"/>
                <w:szCs w:val="12"/>
                <w:color w:val="auto"/>
              </w:rPr>
            </w:pPr>
          </w:p>
        </w:tc>
        <w:tc>
          <w:tcPr>
            <w:tcW w:w="0" w:type="dxa"/>
            <w:vAlign w:val="bottom"/>
          </w:tcPr>
          <w:p>
            <w:pPr>
              <w:spacing w:after="0"/>
              <w:rPr>
                <w:sz w:val="1"/>
                <w:szCs w:val="1"/>
                <w:color w:val="auto"/>
              </w:rPr>
            </w:pPr>
          </w:p>
        </w:tc>
      </w:tr>
      <w:tr>
        <w:trPr>
          <w:trHeight w:val="167"/>
        </w:trPr>
        <w:tc>
          <w:tcPr>
            <w:tcW w:w="6840" w:type="dxa"/>
            <w:vAlign w:val="bottom"/>
            <w:gridSpan w:val="2"/>
            <w:shd w:val="clear" w:color="auto" w:fill="CFF0FC"/>
          </w:tcPr>
          <w:p>
            <w:pPr>
              <w:ind w:left="360"/>
              <w:spacing w:after="0"/>
              <w:rPr>
                <w:sz w:val="20"/>
                <w:szCs w:val="20"/>
                <w:color w:val="auto"/>
              </w:rPr>
            </w:pPr>
            <w:r>
              <w:rPr>
                <w:rFonts w:ascii="Arial" w:cs="Arial" w:eastAsia="Arial" w:hAnsi="Arial"/>
                <w:sz w:val="14"/>
                <w:szCs w:val="14"/>
                <w:color w:val="auto"/>
              </w:rPr>
              <w:t>outstanding, respectively</w:t>
            </w:r>
          </w:p>
        </w:tc>
        <w:tc>
          <w:tcPr>
            <w:tcW w:w="900" w:type="dxa"/>
            <w:vAlign w:val="bottom"/>
            <w:shd w:val="clear" w:color="auto" w:fill="CFF0FC"/>
          </w:tcPr>
          <w:p>
            <w:pPr>
              <w:spacing w:after="0"/>
              <w:rPr>
                <w:sz w:val="14"/>
                <w:szCs w:val="14"/>
                <w:color w:val="auto"/>
              </w:rPr>
            </w:pPr>
          </w:p>
        </w:tc>
        <w:tc>
          <w:tcPr>
            <w:tcW w:w="280" w:type="dxa"/>
            <w:vAlign w:val="bottom"/>
            <w:shd w:val="clear" w:color="auto" w:fill="CFF0FC"/>
          </w:tcPr>
          <w:p>
            <w:pPr>
              <w:spacing w:after="0"/>
              <w:rPr>
                <w:sz w:val="14"/>
                <w:szCs w:val="14"/>
                <w:color w:val="auto"/>
              </w:rPr>
            </w:pPr>
          </w:p>
        </w:tc>
        <w:tc>
          <w:tcPr>
            <w:tcW w:w="1240" w:type="dxa"/>
            <w:vAlign w:val="bottom"/>
            <w:shd w:val="clear" w:color="auto" w:fill="CFF0FC"/>
          </w:tcPr>
          <w:p>
            <w:pPr>
              <w:jc w:val="right"/>
              <w:spacing w:after="0"/>
              <w:rPr>
                <w:sz w:val="20"/>
                <w:szCs w:val="20"/>
                <w:color w:val="auto"/>
              </w:rPr>
            </w:pPr>
            <w:r>
              <w:rPr>
                <w:rFonts w:ascii="Arial" w:cs="Arial" w:eastAsia="Arial" w:hAnsi="Arial"/>
                <w:sz w:val="14"/>
                <w:szCs w:val="14"/>
                <w:color w:val="auto"/>
              </w:rPr>
              <w:t>2.6</w:t>
            </w:r>
          </w:p>
        </w:tc>
        <w:tc>
          <w:tcPr>
            <w:tcW w:w="320" w:type="dxa"/>
            <w:vAlign w:val="bottom"/>
            <w:shd w:val="clear" w:color="auto" w:fill="CFF0FC"/>
          </w:tcPr>
          <w:p>
            <w:pPr>
              <w:spacing w:after="0"/>
              <w:rPr>
                <w:sz w:val="14"/>
                <w:szCs w:val="14"/>
                <w:color w:val="auto"/>
              </w:rPr>
            </w:pPr>
          </w:p>
        </w:tc>
        <w:tc>
          <w:tcPr>
            <w:tcW w:w="20" w:type="dxa"/>
            <w:vAlign w:val="bottom"/>
            <w:shd w:val="clear" w:color="auto" w:fill="CFF0FC"/>
          </w:tcPr>
          <w:p>
            <w:pPr>
              <w:spacing w:after="0"/>
              <w:rPr>
                <w:sz w:val="14"/>
                <w:szCs w:val="14"/>
                <w:color w:val="auto"/>
              </w:rPr>
            </w:pPr>
          </w:p>
        </w:tc>
        <w:tc>
          <w:tcPr>
            <w:tcW w:w="200" w:type="dxa"/>
            <w:vAlign w:val="bottom"/>
            <w:shd w:val="clear" w:color="auto" w:fill="CFF0FC"/>
          </w:tcPr>
          <w:p>
            <w:pPr>
              <w:spacing w:after="0"/>
              <w:rPr>
                <w:sz w:val="14"/>
                <w:szCs w:val="14"/>
                <w:color w:val="auto"/>
              </w:rPr>
            </w:pPr>
          </w:p>
        </w:tc>
        <w:tc>
          <w:tcPr>
            <w:tcW w:w="1320" w:type="dxa"/>
            <w:vAlign w:val="bottom"/>
            <w:shd w:val="clear" w:color="auto" w:fill="CFF0FC"/>
          </w:tcPr>
          <w:p>
            <w:pPr>
              <w:jc w:val="right"/>
              <w:spacing w:after="0"/>
              <w:rPr>
                <w:sz w:val="20"/>
                <w:szCs w:val="20"/>
                <w:color w:val="auto"/>
              </w:rPr>
            </w:pPr>
            <w:r>
              <w:rPr>
                <w:rFonts w:ascii="Arial" w:cs="Arial" w:eastAsia="Arial" w:hAnsi="Arial"/>
                <w:sz w:val="14"/>
                <w:szCs w:val="14"/>
                <w:color w:val="auto"/>
              </w:rPr>
              <w:t>2.6</w:t>
            </w:r>
          </w:p>
        </w:tc>
        <w:tc>
          <w:tcPr>
            <w:tcW w:w="120" w:type="dxa"/>
            <w:vAlign w:val="bottom"/>
            <w:shd w:val="clear" w:color="auto" w:fill="CFF0FC"/>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6840" w:type="dxa"/>
            <w:vAlign w:val="bottom"/>
            <w:gridSpan w:val="2"/>
          </w:tcPr>
          <w:p>
            <w:pPr>
              <w:ind w:left="260"/>
              <w:spacing w:after="0"/>
              <w:rPr>
                <w:sz w:val="20"/>
                <w:szCs w:val="20"/>
                <w:color w:val="auto"/>
              </w:rPr>
            </w:pPr>
            <w:r>
              <w:rPr>
                <w:rFonts w:ascii="Arial" w:cs="Arial" w:eastAsia="Arial" w:hAnsi="Arial"/>
                <w:sz w:val="14"/>
                <w:szCs w:val="14"/>
                <w:color w:val="auto"/>
              </w:rPr>
              <w:t>Additional paid-in capital</w:t>
            </w:r>
          </w:p>
        </w:tc>
        <w:tc>
          <w:tcPr>
            <w:tcW w:w="90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1240" w:type="dxa"/>
            <w:vAlign w:val="bottom"/>
          </w:tcPr>
          <w:p>
            <w:pPr>
              <w:jc w:val="right"/>
              <w:spacing w:after="0"/>
              <w:rPr>
                <w:sz w:val="20"/>
                <w:szCs w:val="20"/>
                <w:color w:val="auto"/>
              </w:rPr>
            </w:pPr>
            <w:r>
              <w:rPr>
                <w:rFonts w:ascii="Arial" w:cs="Arial" w:eastAsia="Arial" w:hAnsi="Arial"/>
                <w:sz w:val="14"/>
                <w:szCs w:val="14"/>
                <w:color w:val="auto"/>
              </w:rPr>
              <w:t>4,600.5</w:t>
            </w:r>
          </w:p>
        </w:tc>
        <w:tc>
          <w:tcPr>
            <w:tcW w:w="3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320" w:type="dxa"/>
            <w:vAlign w:val="bottom"/>
          </w:tcPr>
          <w:p>
            <w:pPr>
              <w:jc w:val="right"/>
              <w:spacing w:after="0"/>
              <w:rPr>
                <w:sz w:val="20"/>
                <w:szCs w:val="20"/>
                <w:color w:val="auto"/>
              </w:rPr>
            </w:pPr>
            <w:r>
              <w:rPr>
                <w:rFonts w:ascii="Arial" w:cs="Arial" w:eastAsia="Arial" w:hAnsi="Arial"/>
                <w:sz w:val="14"/>
                <w:szCs w:val="14"/>
                <w:color w:val="auto"/>
              </w:rPr>
              <w:t>4,544.0</w:t>
            </w:r>
          </w:p>
        </w:tc>
        <w:tc>
          <w:tcPr>
            <w:tcW w:w="1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6840" w:type="dxa"/>
            <w:vAlign w:val="bottom"/>
            <w:gridSpan w:val="2"/>
            <w:shd w:val="clear" w:color="auto" w:fill="CFF0FC"/>
          </w:tcPr>
          <w:p>
            <w:pPr>
              <w:ind w:left="260"/>
              <w:spacing w:after="0"/>
              <w:rPr>
                <w:sz w:val="20"/>
                <w:szCs w:val="20"/>
                <w:color w:val="auto"/>
              </w:rPr>
            </w:pPr>
            <w:r>
              <w:rPr>
                <w:rFonts w:ascii="Arial" w:cs="Arial" w:eastAsia="Arial" w:hAnsi="Arial"/>
                <w:sz w:val="14"/>
                <w:szCs w:val="14"/>
                <w:color w:val="auto"/>
              </w:rPr>
              <w:t>Accumulated other comprehensive loss</w:t>
            </w:r>
          </w:p>
        </w:tc>
        <w:tc>
          <w:tcPr>
            <w:tcW w:w="900" w:type="dxa"/>
            <w:vAlign w:val="bottom"/>
            <w:shd w:val="clear" w:color="auto" w:fill="CFF0FC"/>
          </w:tcPr>
          <w:p>
            <w:pPr>
              <w:spacing w:after="0"/>
              <w:rPr>
                <w:sz w:val="14"/>
                <w:szCs w:val="14"/>
                <w:color w:val="auto"/>
              </w:rPr>
            </w:pPr>
          </w:p>
        </w:tc>
        <w:tc>
          <w:tcPr>
            <w:tcW w:w="280" w:type="dxa"/>
            <w:vAlign w:val="bottom"/>
            <w:shd w:val="clear" w:color="auto" w:fill="CFF0FC"/>
          </w:tcPr>
          <w:p>
            <w:pPr>
              <w:spacing w:after="0"/>
              <w:rPr>
                <w:sz w:val="14"/>
                <w:szCs w:val="14"/>
                <w:color w:val="auto"/>
              </w:rPr>
            </w:pPr>
          </w:p>
        </w:tc>
        <w:tc>
          <w:tcPr>
            <w:tcW w:w="1560" w:type="dxa"/>
            <w:vAlign w:val="bottom"/>
            <w:gridSpan w:val="2"/>
            <w:shd w:val="clear" w:color="auto" w:fill="CFF0FC"/>
          </w:tcPr>
          <w:p>
            <w:pPr>
              <w:jc w:val="right"/>
              <w:ind w:right="260"/>
              <w:spacing w:after="0"/>
              <w:rPr>
                <w:sz w:val="20"/>
                <w:szCs w:val="20"/>
                <w:color w:val="auto"/>
              </w:rPr>
            </w:pPr>
            <w:r>
              <w:rPr>
                <w:rFonts w:ascii="Arial" w:cs="Arial" w:eastAsia="Arial" w:hAnsi="Arial"/>
                <w:sz w:val="14"/>
                <w:szCs w:val="14"/>
                <w:color w:val="auto"/>
              </w:rPr>
              <w:t>(192.1)</w:t>
            </w:r>
          </w:p>
        </w:tc>
        <w:tc>
          <w:tcPr>
            <w:tcW w:w="20" w:type="dxa"/>
            <w:vAlign w:val="bottom"/>
            <w:shd w:val="clear" w:color="auto" w:fill="CFF0FC"/>
          </w:tcPr>
          <w:p>
            <w:pPr>
              <w:spacing w:after="0"/>
              <w:rPr>
                <w:sz w:val="14"/>
                <w:szCs w:val="14"/>
                <w:color w:val="auto"/>
              </w:rPr>
            </w:pPr>
          </w:p>
        </w:tc>
        <w:tc>
          <w:tcPr>
            <w:tcW w:w="200" w:type="dxa"/>
            <w:vAlign w:val="bottom"/>
            <w:shd w:val="clear" w:color="auto" w:fill="CFF0FC"/>
          </w:tcPr>
          <w:p>
            <w:pPr>
              <w:spacing w:after="0"/>
              <w:rPr>
                <w:sz w:val="14"/>
                <w:szCs w:val="14"/>
                <w:color w:val="auto"/>
              </w:rPr>
            </w:pPr>
          </w:p>
        </w:tc>
        <w:tc>
          <w:tcPr>
            <w:tcW w:w="1440" w:type="dxa"/>
            <w:vAlign w:val="bottom"/>
            <w:gridSpan w:val="2"/>
            <w:shd w:val="clear" w:color="auto" w:fill="CFF0FC"/>
          </w:tcPr>
          <w:p>
            <w:pPr>
              <w:jc w:val="right"/>
              <w:ind w:right="80"/>
              <w:spacing w:after="0"/>
              <w:rPr>
                <w:sz w:val="20"/>
                <w:szCs w:val="20"/>
                <w:color w:val="auto"/>
              </w:rPr>
            </w:pPr>
            <w:r>
              <w:rPr>
                <w:rFonts w:ascii="Arial" w:cs="Arial" w:eastAsia="Arial" w:hAnsi="Arial"/>
                <w:sz w:val="14"/>
                <w:szCs w:val="14"/>
                <w:color w:val="auto"/>
              </w:rPr>
              <w:t>(201.0)</w:t>
            </w:r>
          </w:p>
        </w:tc>
        <w:tc>
          <w:tcPr>
            <w:tcW w:w="0" w:type="dxa"/>
            <w:vAlign w:val="bottom"/>
          </w:tcPr>
          <w:p>
            <w:pPr>
              <w:spacing w:after="0"/>
              <w:rPr>
                <w:sz w:val="1"/>
                <w:szCs w:val="1"/>
                <w:color w:val="auto"/>
              </w:rPr>
            </w:pPr>
          </w:p>
        </w:tc>
      </w:tr>
      <w:tr>
        <w:trPr>
          <w:trHeight w:val="162"/>
        </w:trPr>
        <w:tc>
          <w:tcPr>
            <w:tcW w:w="6840" w:type="dxa"/>
            <w:vAlign w:val="bottom"/>
            <w:tcBorders>
              <w:bottom w:val="single" w:sz="8" w:color="CFF0FC"/>
            </w:tcBorders>
            <w:gridSpan w:val="2"/>
          </w:tcPr>
          <w:p>
            <w:pPr>
              <w:ind w:left="260"/>
              <w:spacing w:after="0"/>
              <w:rPr>
                <w:sz w:val="20"/>
                <w:szCs w:val="20"/>
                <w:color w:val="auto"/>
              </w:rPr>
            </w:pPr>
            <w:r>
              <w:rPr>
                <w:rFonts w:ascii="Arial" w:cs="Arial" w:eastAsia="Arial" w:hAnsi="Arial"/>
                <w:sz w:val="14"/>
                <w:szCs w:val="14"/>
                <w:color w:val="auto"/>
              </w:rPr>
              <w:t>Retained earnings</w:t>
            </w:r>
          </w:p>
        </w:tc>
        <w:tc>
          <w:tcPr>
            <w:tcW w:w="900" w:type="dxa"/>
            <w:vAlign w:val="bottom"/>
            <w:tcBorders>
              <w:bottom w:val="single" w:sz="8" w:color="CFF0FC"/>
            </w:tcBorders>
          </w:tcPr>
          <w:p>
            <w:pPr>
              <w:spacing w:after="0"/>
              <w:rPr>
                <w:sz w:val="14"/>
                <w:szCs w:val="14"/>
                <w:color w:val="auto"/>
              </w:rPr>
            </w:pPr>
          </w:p>
        </w:tc>
        <w:tc>
          <w:tcPr>
            <w:tcW w:w="280" w:type="dxa"/>
            <w:vAlign w:val="bottom"/>
            <w:tcBorders>
              <w:bottom w:val="single" w:sz="8" w:color="auto"/>
            </w:tcBorders>
          </w:tcPr>
          <w:p>
            <w:pPr>
              <w:spacing w:after="0"/>
              <w:rPr>
                <w:sz w:val="14"/>
                <w:szCs w:val="14"/>
                <w:color w:val="auto"/>
              </w:rPr>
            </w:pPr>
          </w:p>
        </w:tc>
        <w:tc>
          <w:tcPr>
            <w:tcW w:w="124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1,800.7</w:t>
            </w:r>
          </w:p>
        </w:tc>
        <w:tc>
          <w:tcPr>
            <w:tcW w:w="320" w:type="dxa"/>
            <w:vAlign w:val="bottom"/>
            <w:tcBorders>
              <w:bottom w:val="single" w:sz="8" w:color="CFF0FC"/>
            </w:tcBorders>
          </w:tcPr>
          <w:p>
            <w:pPr>
              <w:spacing w:after="0"/>
              <w:rPr>
                <w:sz w:val="14"/>
                <w:szCs w:val="14"/>
                <w:color w:val="auto"/>
              </w:rPr>
            </w:pPr>
          </w:p>
        </w:tc>
        <w:tc>
          <w:tcPr>
            <w:tcW w:w="20" w:type="dxa"/>
            <w:vAlign w:val="bottom"/>
            <w:tcBorders>
              <w:bottom w:val="single" w:sz="8" w:color="CFF0FC"/>
            </w:tcBorders>
          </w:tcPr>
          <w:p>
            <w:pPr>
              <w:spacing w:after="0"/>
              <w:rPr>
                <w:sz w:val="14"/>
                <w:szCs w:val="14"/>
                <w:color w:val="auto"/>
              </w:rPr>
            </w:pPr>
          </w:p>
        </w:tc>
        <w:tc>
          <w:tcPr>
            <w:tcW w:w="200" w:type="dxa"/>
            <w:vAlign w:val="bottom"/>
            <w:tcBorders>
              <w:bottom w:val="single" w:sz="8" w:color="auto"/>
            </w:tcBorders>
          </w:tcPr>
          <w:p>
            <w:pPr>
              <w:spacing w:after="0"/>
              <w:rPr>
                <w:sz w:val="14"/>
                <w:szCs w:val="14"/>
                <w:color w:val="auto"/>
              </w:rPr>
            </w:pPr>
          </w:p>
        </w:tc>
        <w:tc>
          <w:tcPr>
            <w:tcW w:w="132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1,667.0</w:t>
            </w:r>
          </w:p>
        </w:tc>
        <w:tc>
          <w:tcPr>
            <w:tcW w:w="120" w:type="dxa"/>
            <w:vAlign w:val="bottom"/>
            <w:tcBorders>
              <w:bottom w:val="single" w:sz="8" w:color="CFF0FC"/>
            </w:tcBorders>
          </w:tcPr>
          <w:p>
            <w:pPr>
              <w:spacing w:after="0"/>
              <w:rPr>
                <w:sz w:val="14"/>
                <w:szCs w:val="14"/>
                <w:color w:val="auto"/>
              </w:rPr>
            </w:pPr>
          </w:p>
        </w:tc>
        <w:tc>
          <w:tcPr>
            <w:tcW w:w="0" w:type="dxa"/>
            <w:vAlign w:val="bottom"/>
          </w:tcPr>
          <w:p>
            <w:pPr>
              <w:spacing w:after="0"/>
              <w:rPr>
                <w:sz w:val="1"/>
                <w:szCs w:val="1"/>
                <w:color w:val="auto"/>
              </w:rPr>
            </w:pPr>
          </w:p>
        </w:tc>
      </w:tr>
      <w:tr>
        <w:trPr>
          <w:trHeight w:val="155"/>
        </w:trPr>
        <w:tc>
          <w:tcPr>
            <w:tcW w:w="940" w:type="dxa"/>
            <w:vAlign w:val="bottom"/>
            <w:shd w:val="clear" w:color="auto" w:fill="CFF0FC"/>
          </w:tcPr>
          <w:p>
            <w:pPr>
              <w:spacing w:after="0"/>
              <w:rPr>
                <w:sz w:val="13"/>
                <w:szCs w:val="13"/>
                <w:color w:val="auto"/>
              </w:rPr>
            </w:pPr>
          </w:p>
        </w:tc>
        <w:tc>
          <w:tcPr>
            <w:tcW w:w="5900" w:type="dxa"/>
            <w:vAlign w:val="bottom"/>
            <w:shd w:val="clear" w:color="auto" w:fill="CFF0FC"/>
          </w:tcPr>
          <w:p>
            <w:pPr>
              <w:spacing w:after="0"/>
              <w:rPr>
                <w:sz w:val="13"/>
                <w:szCs w:val="13"/>
                <w:color w:val="auto"/>
              </w:rPr>
            </w:pPr>
          </w:p>
        </w:tc>
        <w:tc>
          <w:tcPr>
            <w:tcW w:w="900" w:type="dxa"/>
            <w:vAlign w:val="bottom"/>
            <w:shd w:val="clear" w:color="auto" w:fill="CFF0FC"/>
          </w:tcPr>
          <w:p>
            <w:pPr>
              <w:spacing w:after="0"/>
              <w:rPr>
                <w:sz w:val="13"/>
                <w:szCs w:val="13"/>
                <w:color w:val="auto"/>
              </w:rPr>
            </w:pPr>
          </w:p>
        </w:tc>
        <w:tc>
          <w:tcPr>
            <w:tcW w:w="280" w:type="dxa"/>
            <w:vAlign w:val="bottom"/>
            <w:shd w:val="clear" w:color="auto" w:fill="CFF0FC"/>
          </w:tcPr>
          <w:p>
            <w:pPr>
              <w:spacing w:after="0"/>
              <w:rPr>
                <w:sz w:val="13"/>
                <w:szCs w:val="13"/>
                <w:color w:val="auto"/>
              </w:rPr>
            </w:pPr>
          </w:p>
        </w:tc>
        <w:tc>
          <w:tcPr>
            <w:tcW w:w="1240" w:type="dxa"/>
            <w:vAlign w:val="bottom"/>
            <w:shd w:val="clear" w:color="auto" w:fill="CFF0FC"/>
          </w:tcPr>
          <w:p>
            <w:pPr>
              <w:jc w:val="right"/>
              <w:spacing w:after="0" w:line="155" w:lineRule="exact"/>
              <w:rPr>
                <w:sz w:val="20"/>
                <w:szCs w:val="20"/>
                <w:color w:val="auto"/>
              </w:rPr>
            </w:pPr>
            <w:r>
              <w:rPr>
                <w:rFonts w:ascii="Arial" w:cs="Arial" w:eastAsia="Arial" w:hAnsi="Arial"/>
                <w:sz w:val="14"/>
                <w:szCs w:val="14"/>
                <w:color w:val="auto"/>
              </w:rPr>
              <w:t>6,211.7</w:t>
            </w:r>
          </w:p>
        </w:tc>
        <w:tc>
          <w:tcPr>
            <w:tcW w:w="320" w:type="dxa"/>
            <w:vAlign w:val="bottom"/>
            <w:shd w:val="clear" w:color="auto" w:fill="CFF0FC"/>
          </w:tcPr>
          <w:p>
            <w:pPr>
              <w:spacing w:after="0"/>
              <w:rPr>
                <w:sz w:val="13"/>
                <w:szCs w:val="13"/>
                <w:color w:val="auto"/>
              </w:rPr>
            </w:pPr>
          </w:p>
        </w:tc>
        <w:tc>
          <w:tcPr>
            <w:tcW w:w="20" w:type="dxa"/>
            <w:vAlign w:val="bottom"/>
            <w:shd w:val="clear" w:color="auto" w:fill="CFF0FC"/>
          </w:tcPr>
          <w:p>
            <w:pPr>
              <w:spacing w:after="0"/>
              <w:rPr>
                <w:sz w:val="13"/>
                <w:szCs w:val="13"/>
                <w:color w:val="auto"/>
              </w:rPr>
            </w:pPr>
          </w:p>
        </w:tc>
        <w:tc>
          <w:tcPr>
            <w:tcW w:w="200" w:type="dxa"/>
            <w:vAlign w:val="bottom"/>
            <w:shd w:val="clear" w:color="auto" w:fill="CFF0FC"/>
          </w:tcPr>
          <w:p>
            <w:pPr>
              <w:spacing w:after="0"/>
              <w:rPr>
                <w:sz w:val="13"/>
                <w:szCs w:val="13"/>
                <w:color w:val="auto"/>
              </w:rPr>
            </w:pPr>
          </w:p>
        </w:tc>
        <w:tc>
          <w:tcPr>
            <w:tcW w:w="1320" w:type="dxa"/>
            <w:vAlign w:val="bottom"/>
            <w:shd w:val="clear" w:color="auto" w:fill="CFF0FC"/>
          </w:tcPr>
          <w:p>
            <w:pPr>
              <w:jc w:val="right"/>
              <w:spacing w:after="0" w:line="155" w:lineRule="exact"/>
              <w:rPr>
                <w:sz w:val="20"/>
                <w:szCs w:val="20"/>
                <w:color w:val="auto"/>
              </w:rPr>
            </w:pPr>
            <w:r>
              <w:rPr>
                <w:rFonts w:ascii="Arial" w:cs="Arial" w:eastAsia="Arial" w:hAnsi="Arial"/>
                <w:sz w:val="14"/>
                <w:szCs w:val="14"/>
                <w:color w:val="auto"/>
              </w:rPr>
              <w:t>6,012.6</w:t>
            </w:r>
          </w:p>
        </w:tc>
        <w:tc>
          <w:tcPr>
            <w:tcW w:w="120" w:type="dxa"/>
            <w:vAlign w:val="bottom"/>
            <w:shd w:val="clear" w:color="auto" w:fill="CFF0FC"/>
          </w:tcPr>
          <w:p>
            <w:pPr>
              <w:spacing w:after="0"/>
              <w:rPr>
                <w:sz w:val="13"/>
                <w:szCs w:val="13"/>
                <w:color w:val="auto"/>
              </w:rPr>
            </w:pPr>
          </w:p>
        </w:tc>
        <w:tc>
          <w:tcPr>
            <w:tcW w:w="0" w:type="dxa"/>
            <w:vAlign w:val="bottom"/>
          </w:tcPr>
          <w:p>
            <w:pPr>
              <w:spacing w:after="0"/>
              <w:rPr>
                <w:sz w:val="1"/>
                <w:szCs w:val="1"/>
                <w:color w:val="auto"/>
              </w:rPr>
            </w:pPr>
          </w:p>
        </w:tc>
      </w:tr>
      <w:tr>
        <w:trPr>
          <w:trHeight w:val="162"/>
        </w:trPr>
        <w:tc>
          <w:tcPr>
            <w:tcW w:w="6840" w:type="dxa"/>
            <w:vAlign w:val="bottom"/>
            <w:gridSpan w:val="2"/>
          </w:tcPr>
          <w:p>
            <w:pPr>
              <w:ind w:left="500"/>
              <w:spacing w:after="0"/>
              <w:rPr>
                <w:sz w:val="20"/>
                <w:szCs w:val="20"/>
                <w:color w:val="auto"/>
              </w:rPr>
            </w:pPr>
            <w:r>
              <w:rPr>
                <w:rFonts w:ascii="Arial" w:cs="Arial" w:eastAsia="Arial" w:hAnsi="Arial"/>
                <w:sz w:val="14"/>
                <w:szCs w:val="14"/>
                <w:color w:val="auto"/>
              </w:rPr>
              <w:t>Less: cost of common stock in treasury, 9.0 and 6.3 million shares, respectively</w:t>
            </w:r>
          </w:p>
        </w:tc>
        <w:tc>
          <w:tcPr>
            <w:tcW w:w="90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1560" w:type="dxa"/>
            <w:vAlign w:val="bottom"/>
            <w:gridSpan w:val="2"/>
          </w:tcPr>
          <w:p>
            <w:pPr>
              <w:jc w:val="right"/>
              <w:ind w:right="260"/>
              <w:spacing w:after="0"/>
              <w:rPr>
                <w:sz w:val="20"/>
                <w:szCs w:val="20"/>
                <w:color w:val="auto"/>
              </w:rPr>
            </w:pPr>
            <w:r>
              <w:rPr>
                <w:rFonts w:ascii="Arial" w:cs="Arial" w:eastAsia="Arial" w:hAnsi="Arial"/>
                <w:sz w:val="14"/>
                <w:szCs w:val="14"/>
                <w:color w:val="auto"/>
              </w:rPr>
              <w:t>(477.5)</w:t>
            </w:r>
          </w:p>
        </w:tc>
        <w:tc>
          <w:tcPr>
            <w:tcW w:w="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440" w:type="dxa"/>
            <w:vAlign w:val="bottom"/>
            <w:gridSpan w:val="2"/>
          </w:tcPr>
          <w:p>
            <w:pPr>
              <w:jc w:val="right"/>
              <w:ind w:right="80"/>
              <w:spacing w:after="0"/>
              <w:rPr>
                <w:sz w:val="20"/>
                <w:szCs w:val="20"/>
                <w:color w:val="auto"/>
              </w:rPr>
            </w:pPr>
            <w:r>
              <w:rPr>
                <w:rFonts w:ascii="Arial" w:cs="Arial" w:eastAsia="Arial" w:hAnsi="Arial"/>
                <w:sz w:val="14"/>
                <w:szCs w:val="14"/>
                <w:color w:val="auto"/>
              </w:rPr>
              <w:t>(296.1)</w:t>
            </w:r>
          </w:p>
        </w:tc>
        <w:tc>
          <w:tcPr>
            <w:tcW w:w="0" w:type="dxa"/>
            <w:vAlign w:val="bottom"/>
          </w:tcPr>
          <w:p>
            <w:pPr>
              <w:spacing w:after="0"/>
              <w:rPr>
                <w:sz w:val="1"/>
                <w:szCs w:val="1"/>
                <w:color w:val="auto"/>
              </w:rPr>
            </w:pPr>
          </w:p>
        </w:tc>
      </w:tr>
      <w:tr>
        <w:trPr>
          <w:trHeight w:val="155"/>
        </w:trPr>
        <w:tc>
          <w:tcPr>
            <w:tcW w:w="6840" w:type="dxa"/>
            <w:vAlign w:val="bottom"/>
            <w:tcBorders>
              <w:top w:val="single" w:sz="8" w:color="CFF0FC"/>
            </w:tcBorders>
            <w:gridSpan w:val="2"/>
            <w:shd w:val="clear" w:color="auto" w:fill="CFF0FC"/>
          </w:tcPr>
          <w:p>
            <w:pPr>
              <w:spacing w:after="0" w:line="155" w:lineRule="exact"/>
              <w:rPr>
                <w:sz w:val="20"/>
                <w:szCs w:val="20"/>
                <w:color w:val="auto"/>
              </w:rPr>
            </w:pPr>
            <w:r>
              <w:rPr>
                <w:rFonts w:ascii="Arial" w:cs="Arial" w:eastAsia="Arial" w:hAnsi="Arial"/>
                <w:sz w:val="14"/>
                <w:szCs w:val="14"/>
                <w:color w:val="auto"/>
              </w:rPr>
              <w:t>Total stockholders’ equity</w:t>
            </w:r>
          </w:p>
        </w:tc>
        <w:tc>
          <w:tcPr>
            <w:tcW w:w="900" w:type="dxa"/>
            <w:vAlign w:val="bottom"/>
            <w:tcBorders>
              <w:top w:val="single" w:sz="8" w:color="CFF0FC"/>
            </w:tcBorders>
            <w:shd w:val="clear" w:color="auto" w:fill="CFF0FC"/>
          </w:tcPr>
          <w:p>
            <w:pPr>
              <w:spacing w:after="0"/>
              <w:rPr>
                <w:sz w:val="13"/>
                <w:szCs w:val="13"/>
                <w:color w:val="auto"/>
              </w:rPr>
            </w:pPr>
          </w:p>
        </w:tc>
        <w:tc>
          <w:tcPr>
            <w:tcW w:w="280" w:type="dxa"/>
            <w:vAlign w:val="bottom"/>
            <w:tcBorders>
              <w:top w:val="single" w:sz="8" w:color="auto"/>
              <w:bottom w:val="single" w:sz="8" w:color="auto"/>
            </w:tcBorders>
            <w:shd w:val="clear" w:color="auto" w:fill="CFF0FC"/>
          </w:tcPr>
          <w:p>
            <w:pPr>
              <w:spacing w:after="0"/>
              <w:rPr>
                <w:sz w:val="13"/>
                <w:szCs w:val="13"/>
                <w:color w:val="auto"/>
              </w:rPr>
            </w:pPr>
          </w:p>
        </w:tc>
        <w:tc>
          <w:tcPr>
            <w:tcW w:w="1240" w:type="dxa"/>
            <w:vAlign w:val="bottom"/>
            <w:tcBorders>
              <w:top w:val="single" w:sz="8" w:color="auto"/>
              <w:bottom w:val="single" w:sz="8" w:color="auto"/>
            </w:tcBorders>
            <w:shd w:val="clear" w:color="auto" w:fill="CFF0FC"/>
          </w:tcPr>
          <w:p>
            <w:pPr>
              <w:jc w:val="right"/>
              <w:spacing w:after="0" w:line="155" w:lineRule="exact"/>
              <w:rPr>
                <w:sz w:val="20"/>
                <w:szCs w:val="20"/>
                <w:color w:val="auto"/>
              </w:rPr>
            </w:pPr>
            <w:r>
              <w:rPr>
                <w:rFonts w:ascii="Arial" w:cs="Arial" w:eastAsia="Arial" w:hAnsi="Arial"/>
                <w:sz w:val="14"/>
                <w:szCs w:val="14"/>
                <w:color w:val="auto"/>
              </w:rPr>
              <w:t>5,734.2</w:t>
            </w:r>
          </w:p>
        </w:tc>
        <w:tc>
          <w:tcPr>
            <w:tcW w:w="320" w:type="dxa"/>
            <w:vAlign w:val="bottom"/>
            <w:tcBorders>
              <w:top w:val="single" w:sz="8" w:color="CFF0FC"/>
            </w:tcBorders>
            <w:shd w:val="clear" w:color="auto" w:fill="CFF0FC"/>
          </w:tcPr>
          <w:p>
            <w:pPr>
              <w:spacing w:after="0"/>
              <w:rPr>
                <w:sz w:val="13"/>
                <w:szCs w:val="13"/>
                <w:color w:val="auto"/>
              </w:rPr>
            </w:pPr>
          </w:p>
        </w:tc>
        <w:tc>
          <w:tcPr>
            <w:tcW w:w="20" w:type="dxa"/>
            <w:vAlign w:val="bottom"/>
            <w:tcBorders>
              <w:top w:val="single" w:sz="8" w:color="CFF0FC"/>
            </w:tcBorders>
            <w:shd w:val="clear" w:color="auto" w:fill="CFF0FC"/>
          </w:tcPr>
          <w:p>
            <w:pPr>
              <w:spacing w:after="0"/>
              <w:rPr>
                <w:sz w:val="13"/>
                <w:szCs w:val="13"/>
                <w:color w:val="auto"/>
              </w:rPr>
            </w:pPr>
          </w:p>
        </w:tc>
        <w:tc>
          <w:tcPr>
            <w:tcW w:w="200" w:type="dxa"/>
            <w:vAlign w:val="bottom"/>
            <w:tcBorders>
              <w:top w:val="single" w:sz="8" w:color="auto"/>
              <w:bottom w:val="single" w:sz="8" w:color="auto"/>
            </w:tcBorders>
            <w:shd w:val="clear" w:color="auto" w:fill="CFF0FC"/>
          </w:tcPr>
          <w:p>
            <w:pPr>
              <w:spacing w:after="0"/>
              <w:rPr>
                <w:sz w:val="13"/>
                <w:szCs w:val="13"/>
                <w:color w:val="auto"/>
              </w:rPr>
            </w:pPr>
          </w:p>
        </w:tc>
        <w:tc>
          <w:tcPr>
            <w:tcW w:w="1320" w:type="dxa"/>
            <w:vAlign w:val="bottom"/>
            <w:tcBorders>
              <w:top w:val="single" w:sz="8" w:color="auto"/>
              <w:bottom w:val="single" w:sz="8" w:color="auto"/>
            </w:tcBorders>
            <w:shd w:val="clear" w:color="auto" w:fill="CFF0FC"/>
          </w:tcPr>
          <w:p>
            <w:pPr>
              <w:jc w:val="right"/>
              <w:spacing w:after="0" w:line="155" w:lineRule="exact"/>
              <w:rPr>
                <w:sz w:val="20"/>
                <w:szCs w:val="20"/>
                <w:color w:val="auto"/>
              </w:rPr>
            </w:pPr>
            <w:r>
              <w:rPr>
                <w:rFonts w:ascii="Arial" w:cs="Arial" w:eastAsia="Arial" w:hAnsi="Arial"/>
                <w:sz w:val="14"/>
                <w:szCs w:val="14"/>
                <w:color w:val="auto"/>
              </w:rPr>
              <w:t>5,716.5</w:t>
            </w:r>
          </w:p>
        </w:tc>
        <w:tc>
          <w:tcPr>
            <w:tcW w:w="120" w:type="dxa"/>
            <w:vAlign w:val="bottom"/>
            <w:tcBorders>
              <w:top w:val="single" w:sz="8" w:color="CFF0FC"/>
            </w:tcBorders>
            <w:shd w:val="clear" w:color="auto" w:fill="CFF0FC"/>
          </w:tcPr>
          <w:p>
            <w:pPr>
              <w:spacing w:after="0"/>
              <w:rPr>
                <w:sz w:val="13"/>
                <w:szCs w:val="13"/>
                <w:color w:val="auto"/>
              </w:rPr>
            </w:pPr>
          </w:p>
        </w:tc>
        <w:tc>
          <w:tcPr>
            <w:tcW w:w="0" w:type="dxa"/>
            <w:vAlign w:val="bottom"/>
          </w:tcPr>
          <w:p>
            <w:pPr>
              <w:spacing w:after="0"/>
              <w:rPr>
                <w:sz w:val="1"/>
                <w:szCs w:val="1"/>
                <w:color w:val="auto"/>
              </w:rPr>
            </w:pPr>
          </w:p>
        </w:tc>
      </w:tr>
      <w:tr>
        <w:trPr>
          <w:trHeight w:val="156"/>
        </w:trPr>
        <w:tc>
          <w:tcPr>
            <w:tcW w:w="6840" w:type="dxa"/>
            <w:vAlign w:val="bottom"/>
            <w:gridSpan w:val="2"/>
          </w:tcPr>
          <w:p>
            <w:pPr>
              <w:spacing w:after="0" w:line="155" w:lineRule="exact"/>
              <w:rPr>
                <w:sz w:val="20"/>
                <w:szCs w:val="20"/>
                <w:color w:val="auto"/>
              </w:rPr>
            </w:pPr>
            <w:r>
              <w:rPr>
                <w:rFonts w:ascii="Arial" w:cs="Arial" w:eastAsia="Arial" w:hAnsi="Arial"/>
                <w:sz w:val="14"/>
                <w:szCs w:val="14"/>
                <w:color w:val="auto"/>
              </w:rPr>
              <w:t>Total liabilities and stockholders’ equity</w:t>
            </w:r>
          </w:p>
        </w:tc>
        <w:tc>
          <w:tcPr>
            <w:tcW w:w="900" w:type="dxa"/>
            <w:vAlign w:val="bottom"/>
          </w:tcPr>
          <w:p>
            <w:pPr>
              <w:spacing w:after="0"/>
              <w:rPr>
                <w:sz w:val="13"/>
                <w:szCs w:val="13"/>
                <w:color w:val="auto"/>
              </w:rPr>
            </w:pPr>
          </w:p>
        </w:tc>
        <w:tc>
          <w:tcPr>
            <w:tcW w:w="280" w:type="dxa"/>
            <w:vAlign w:val="bottom"/>
            <w:tcBorders>
              <w:bottom w:val="single" w:sz="8" w:color="auto"/>
            </w:tcBorders>
          </w:tcPr>
          <w:p>
            <w:pPr>
              <w:jc w:val="right"/>
              <w:ind w:right="128"/>
              <w:spacing w:after="0" w:line="155" w:lineRule="exact"/>
              <w:rPr>
                <w:sz w:val="20"/>
                <w:szCs w:val="20"/>
                <w:color w:val="auto"/>
              </w:rPr>
            </w:pPr>
            <w:r>
              <w:rPr>
                <w:rFonts w:ascii="Arial" w:cs="Arial" w:eastAsia="Arial" w:hAnsi="Arial"/>
                <w:sz w:val="14"/>
                <w:szCs w:val="14"/>
                <w:color w:val="auto"/>
                <w:w w:val="76"/>
              </w:rPr>
              <w:t>$</w:t>
            </w:r>
          </w:p>
        </w:tc>
        <w:tc>
          <w:tcPr>
            <w:tcW w:w="1240" w:type="dxa"/>
            <w:vAlign w:val="bottom"/>
            <w:tcBorders>
              <w:bottom w:val="single" w:sz="8" w:color="auto"/>
            </w:tcBorders>
          </w:tcPr>
          <w:p>
            <w:pPr>
              <w:jc w:val="right"/>
              <w:spacing w:after="0" w:line="155" w:lineRule="exact"/>
              <w:rPr>
                <w:sz w:val="20"/>
                <w:szCs w:val="20"/>
                <w:color w:val="auto"/>
              </w:rPr>
            </w:pPr>
            <w:r>
              <w:rPr>
                <w:rFonts w:ascii="Arial" w:cs="Arial" w:eastAsia="Arial" w:hAnsi="Arial"/>
                <w:sz w:val="14"/>
                <w:szCs w:val="14"/>
                <w:color w:val="auto"/>
              </w:rPr>
              <w:t>16,689.1</w:t>
            </w:r>
          </w:p>
        </w:tc>
        <w:tc>
          <w:tcPr>
            <w:tcW w:w="320" w:type="dxa"/>
            <w:vAlign w:val="bottom"/>
          </w:tcPr>
          <w:p>
            <w:pPr>
              <w:spacing w:after="0"/>
              <w:rPr>
                <w:sz w:val="13"/>
                <w:szCs w:val="13"/>
                <w:color w:val="auto"/>
              </w:rPr>
            </w:pPr>
          </w:p>
        </w:tc>
        <w:tc>
          <w:tcPr>
            <w:tcW w:w="20" w:type="dxa"/>
            <w:vAlign w:val="bottom"/>
            <w:tcBorders>
              <w:bottom w:val="single" w:sz="8" w:color="auto"/>
            </w:tcBorders>
          </w:tcPr>
          <w:p>
            <w:pPr>
              <w:spacing w:after="0"/>
              <w:rPr>
                <w:sz w:val="13"/>
                <w:szCs w:val="13"/>
                <w:color w:val="auto"/>
              </w:rPr>
            </w:pPr>
          </w:p>
        </w:tc>
        <w:tc>
          <w:tcPr>
            <w:tcW w:w="200" w:type="dxa"/>
            <w:vAlign w:val="bottom"/>
            <w:tcBorders>
              <w:bottom w:val="single" w:sz="8" w:color="auto"/>
            </w:tcBorders>
          </w:tcPr>
          <w:p>
            <w:pPr>
              <w:jc w:val="right"/>
              <w:ind w:right="89"/>
              <w:spacing w:after="0"/>
              <w:rPr>
                <w:sz w:val="20"/>
                <w:szCs w:val="20"/>
                <w:color w:val="auto"/>
              </w:rPr>
            </w:pPr>
            <w:r>
              <w:rPr>
                <w:rFonts w:ascii="Arial" w:cs="Arial" w:eastAsia="Arial" w:hAnsi="Arial"/>
                <w:sz w:val="10"/>
                <w:szCs w:val="10"/>
                <w:color w:val="auto"/>
                <w:w w:val="71"/>
              </w:rPr>
              <w:t>$</w:t>
            </w:r>
          </w:p>
        </w:tc>
        <w:tc>
          <w:tcPr>
            <w:tcW w:w="1320" w:type="dxa"/>
            <w:vAlign w:val="bottom"/>
            <w:tcBorders>
              <w:bottom w:val="single" w:sz="8" w:color="auto"/>
            </w:tcBorders>
          </w:tcPr>
          <w:p>
            <w:pPr>
              <w:jc w:val="right"/>
              <w:spacing w:after="0" w:line="155" w:lineRule="exact"/>
              <w:rPr>
                <w:sz w:val="20"/>
                <w:szCs w:val="20"/>
                <w:color w:val="auto"/>
              </w:rPr>
            </w:pPr>
            <w:r>
              <w:rPr>
                <w:rFonts w:ascii="Arial" w:cs="Arial" w:eastAsia="Arial" w:hAnsi="Arial"/>
                <w:sz w:val="14"/>
                <w:szCs w:val="14"/>
                <w:color w:val="auto"/>
              </w:rPr>
              <w:t>15,923.6</w:t>
            </w:r>
          </w:p>
        </w:tc>
        <w:tc>
          <w:tcPr>
            <w:tcW w:w="1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0"/>
        </w:trPr>
        <w:tc>
          <w:tcPr>
            <w:tcW w:w="940" w:type="dxa"/>
            <w:vAlign w:val="bottom"/>
          </w:tcPr>
          <w:p>
            <w:pPr>
              <w:spacing w:after="0" w:line="20" w:lineRule="exact"/>
              <w:rPr>
                <w:sz w:val="1"/>
                <w:szCs w:val="1"/>
                <w:color w:val="auto"/>
              </w:rPr>
            </w:pPr>
          </w:p>
        </w:tc>
        <w:tc>
          <w:tcPr>
            <w:tcW w:w="590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3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67" w:lineRule="exact"/>
        <w:rPr>
          <w:sz w:val="20"/>
          <w:szCs w:val="20"/>
          <w:color w:val="auto"/>
        </w:rPr>
      </w:pPr>
    </w:p>
    <w:p>
      <w:pPr>
        <w:jc w:val="center"/>
        <w:spacing w:after="0"/>
        <w:rPr>
          <w:sz w:val="20"/>
          <w:szCs w:val="20"/>
          <w:color w:val="auto"/>
        </w:rPr>
      </w:pPr>
      <w:r>
        <w:rPr>
          <w:rFonts w:ascii="Arial" w:cs="Arial" w:eastAsia="Arial" w:hAnsi="Arial"/>
          <w:sz w:val="18"/>
          <w:szCs w:val="18"/>
          <w:i w:val="1"/>
          <w:iCs w:val="1"/>
          <w:color w:val="auto"/>
        </w:rPr>
        <w:t>The accompanying notes are an integral part of these condensed consolidated financial statements.</w:t>
      </w:r>
    </w:p>
    <w:p>
      <w:pPr>
        <w:spacing w:after="0" w:line="30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37" w:right="339" w:bottom="1440" w:gutter="0" w:footer="0" w:header="0"/>
        </w:sectPr>
      </w:pPr>
    </w:p>
    <w:bookmarkStart w:id="3" w:name="page4"/>
    <w:bookmarkEnd w:id="3"/>
    <w:p>
      <w:pPr>
        <w:spacing w:after="0"/>
        <w:rPr>
          <w:sz w:val="20"/>
          <w:szCs w:val="20"/>
          <w:color w:val="auto"/>
        </w:rPr>
      </w:pPr>
      <w:r>
        <w:rPr>
          <w:rFonts w:ascii="Arial" w:cs="Arial" w:eastAsia="Arial" w:hAnsi="Arial"/>
          <w:sz w:val="18"/>
          <w:szCs w:val="18"/>
          <w:b w:val="1"/>
          <w:bCs w:val="1"/>
          <w:color w:val="auto"/>
        </w:rPr>
        <w:t>SS&amp;C TECHNOLOGIES HOLDINGS, INC. AND SUBSIDIARIES</w:t>
      </w:r>
    </w:p>
    <w:p>
      <w:pPr>
        <w:spacing w:after="0" w:line="2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CONDENSED CONSOLIDATED STATEMENTS OF COMPREHENSIVE INCOME (LOSS)</w:t>
      </w:r>
    </w:p>
    <w:p>
      <w:pPr>
        <w:spacing w:after="0" w:line="2"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(In millions, except per share data) (Unaudited)</w:t>
      </w:r>
    </w:p>
    <w:p>
      <w:pPr>
        <w:spacing w:after="0" w:line="269"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662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3120" w:type="dxa"/>
            <w:vAlign w:val="bottom"/>
            <w:tcBorders>
              <w:bottom w:val="single" w:sz="8" w:color="auto"/>
            </w:tcBorders>
            <w:gridSpan w:val="4"/>
          </w:tcPr>
          <w:p>
            <w:pPr>
              <w:jc w:val="right"/>
              <w:ind w:right="205"/>
              <w:spacing w:after="0"/>
              <w:rPr>
                <w:sz w:val="20"/>
                <w:szCs w:val="20"/>
                <w:color w:val="auto"/>
              </w:rPr>
            </w:pPr>
            <w:r>
              <w:rPr>
                <w:rFonts w:ascii="Arial" w:cs="Arial" w:eastAsia="Arial" w:hAnsi="Arial"/>
                <w:sz w:val="14"/>
                <w:szCs w:val="14"/>
                <w:b w:val="1"/>
                <w:bCs w:val="1"/>
                <w:color w:val="auto"/>
              </w:rPr>
              <w:t>Three Months Ended March 31,</w:t>
            </w:r>
          </w:p>
        </w:tc>
        <w:tc>
          <w:tcPr>
            <w:tcW w:w="620" w:type="dxa"/>
            <w:vAlign w:val="bottom"/>
            <w:tcBorders>
              <w:bottom w:val="single" w:sz="8" w:color="auto"/>
            </w:tcBorders>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9"/>
        </w:trPr>
        <w:tc>
          <w:tcPr>
            <w:tcW w:w="6620" w:type="dxa"/>
            <w:vAlign w:val="bottom"/>
            <w:vMerge w:val="restart"/>
          </w:tcPr>
          <w:p>
            <w:pPr>
              <w:spacing w:after="0"/>
              <w:rPr>
                <w:sz w:val="20"/>
                <w:szCs w:val="20"/>
                <w:color w:val="auto"/>
              </w:rPr>
            </w:pPr>
            <w:r>
              <w:rPr>
                <w:rFonts w:ascii="Arial" w:cs="Arial" w:eastAsia="Arial" w:hAnsi="Arial"/>
                <w:sz w:val="16"/>
                <w:szCs w:val="16"/>
                <w:b w:val="1"/>
                <w:bCs w:val="1"/>
                <w:color w:val="auto"/>
              </w:rPr>
              <w:t>Revenues:</w:t>
            </w:r>
          </w:p>
        </w:tc>
        <w:tc>
          <w:tcPr>
            <w:tcW w:w="1880" w:type="dxa"/>
            <w:vAlign w:val="bottom"/>
            <w:gridSpan w:val="2"/>
          </w:tcPr>
          <w:p>
            <w:pPr>
              <w:jc w:val="right"/>
              <w:ind w:right="28"/>
              <w:spacing w:after="0"/>
              <w:rPr>
                <w:sz w:val="20"/>
                <w:szCs w:val="20"/>
                <w:color w:val="auto"/>
              </w:rPr>
            </w:pPr>
            <w:r>
              <w:rPr>
                <w:rFonts w:ascii="Arial" w:cs="Arial" w:eastAsia="Arial" w:hAnsi="Arial"/>
                <w:sz w:val="14"/>
                <w:szCs w:val="14"/>
                <w:b w:val="1"/>
                <w:bCs w:val="1"/>
                <w:color w:val="auto"/>
              </w:rPr>
              <w:t>2021</w:t>
            </w:r>
          </w:p>
        </w:tc>
        <w:tc>
          <w:tcPr>
            <w:tcW w:w="62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1120" w:type="dxa"/>
            <w:vAlign w:val="bottom"/>
          </w:tcPr>
          <w:p>
            <w:pPr>
              <w:jc w:val="right"/>
              <w:ind w:right="45"/>
              <w:spacing w:after="0"/>
              <w:rPr>
                <w:sz w:val="20"/>
                <w:szCs w:val="20"/>
                <w:color w:val="auto"/>
              </w:rPr>
            </w:pPr>
            <w:r>
              <w:rPr>
                <w:rFonts w:ascii="Arial" w:cs="Arial" w:eastAsia="Arial" w:hAnsi="Arial"/>
                <w:sz w:val="14"/>
                <w:szCs w:val="14"/>
                <w:b w:val="1"/>
                <w:bCs w:val="1"/>
                <w:color w:val="auto"/>
              </w:rPr>
              <w:t>2020</w:t>
            </w:r>
          </w:p>
        </w:tc>
        <w:tc>
          <w:tcPr>
            <w:tcW w:w="6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07"/>
        </w:trPr>
        <w:tc>
          <w:tcPr>
            <w:tcW w:w="6620" w:type="dxa"/>
            <w:vAlign w:val="bottom"/>
            <w:vMerge w:val="continue"/>
          </w:tcPr>
          <w:p>
            <w:pPr>
              <w:spacing w:after="0"/>
              <w:rPr>
                <w:sz w:val="17"/>
                <w:szCs w:val="17"/>
                <w:color w:val="auto"/>
              </w:rPr>
            </w:pPr>
          </w:p>
        </w:tc>
        <w:tc>
          <w:tcPr>
            <w:tcW w:w="780" w:type="dxa"/>
            <w:vAlign w:val="bottom"/>
          </w:tcPr>
          <w:p>
            <w:pPr>
              <w:spacing w:after="0"/>
              <w:rPr>
                <w:sz w:val="17"/>
                <w:szCs w:val="17"/>
                <w:color w:val="auto"/>
              </w:rPr>
            </w:pPr>
          </w:p>
        </w:tc>
        <w:tc>
          <w:tcPr>
            <w:tcW w:w="1100" w:type="dxa"/>
            <w:vAlign w:val="bottom"/>
            <w:tcBorders>
              <w:top w:val="single" w:sz="8" w:color="auto"/>
            </w:tcBorders>
          </w:tcPr>
          <w:p>
            <w:pPr>
              <w:spacing w:after="0"/>
              <w:rPr>
                <w:sz w:val="17"/>
                <w:szCs w:val="17"/>
                <w:color w:val="auto"/>
              </w:rPr>
            </w:pPr>
          </w:p>
        </w:tc>
        <w:tc>
          <w:tcPr>
            <w:tcW w:w="620" w:type="dxa"/>
            <w:vAlign w:val="bottom"/>
            <w:tcBorders>
              <w:top w:val="single" w:sz="8" w:color="auto"/>
            </w:tcBorders>
          </w:tcPr>
          <w:p>
            <w:pPr>
              <w:spacing w:after="0"/>
              <w:rPr>
                <w:sz w:val="17"/>
                <w:szCs w:val="17"/>
                <w:color w:val="auto"/>
              </w:rPr>
            </w:pPr>
          </w:p>
        </w:tc>
        <w:tc>
          <w:tcPr>
            <w:tcW w:w="280" w:type="dxa"/>
            <w:vAlign w:val="bottom"/>
          </w:tcPr>
          <w:p>
            <w:pPr>
              <w:spacing w:after="0"/>
              <w:rPr>
                <w:sz w:val="17"/>
                <w:szCs w:val="17"/>
                <w:color w:val="auto"/>
              </w:rPr>
            </w:pPr>
          </w:p>
        </w:tc>
        <w:tc>
          <w:tcPr>
            <w:tcW w:w="1120" w:type="dxa"/>
            <w:vAlign w:val="bottom"/>
            <w:tcBorders>
              <w:top w:val="single" w:sz="8" w:color="auto"/>
            </w:tcBorders>
          </w:tcPr>
          <w:p>
            <w:pPr>
              <w:spacing w:after="0"/>
              <w:rPr>
                <w:sz w:val="17"/>
                <w:szCs w:val="17"/>
                <w:color w:val="auto"/>
              </w:rPr>
            </w:pPr>
          </w:p>
        </w:tc>
        <w:tc>
          <w:tcPr>
            <w:tcW w:w="620" w:type="dxa"/>
            <w:vAlign w:val="bottom"/>
            <w:tcBorders>
              <w:top w:val="single" w:sz="8" w:color="auto"/>
            </w:tcBorders>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9"/>
        </w:trPr>
        <w:tc>
          <w:tcPr>
            <w:tcW w:w="6620" w:type="dxa"/>
            <w:vAlign w:val="bottom"/>
            <w:shd w:val="clear" w:color="auto" w:fill="CFF0FC"/>
          </w:tcPr>
          <w:p>
            <w:pPr>
              <w:ind w:left="260"/>
              <w:spacing w:after="0"/>
              <w:rPr>
                <w:sz w:val="20"/>
                <w:szCs w:val="20"/>
                <w:color w:val="auto"/>
              </w:rPr>
            </w:pPr>
            <w:r>
              <w:rPr>
                <w:rFonts w:ascii="Arial" w:cs="Arial" w:eastAsia="Arial" w:hAnsi="Arial"/>
                <w:sz w:val="16"/>
                <w:szCs w:val="16"/>
                <w:color w:val="auto"/>
              </w:rPr>
              <w:t>Software-enabled services</w:t>
            </w:r>
          </w:p>
        </w:tc>
        <w:tc>
          <w:tcPr>
            <w:tcW w:w="1880" w:type="dxa"/>
            <w:vAlign w:val="bottom"/>
            <w:gridSpan w:val="2"/>
            <w:shd w:val="clear" w:color="auto" w:fill="CFF0FC"/>
          </w:tcPr>
          <w:p>
            <w:pPr>
              <w:jc w:val="right"/>
              <w:ind w:right="948"/>
              <w:spacing w:after="0"/>
              <w:rPr>
                <w:sz w:val="20"/>
                <w:szCs w:val="20"/>
                <w:color w:val="auto"/>
              </w:rPr>
            </w:pPr>
            <w:r>
              <w:rPr>
                <w:rFonts w:ascii="Arial" w:cs="Arial" w:eastAsia="Arial" w:hAnsi="Arial"/>
                <w:sz w:val="16"/>
                <w:szCs w:val="16"/>
                <w:color w:val="auto"/>
              </w:rPr>
              <w:t>$</w:t>
            </w:r>
          </w:p>
        </w:tc>
        <w:tc>
          <w:tcPr>
            <w:tcW w:w="620" w:type="dxa"/>
            <w:vAlign w:val="bottom"/>
            <w:shd w:val="clear" w:color="auto" w:fill="CFF0FC"/>
          </w:tcPr>
          <w:p>
            <w:pPr>
              <w:jc w:val="right"/>
              <w:spacing w:after="0"/>
              <w:rPr>
                <w:sz w:val="20"/>
                <w:szCs w:val="20"/>
                <w:color w:val="auto"/>
              </w:rPr>
            </w:pPr>
            <w:r>
              <w:rPr>
                <w:rFonts w:ascii="Arial" w:cs="Arial" w:eastAsia="Arial" w:hAnsi="Arial"/>
                <w:sz w:val="16"/>
                <w:szCs w:val="16"/>
                <w:color w:val="auto"/>
              </w:rPr>
              <w:t>1,043.4</w:t>
            </w:r>
          </w:p>
        </w:tc>
        <w:tc>
          <w:tcPr>
            <w:tcW w:w="280" w:type="dxa"/>
            <w:vAlign w:val="bottom"/>
            <w:shd w:val="clear" w:color="auto" w:fill="CFF0FC"/>
          </w:tcPr>
          <w:p>
            <w:pPr>
              <w:spacing w:after="0"/>
              <w:rPr>
                <w:sz w:val="19"/>
                <w:szCs w:val="19"/>
                <w:color w:val="auto"/>
              </w:rPr>
            </w:pPr>
          </w:p>
        </w:tc>
        <w:tc>
          <w:tcPr>
            <w:tcW w:w="1120" w:type="dxa"/>
            <w:vAlign w:val="bottom"/>
            <w:shd w:val="clear" w:color="auto" w:fill="CFF0FC"/>
          </w:tcPr>
          <w:p>
            <w:pPr>
              <w:jc w:val="right"/>
              <w:ind w:right="965"/>
              <w:spacing w:after="0"/>
              <w:rPr>
                <w:sz w:val="20"/>
                <w:szCs w:val="20"/>
                <w:color w:val="auto"/>
              </w:rPr>
            </w:pPr>
            <w:r>
              <w:rPr>
                <w:rFonts w:ascii="Arial" w:cs="Arial" w:eastAsia="Arial" w:hAnsi="Arial"/>
                <w:sz w:val="15"/>
                <w:szCs w:val="15"/>
                <w:color w:val="auto"/>
                <w:w w:val="71"/>
              </w:rPr>
              <w:t>$</w:t>
            </w:r>
          </w:p>
        </w:tc>
        <w:tc>
          <w:tcPr>
            <w:tcW w:w="620" w:type="dxa"/>
            <w:vAlign w:val="bottom"/>
            <w:shd w:val="clear" w:color="auto" w:fill="CFF0FC"/>
          </w:tcPr>
          <w:p>
            <w:pPr>
              <w:jc w:val="right"/>
              <w:spacing w:after="0"/>
              <w:rPr>
                <w:sz w:val="20"/>
                <w:szCs w:val="20"/>
                <w:color w:val="auto"/>
              </w:rPr>
            </w:pPr>
            <w:r>
              <w:rPr>
                <w:rFonts w:ascii="Arial" w:cs="Arial" w:eastAsia="Arial" w:hAnsi="Arial"/>
                <w:sz w:val="16"/>
                <w:szCs w:val="16"/>
                <w:color w:val="auto"/>
              </w:rPr>
              <w:t>989.5</w:t>
            </w: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13"/>
        </w:trPr>
        <w:tc>
          <w:tcPr>
            <w:tcW w:w="6620" w:type="dxa"/>
            <w:vAlign w:val="bottom"/>
            <w:tcBorders>
              <w:bottom w:val="single" w:sz="8" w:color="CFF0FC"/>
            </w:tcBorders>
          </w:tcPr>
          <w:p>
            <w:pPr>
              <w:ind w:left="260"/>
              <w:spacing w:after="0"/>
              <w:rPr>
                <w:sz w:val="20"/>
                <w:szCs w:val="20"/>
                <w:color w:val="auto"/>
              </w:rPr>
            </w:pPr>
            <w:r>
              <w:rPr>
                <w:rFonts w:ascii="Arial" w:cs="Arial" w:eastAsia="Arial" w:hAnsi="Arial"/>
                <w:sz w:val="16"/>
                <w:szCs w:val="16"/>
                <w:color w:val="auto"/>
              </w:rPr>
              <w:t>License, maintenance and related</w:t>
            </w:r>
          </w:p>
        </w:tc>
        <w:tc>
          <w:tcPr>
            <w:tcW w:w="780" w:type="dxa"/>
            <w:vAlign w:val="bottom"/>
            <w:tcBorders>
              <w:bottom w:val="single" w:sz="8" w:color="CFF0FC"/>
            </w:tcBorders>
          </w:tcPr>
          <w:p>
            <w:pPr>
              <w:spacing w:after="0"/>
              <w:rPr>
                <w:sz w:val="18"/>
                <w:szCs w:val="18"/>
                <w:color w:val="auto"/>
              </w:rPr>
            </w:pPr>
          </w:p>
        </w:tc>
        <w:tc>
          <w:tcPr>
            <w:tcW w:w="1100" w:type="dxa"/>
            <w:vAlign w:val="bottom"/>
            <w:tcBorders>
              <w:bottom w:val="single" w:sz="8" w:color="auto"/>
            </w:tcBorders>
          </w:tcPr>
          <w:p>
            <w:pPr>
              <w:spacing w:after="0"/>
              <w:rPr>
                <w:sz w:val="18"/>
                <w:szCs w:val="18"/>
                <w:color w:val="auto"/>
              </w:rPr>
            </w:pPr>
          </w:p>
        </w:tc>
        <w:tc>
          <w:tcPr>
            <w:tcW w:w="6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190.0</w:t>
            </w:r>
          </w:p>
        </w:tc>
        <w:tc>
          <w:tcPr>
            <w:tcW w:w="280" w:type="dxa"/>
            <w:vAlign w:val="bottom"/>
            <w:tcBorders>
              <w:bottom w:val="single" w:sz="8" w:color="CFF0FC"/>
            </w:tcBorders>
          </w:tcPr>
          <w:p>
            <w:pPr>
              <w:spacing w:after="0"/>
              <w:rPr>
                <w:sz w:val="18"/>
                <w:szCs w:val="18"/>
                <w:color w:val="auto"/>
              </w:rPr>
            </w:pPr>
          </w:p>
        </w:tc>
        <w:tc>
          <w:tcPr>
            <w:tcW w:w="1120" w:type="dxa"/>
            <w:vAlign w:val="bottom"/>
            <w:tcBorders>
              <w:bottom w:val="single" w:sz="8" w:color="auto"/>
            </w:tcBorders>
          </w:tcPr>
          <w:p>
            <w:pPr>
              <w:spacing w:after="0"/>
              <w:rPr>
                <w:sz w:val="18"/>
                <w:szCs w:val="18"/>
                <w:color w:val="auto"/>
              </w:rPr>
            </w:pPr>
          </w:p>
        </w:tc>
        <w:tc>
          <w:tcPr>
            <w:tcW w:w="6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184.1</w:t>
            </w:r>
          </w:p>
        </w:tc>
        <w:tc>
          <w:tcPr>
            <w:tcW w:w="100" w:type="dxa"/>
            <w:vAlign w:val="bottom"/>
            <w:tcBorders>
              <w:bottom w:val="single" w:sz="8" w:color="CFF0FC"/>
            </w:tcBorders>
          </w:tcPr>
          <w:p>
            <w:pPr>
              <w:spacing w:after="0"/>
              <w:rPr>
                <w:sz w:val="18"/>
                <w:szCs w:val="18"/>
                <w:color w:val="auto"/>
              </w:rPr>
            </w:pPr>
          </w:p>
        </w:tc>
        <w:tc>
          <w:tcPr>
            <w:tcW w:w="0" w:type="dxa"/>
            <w:vAlign w:val="bottom"/>
          </w:tcPr>
          <w:p>
            <w:pPr>
              <w:spacing w:after="0"/>
              <w:rPr>
                <w:sz w:val="1"/>
                <w:szCs w:val="1"/>
                <w:color w:val="auto"/>
              </w:rPr>
            </w:pPr>
          </w:p>
        </w:tc>
      </w:tr>
      <w:tr>
        <w:trPr>
          <w:trHeight w:val="213"/>
        </w:trPr>
        <w:tc>
          <w:tcPr>
            <w:tcW w:w="6620" w:type="dxa"/>
            <w:vAlign w:val="bottom"/>
            <w:shd w:val="clear" w:color="auto" w:fill="CFF0FC"/>
          </w:tcPr>
          <w:p>
            <w:pPr>
              <w:ind w:left="500"/>
              <w:spacing w:after="0"/>
              <w:rPr>
                <w:sz w:val="20"/>
                <w:szCs w:val="20"/>
                <w:color w:val="auto"/>
              </w:rPr>
            </w:pPr>
            <w:r>
              <w:rPr>
                <w:rFonts w:ascii="Arial" w:cs="Arial" w:eastAsia="Arial" w:hAnsi="Arial"/>
                <w:sz w:val="16"/>
                <w:szCs w:val="16"/>
                <w:color w:val="auto"/>
              </w:rPr>
              <w:t>Total revenues</w:t>
            </w:r>
          </w:p>
        </w:tc>
        <w:tc>
          <w:tcPr>
            <w:tcW w:w="780" w:type="dxa"/>
            <w:vAlign w:val="bottom"/>
            <w:shd w:val="clear" w:color="auto" w:fill="CFF0FC"/>
          </w:tcPr>
          <w:p>
            <w:pPr>
              <w:spacing w:after="0"/>
              <w:rPr>
                <w:sz w:val="18"/>
                <w:szCs w:val="18"/>
                <w:color w:val="auto"/>
              </w:rPr>
            </w:pPr>
          </w:p>
        </w:tc>
        <w:tc>
          <w:tcPr>
            <w:tcW w:w="1100" w:type="dxa"/>
            <w:vAlign w:val="bottom"/>
            <w:tcBorders>
              <w:bottom w:val="single" w:sz="8" w:color="auto"/>
            </w:tcBorders>
            <w:shd w:val="clear" w:color="auto" w:fill="CFF0FC"/>
          </w:tcPr>
          <w:p>
            <w:pPr>
              <w:spacing w:after="0"/>
              <w:rPr>
                <w:sz w:val="18"/>
                <w:szCs w:val="18"/>
                <w:color w:val="auto"/>
              </w:rPr>
            </w:pPr>
          </w:p>
        </w:tc>
        <w:tc>
          <w:tcPr>
            <w:tcW w:w="6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6"/>
                <w:szCs w:val="16"/>
                <w:color w:val="auto"/>
              </w:rPr>
              <w:t>1,233.4</w:t>
            </w:r>
          </w:p>
        </w:tc>
        <w:tc>
          <w:tcPr>
            <w:tcW w:w="280" w:type="dxa"/>
            <w:vAlign w:val="bottom"/>
            <w:shd w:val="clear" w:color="auto" w:fill="CFF0FC"/>
          </w:tcPr>
          <w:p>
            <w:pPr>
              <w:spacing w:after="0"/>
              <w:rPr>
                <w:sz w:val="18"/>
                <w:szCs w:val="18"/>
                <w:color w:val="auto"/>
              </w:rPr>
            </w:pPr>
          </w:p>
        </w:tc>
        <w:tc>
          <w:tcPr>
            <w:tcW w:w="1120" w:type="dxa"/>
            <w:vAlign w:val="bottom"/>
            <w:tcBorders>
              <w:bottom w:val="single" w:sz="8" w:color="auto"/>
            </w:tcBorders>
            <w:shd w:val="clear" w:color="auto" w:fill="CFF0FC"/>
          </w:tcPr>
          <w:p>
            <w:pPr>
              <w:spacing w:after="0"/>
              <w:rPr>
                <w:sz w:val="18"/>
                <w:szCs w:val="18"/>
                <w:color w:val="auto"/>
              </w:rPr>
            </w:pPr>
          </w:p>
        </w:tc>
        <w:tc>
          <w:tcPr>
            <w:tcW w:w="6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6"/>
                <w:szCs w:val="16"/>
                <w:color w:val="auto"/>
              </w:rPr>
              <w:t>1,173.6</w:t>
            </w:r>
          </w:p>
        </w:tc>
        <w:tc>
          <w:tcPr>
            <w:tcW w:w="10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06"/>
        </w:trPr>
        <w:tc>
          <w:tcPr>
            <w:tcW w:w="6620" w:type="dxa"/>
            <w:vAlign w:val="bottom"/>
          </w:tcPr>
          <w:p>
            <w:pPr>
              <w:spacing w:after="0"/>
              <w:rPr>
                <w:sz w:val="20"/>
                <w:szCs w:val="20"/>
                <w:color w:val="auto"/>
              </w:rPr>
            </w:pPr>
            <w:r>
              <w:rPr>
                <w:rFonts w:ascii="Arial" w:cs="Arial" w:eastAsia="Arial" w:hAnsi="Arial"/>
                <w:sz w:val="16"/>
                <w:szCs w:val="16"/>
                <w:b w:val="1"/>
                <w:bCs w:val="1"/>
                <w:color w:val="auto"/>
              </w:rPr>
              <w:t>Cost of revenues:</w:t>
            </w:r>
          </w:p>
        </w:tc>
        <w:tc>
          <w:tcPr>
            <w:tcW w:w="780" w:type="dxa"/>
            <w:vAlign w:val="bottom"/>
          </w:tcPr>
          <w:p>
            <w:pPr>
              <w:spacing w:after="0"/>
              <w:rPr>
                <w:sz w:val="17"/>
                <w:szCs w:val="17"/>
                <w:color w:val="auto"/>
              </w:rPr>
            </w:pPr>
          </w:p>
        </w:tc>
        <w:tc>
          <w:tcPr>
            <w:tcW w:w="110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9"/>
        </w:trPr>
        <w:tc>
          <w:tcPr>
            <w:tcW w:w="6620" w:type="dxa"/>
            <w:vAlign w:val="bottom"/>
            <w:shd w:val="clear" w:color="auto" w:fill="CFF0FC"/>
          </w:tcPr>
          <w:p>
            <w:pPr>
              <w:ind w:left="260"/>
              <w:spacing w:after="0"/>
              <w:rPr>
                <w:sz w:val="20"/>
                <w:szCs w:val="20"/>
                <w:color w:val="auto"/>
              </w:rPr>
            </w:pPr>
            <w:r>
              <w:rPr>
                <w:rFonts w:ascii="Arial" w:cs="Arial" w:eastAsia="Arial" w:hAnsi="Arial"/>
                <w:sz w:val="16"/>
                <w:szCs w:val="16"/>
                <w:color w:val="auto"/>
              </w:rPr>
              <w:t>Software-enabled services</w:t>
            </w:r>
          </w:p>
        </w:tc>
        <w:tc>
          <w:tcPr>
            <w:tcW w:w="780" w:type="dxa"/>
            <w:vAlign w:val="bottom"/>
            <w:shd w:val="clear" w:color="auto" w:fill="CFF0FC"/>
          </w:tcPr>
          <w:p>
            <w:pPr>
              <w:spacing w:after="0"/>
              <w:rPr>
                <w:sz w:val="19"/>
                <w:szCs w:val="19"/>
                <w:color w:val="auto"/>
              </w:rPr>
            </w:pPr>
          </w:p>
        </w:tc>
        <w:tc>
          <w:tcPr>
            <w:tcW w:w="1100" w:type="dxa"/>
            <w:vAlign w:val="bottom"/>
            <w:shd w:val="clear" w:color="auto" w:fill="CFF0FC"/>
          </w:tcPr>
          <w:p>
            <w:pPr>
              <w:spacing w:after="0"/>
              <w:rPr>
                <w:sz w:val="19"/>
                <w:szCs w:val="19"/>
                <w:color w:val="auto"/>
              </w:rPr>
            </w:pPr>
          </w:p>
        </w:tc>
        <w:tc>
          <w:tcPr>
            <w:tcW w:w="620" w:type="dxa"/>
            <w:vAlign w:val="bottom"/>
            <w:shd w:val="clear" w:color="auto" w:fill="CFF0FC"/>
          </w:tcPr>
          <w:p>
            <w:pPr>
              <w:jc w:val="right"/>
              <w:spacing w:after="0"/>
              <w:rPr>
                <w:sz w:val="20"/>
                <w:szCs w:val="20"/>
                <w:color w:val="auto"/>
              </w:rPr>
            </w:pPr>
            <w:r>
              <w:rPr>
                <w:rFonts w:ascii="Arial" w:cs="Arial" w:eastAsia="Arial" w:hAnsi="Arial"/>
                <w:sz w:val="16"/>
                <w:szCs w:val="16"/>
                <w:color w:val="auto"/>
              </w:rPr>
              <w:t>595.5</w:t>
            </w:r>
          </w:p>
        </w:tc>
        <w:tc>
          <w:tcPr>
            <w:tcW w:w="280" w:type="dxa"/>
            <w:vAlign w:val="bottom"/>
            <w:shd w:val="clear" w:color="auto" w:fill="CFF0FC"/>
          </w:tcPr>
          <w:p>
            <w:pPr>
              <w:spacing w:after="0"/>
              <w:rPr>
                <w:sz w:val="19"/>
                <w:szCs w:val="19"/>
                <w:color w:val="auto"/>
              </w:rPr>
            </w:pPr>
          </w:p>
        </w:tc>
        <w:tc>
          <w:tcPr>
            <w:tcW w:w="1120" w:type="dxa"/>
            <w:vAlign w:val="bottom"/>
            <w:shd w:val="clear" w:color="auto" w:fill="CFF0FC"/>
          </w:tcPr>
          <w:p>
            <w:pPr>
              <w:spacing w:after="0"/>
              <w:rPr>
                <w:sz w:val="19"/>
                <w:szCs w:val="19"/>
                <w:color w:val="auto"/>
              </w:rPr>
            </w:pPr>
          </w:p>
        </w:tc>
        <w:tc>
          <w:tcPr>
            <w:tcW w:w="620" w:type="dxa"/>
            <w:vAlign w:val="bottom"/>
            <w:shd w:val="clear" w:color="auto" w:fill="CFF0FC"/>
          </w:tcPr>
          <w:p>
            <w:pPr>
              <w:jc w:val="right"/>
              <w:spacing w:after="0"/>
              <w:rPr>
                <w:sz w:val="20"/>
                <w:szCs w:val="20"/>
                <w:color w:val="auto"/>
              </w:rPr>
            </w:pPr>
            <w:r>
              <w:rPr>
                <w:rFonts w:ascii="Arial" w:cs="Arial" w:eastAsia="Arial" w:hAnsi="Arial"/>
                <w:sz w:val="16"/>
                <w:szCs w:val="16"/>
                <w:color w:val="auto"/>
              </w:rPr>
              <w:t>583.5</w:t>
            </w: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13"/>
        </w:trPr>
        <w:tc>
          <w:tcPr>
            <w:tcW w:w="6620" w:type="dxa"/>
            <w:vAlign w:val="bottom"/>
            <w:tcBorders>
              <w:bottom w:val="single" w:sz="8" w:color="CFF0FC"/>
            </w:tcBorders>
          </w:tcPr>
          <w:p>
            <w:pPr>
              <w:ind w:left="260"/>
              <w:spacing w:after="0"/>
              <w:rPr>
                <w:sz w:val="20"/>
                <w:szCs w:val="20"/>
                <w:color w:val="auto"/>
              </w:rPr>
            </w:pPr>
            <w:r>
              <w:rPr>
                <w:rFonts w:ascii="Arial" w:cs="Arial" w:eastAsia="Arial" w:hAnsi="Arial"/>
                <w:sz w:val="16"/>
                <w:szCs w:val="16"/>
                <w:color w:val="auto"/>
              </w:rPr>
              <w:t>License, maintenance and related</w:t>
            </w:r>
          </w:p>
        </w:tc>
        <w:tc>
          <w:tcPr>
            <w:tcW w:w="780" w:type="dxa"/>
            <w:vAlign w:val="bottom"/>
            <w:tcBorders>
              <w:bottom w:val="single" w:sz="8" w:color="CFF0FC"/>
            </w:tcBorders>
          </w:tcPr>
          <w:p>
            <w:pPr>
              <w:spacing w:after="0"/>
              <w:rPr>
                <w:sz w:val="18"/>
                <w:szCs w:val="18"/>
                <w:color w:val="auto"/>
              </w:rPr>
            </w:pPr>
          </w:p>
        </w:tc>
        <w:tc>
          <w:tcPr>
            <w:tcW w:w="1100" w:type="dxa"/>
            <w:vAlign w:val="bottom"/>
            <w:tcBorders>
              <w:bottom w:val="single" w:sz="8" w:color="auto"/>
            </w:tcBorders>
          </w:tcPr>
          <w:p>
            <w:pPr>
              <w:spacing w:after="0"/>
              <w:rPr>
                <w:sz w:val="18"/>
                <w:szCs w:val="18"/>
                <w:color w:val="auto"/>
              </w:rPr>
            </w:pPr>
          </w:p>
        </w:tc>
        <w:tc>
          <w:tcPr>
            <w:tcW w:w="6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78.8</w:t>
            </w:r>
          </w:p>
        </w:tc>
        <w:tc>
          <w:tcPr>
            <w:tcW w:w="280" w:type="dxa"/>
            <w:vAlign w:val="bottom"/>
            <w:tcBorders>
              <w:bottom w:val="single" w:sz="8" w:color="CFF0FC"/>
            </w:tcBorders>
          </w:tcPr>
          <w:p>
            <w:pPr>
              <w:spacing w:after="0"/>
              <w:rPr>
                <w:sz w:val="18"/>
                <w:szCs w:val="18"/>
                <w:color w:val="auto"/>
              </w:rPr>
            </w:pPr>
          </w:p>
        </w:tc>
        <w:tc>
          <w:tcPr>
            <w:tcW w:w="1120" w:type="dxa"/>
            <w:vAlign w:val="bottom"/>
            <w:tcBorders>
              <w:bottom w:val="single" w:sz="8" w:color="auto"/>
            </w:tcBorders>
          </w:tcPr>
          <w:p>
            <w:pPr>
              <w:spacing w:after="0"/>
              <w:rPr>
                <w:sz w:val="18"/>
                <w:szCs w:val="18"/>
                <w:color w:val="auto"/>
              </w:rPr>
            </w:pPr>
          </w:p>
        </w:tc>
        <w:tc>
          <w:tcPr>
            <w:tcW w:w="6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82.1</w:t>
            </w:r>
          </w:p>
        </w:tc>
        <w:tc>
          <w:tcPr>
            <w:tcW w:w="100" w:type="dxa"/>
            <w:vAlign w:val="bottom"/>
            <w:tcBorders>
              <w:bottom w:val="single" w:sz="8" w:color="CFF0FC"/>
            </w:tcBorders>
          </w:tcPr>
          <w:p>
            <w:pPr>
              <w:spacing w:after="0"/>
              <w:rPr>
                <w:sz w:val="18"/>
                <w:szCs w:val="18"/>
                <w:color w:val="auto"/>
              </w:rPr>
            </w:pPr>
          </w:p>
        </w:tc>
        <w:tc>
          <w:tcPr>
            <w:tcW w:w="0" w:type="dxa"/>
            <w:vAlign w:val="bottom"/>
          </w:tcPr>
          <w:p>
            <w:pPr>
              <w:spacing w:after="0"/>
              <w:rPr>
                <w:sz w:val="1"/>
                <w:szCs w:val="1"/>
                <w:color w:val="auto"/>
              </w:rPr>
            </w:pPr>
          </w:p>
        </w:tc>
      </w:tr>
      <w:tr>
        <w:trPr>
          <w:trHeight w:val="213"/>
        </w:trPr>
        <w:tc>
          <w:tcPr>
            <w:tcW w:w="6620" w:type="dxa"/>
            <w:vAlign w:val="bottom"/>
            <w:shd w:val="clear" w:color="auto" w:fill="CFF0FC"/>
          </w:tcPr>
          <w:p>
            <w:pPr>
              <w:ind w:left="500"/>
              <w:spacing w:after="0"/>
              <w:rPr>
                <w:sz w:val="20"/>
                <w:szCs w:val="20"/>
                <w:color w:val="auto"/>
              </w:rPr>
            </w:pPr>
            <w:r>
              <w:rPr>
                <w:rFonts w:ascii="Arial" w:cs="Arial" w:eastAsia="Arial" w:hAnsi="Arial"/>
                <w:sz w:val="16"/>
                <w:szCs w:val="16"/>
                <w:color w:val="auto"/>
              </w:rPr>
              <w:t>Total cost of revenues</w:t>
            </w:r>
          </w:p>
        </w:tc>
        <w:tc>
          <w:tcPr>
            <w:tcW w:w="780" w:type="dxa"/>
            <w:vAlign w:val="bottom"/>
            <w:shd w:val="clear" w:color="auto" w:fill="CFF0FC"/>
          </w:tcPr>
          <w:p>
            <w:pPr>
              <w:spacing w:after="0"/>
              <w:rPr>
                <w:sz w:val="18"/>
                <w:szCs w:val="18"/>
                <w:color w:val="auto"/>
              </w:rPr>
            </w:pPr>
          </w:p>
        </w:tc>
        <w:tc>
          <w:tcPr>
            <w:tcW w:w="1100" w:type="dxa"/>
            <w:vAlign w:val="bottom"/>
            <w:tcBorders>
              <w:bottom w:val="single" w:sz="8" w:color="auto"/>
            </w:tcBorders>
            <w:shd w:val="clear" w:color="auto" w:fill="CFF0FC"/>
          </w:tcPr>
          <w:p>
            <w:pPr>
              <w:spacing w:after="0"/>
              <w:rPr>
                <w:sz w:val="18"/>
                <w:szCs w:val="18"/>
                <w:color w:val="auto"/>
              </w:rPr>
            </w:pPr>
          </w:p>
        </w:tc>
        <w:tc>
          <w:tcPr>
            <w:tcW w:w="6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6"/>
                <w:szCs w:val="16"/>
                <w:color w:val="auto"/>
              </w:rPr>
              <w:t>674.3</w:t>
            </w:r>
          </w:p>
        </w:tc>
        <w:tc>
          <w:tcPr>
            <w:tcW w:w="280" w:type="dxa"/>
            <w:vAlign w:val="bottom"/>
            <w:shd w:val="clear" w:color="auto" w:fill="CFF0FC"/>
          </w:tcPr>
          <w:p>
            <w:pPr>
              <w:spacing w:after="0"/>
              <w:rPr>
                <w:sz w:val="18"/>
                <w:szCs w:val="18"/>
                <w:color w:val="auto"/>
              </w:rPr>
            </w:pPr>
          </w:p>
        </w:tc>
        <w:tc>
          <w:tcPr>
            <w:tcW w:w="1120" w:type="dxa"/>
            <w:vAlign w:val="bottom"/>
            <w:tcBorders>
              <w:bottom w:val="single" w:sz="8" w:color="auto"/>
            </w:tcBorders>
            <w:shd w:val="clear" w:color="auto" w:fill="CFF0FC"/>
          </w:tcPr>
          <w:p>
            <w:pPr>
              <w:spacing w:after="0"/>
              <w:rPr>
                <w:sz w:val="18"/>
                <w:szCs w:val="18"/>
                <w:color w:val="auto"/>
              </w:rPr>
            </w:pPr>
          </w:p>
        </w:tc>
        <w:tc>
          <w:tcPr>
            <w:tcW w:w="6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6"/>
                <w:szCs w:val="16"/>
                <w:color w:val="auto"/>
              </w:rPr>
              <w:t>665.6</w:t>
            </w:r>
          </w:p>
        </w:tc>
        <w:tc>
          <w:tcPr>
            <w:tcW w:w="10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07"/>
        </w:trPr>
        <w:tc>
          <w:tcPr>
            <w:tcW w:w="6620" w:type="dxa"/>
            <w:vAlign w:val="bottom"/>
            <w:tcBorders>
              <w:bottom w:val="single" w:sz="8" w:color="CFF0FC"/>
            </w:tcBorders>
          </w:tcPr>
          <w:p>
            <w:pPr>
              <w:spacing w:after="0"/>
              <w:rPr>
                <w:sz w:val="20"/>
                <w:szCs w:val="20"/>
                <w:color w:val="auto"/>
              </w:rPr>
            </w:pPr>
            <w:r>
              <w:rPr>
                <w:rFonts w:ascii="Arial" w:cs="Arial" w:eastAsia="Arial" w:hAnsi="Arial"/>
                <w:sz w:val="16"/>
                <w:szCs w:val="16"/>
                <w:color w:val="auto"/>
              </w:rPr>
              <w:t>Gross profit</w:t>
            </w:r>
          </w:p>
        </w:tc>
        <w:tc>
          <w:tcPr>
            <w:tcW w:w="780" w:type="dxa"/>
            <w:vAlign w:val="bottom"/>
            <w:tcBorders>
              <w:bottom w:val="single" w:sz="8" w:color="CFF0FC"/>
            </w:tcBorders>
          </w:tcPr>
          <w:p>
            <w:pPr>
              <w:spacing w:after="0"/>
              <w:rPr>
                <w:sz w:val="17"/>
                <w:szCs w:val="17"/>
                <w:color w:val="auto"/>
              </w:rPr>
            </w:pPr>
          </w:p>
        </w:tc>
        <w:tc>
          <w:tcPr>
            <w:tcW w:w="1100" w:type="dxa"/>
            <w:vAlign w:val="bottom"/>
            <w:tcBorders>
              <w:bottom w:val="single" w:sz="8" w:color="auto"/>
            </w:tcBorders>
          </w:tcPr>
          <w:p>
            <w:pPr>
              <w:spacing w:after="0"/>
              <w:rPr>
                <w:sz w:val="17"/>
                <w:szCs w:val="17"/>
                <w:color w:val="auto"/>
              </w:rPr>
            </w:pPr>
          </w:p>
        </w:tc>
        <w:tc>
          <w:tcPr>
            <w:tcW w:w="6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559.1</w:t>
            </w:r>
          </w:p>
        </w:tc>
        <w:tc>
          <w:tcPr>
            <w:tcW w:w="280" w:type="dxa"/>
            <w:vAlign w:val="bottom"/>
            <w:tcBorders>
              <w:bottom w:val="single" w:sz="8" w:color="CFF0FC"/>
            </w:tcBorders>
          </w:tcPr>
          <w:p>
            <w:pPr>
              <w:spacing w:after="0"/>
              <w:rPr>
                <w:sz w:val="17"/>
                <w:szCs w:val="17"/>
                <w:color w:val="auto"/>
              </w:rPr>
            </w:pPr>
          </w:p>
        </w:tc>
        <w:tc>
          <w:tcPr>
            <w:tcW w:w="1120" w:type="dxa"/>
            <w:vAlign w:val="bottom"/>
            <w:tcBorders>
              <w:bottom w:val="single" w:sz="8" w:color="auto"/>
            </w:tcBorders>
          </w:tcPr>
          <w:p>
            <w:pPr>
              <w:spacing w:after="0"/>
              <w:rPr>
                <w:sz w:val="17"/>
                <w:szCs w:val="17"/>
                <w:color w:val="auto"/>
              </w:rPr>
            </w:pPr>
          </w:p>
        </w:tc>
        <w:tc>
          <w:tcPr>
            <w:tcW w:w="6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508.0</w:t>
            </w:r>
          </w:p>
        </w:tc>
        <w:tc>
          <w:tcPr>
            <w:tcW w:w="100" w:type="dxa"/>
            <w:vAlign w:val="bottom"/>
            <w:tcBorders>
              <w:bottom w:val="single" w:sz="8" w:color="CFF0FC"/>
            </w:tcBorders>
          </w:tcPr>
          <w:p>
            <w:pPr>
              <w:spacing w:after="0"/>
              <w:rPr>
                <w:sz w:val="17"/>
                <w:szCs w:val="17"/>
                <w:color w:val="auto"/>
              </w:rPr>
            </w:pPr>
          </w:p>
        </w:tc>
        <w:tc>
          <w:tcPr>
            <w:tcW w:w="0" w:type="dxa"/>
            <w:vAlign w:val="bottom"/>
          </w:tcPr>
          <w:p>
            <w:pPr>
              <w:spacing w:after="0"/>
              <w:rPr>
                <w:sz w:val="1"/>
                <w:szCs w:val="1"/>
                <w:color w:val="auto"/>
              </w:rPr>
            </w:pPr>
          </w:p>
        </w:tc>
      </w:tr>
      <w:tr>
        <w:trPr>
          <w:trHeight w:val="212"/>
        </w:trPr>
        <w:tc>
          <w:tcPr>
            <w:tcW w:w="6620" w:type="dxa"/>
            <w:vAlign w:val="bottom"/>
            <w:shd w:val="clear" w:color="auto" w:fill="CFF0FC"/>
          </w:tcPr>
          <w:p>
            <w:pPr>
              <w:spacing w:after="0"/>
              <w:rPr>
                <w:sz w:val="20"/>
                <w:szCs w:val="20"/>
                <w:color w:val="auto"/>
              </w:rPr>
            </w:pPr>
            <w:r>
              <w:rPr>
                <w:rFonts w:ascii="Arial" w:cs="Arial" w:eastAsia="Arial" w:hAnsi="Arial"/>
                <w:sz w:val="16"/>
                <w:szCs w:val="16"/>
                <w:b w:val="1"/>
                <w:bCs w:val="1"/>
                <w:color w:val="auto"/>
              </w:rPr>
              <w:t>Operating expenses:</w:t>
            </w:r>
          </w:p>
        </w:tc>
        <w:tc>
          <w:tcPr>
            <w:tcW w:w="780" w:type="dxa"/>
            <w:vAlign w:val="bottom"/>
            <w:shd w:val="clear" w:color="auto" w:fill="CFF0FC"/>
          </w:tcPr>
          <w:p>
            <w:pPr>
              <w:spacing w:after="0"/>
              <w:rPr>
                <w:sz w:val="18"/>
                <w:szCs w:val="18"/>
                <w:color w:val="auto"/>
              </w:rPr>
            </w:pPr>
          </w:p>
        </w:tc>
        <w:tc>
          <w:tcPr>
            <w:tcW w:w="1100" w:type="dxa"/>
            <w:vAlign w:val="bottom"/>
            <w:shd w:val="clear" w:color="auto" w:fill="CFF0FC"/>
          </w:tcPr>
          <w:p>
            <w:pPr>
              <w:spacing w:after="0"/>
              <w:rPr>
                <w:sz w:val="18"/>
                <w:szCs w:val="18"/>
                <w:color w:val="auto"/>
              </w:rPr>
            </w:pPr>
          </w:p>
        </w:tc>
        <w:tc>
          <w:tcPr>
            <w:tcW w:w="620" w:type="dxa"/>
            <w:vAlign w:val="bottom"/>
            <w:shd w:val="clear" w:color="auto" w:fill="CFF0FC"/>
          </w:tcPr>
          <w:p>
            <w:pPr>
              <w:spacing w:after="0"/>
              <w:rPr>
                <w:sz w:val="18"/>
                <w:szCs w:val="18"/>
                <w:color w:val="auto"/>
              </w:rPr>
            </w:pPr>
          </w:p>
        </w:tc>
        <w:tc>
          <w:tcPr>
            <w:tcW w:w="280" w:type="dxa"/>
            <w:vAlign w:val="bottom"/>
            <w:shd w:val="clear" w:color="auto" w:fill="CFF0FC"/>
          </w:tcPr>
          <w:p>
            <w:pPr>
              <w:spacing w:after="0"/>
              <w:rPr>
                <w:sz w:val="18"/>
                <w:szCs w:val="18"/>
                <w:color w:val="auto"/>
              </w:rPr>
            </w:pPr>
          </w:p>
        </w:tc>
        <w:tc>
          <w:tcPr>
            <w:tcW w:w="1120" w:type="dxa"/>
            <w:vAlign w:val="bottom"/>
            <w:shd w:val="clear" w:color="auto" w:fill="CFF0FC"/>
          </w:tcPr>
          <w:p>
            <w:pPr>
              <w:spacing w:after="0"/>
              <w:rPr>
                <w:sz w:val="18"/>
                <w:szCs w:val="18"/>
                <w:color w:val="auto"/>
              </w:rPr>
            </w:pPr>
          </w:p>
        </w:tc>
        <w:tc>
          <w:tcPr>
            <w:tcW w:w="62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3"/>
        </w:trPr>
        <w:tc>
          <w:tcPr>
            <w:tcW w:w="6620" w:type="dxa"/>
            <w:vAlign w:val="bottom"/>
          </w:tcPr>
          <w:p>
            <w:pPr>
              <w:ind w:left="260"/>
              <w:spacing w:after="0"/>
              <w:rPr>
                <w:sz w:val="20"/>
                <w:szCs w:val="20"/>
                <w:color w:val="auto"/>
              </w:rPr>
            </w:pPr>
            <w:r>
              <w:rPr>
                <w:rFonts w:ascii="Arial" w:cs="Arial" w:eastAsia="Arial" w:hAnsi="Arial"/>
                <w:sz w:val="16"/>
                <w:szCs w:val="16"/>
                <w:color w:val="auto"/>
              </w:rPr>
              <w:t>Selling and marketing</w:t>
            </w:r>
          </w:p>
        </w:tc>
        <w:tc>
          <w:tcPr>
            <w:tcW w:w="78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620" w:type="dxa"/>
            <w:vAlign w:val="bottom"/>
          </w:tcPr>
          <w:p>
            <w:pPr>
              <w:jc w:val="right"/>
              <w:spacing w:after="0"/>
              <w:rPr>
                <w:sz w:val="20"/>
                <w:szCs w:val="20"/>
                <w:color w:val="auto"/>
              </w:rPr>
            </w:pPr>
            <w:r>
              <w:rPr>
                <w:rFonts w:ascii="Arial" w:cs="Arial" w:eastAsia="Arial" w:hAnsi="Arial"/>
                <w:sz w:val="16"/>
                <w:szCs w:val="16"/>
                <w:color w:val="auto"/>
              </w:rPr>
              <w:t>92.0</w:t>
            </w:r>
          </w:p>
        </w:tc>
        <w:tc>
          <w:tcPr>
            <w:tcW w:w="28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620" w:type="dxa"/>
            <w:vAlign w:val="bottom"/>
          </w:tcPr>
          <w:p>
            <w:pPr>
              <w:jc w:val="right"/>
              <w:spacing w:after="0"/>
              <w:rPr>
                <w:sz w:val="20"/>
                <w:szCs w:val="20"/>
                <w:color w:val="auto"/>
              </w:rPr>
            </w:pPr>
            <w:r>
              <w:rPr>
                <w:rFonts w:ascii="Arial" w:cs="Arial" w:eastAsia="Arial" w:hAnsi="Arial"/>
                <w:sz w:val="16"/>
                <w:szCs w:val="16"/>
                <w:color w:val="auto"/>
              </w:rPr>
              <w:t>91.4</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9"/>
        </w:trPr>
        <w:tc>
          <w:tcPr>
            <w:tcW w:w="6620" w:type="dxa"/>
            <w:vAlign w:val="bottom"/>
            <w:shd w:val="clear" w:color="auto" w:fill="CFF0FC"/>
          </w:tcPr>
          <w:p>
            <w:pPr>
              <w:ind w:left="260"/>
              <w:spacing w:after="0"/>
              <w:rPr>
                <w:sz w:val="20"/>
                <w:szCs w:val="20"/>
                <w:color w:val="auto"/>
              </w:rPr>
            </w:pPr>
            <w:r>
              <w:rPr>
                <w:rFonts w:ascii="Arial" w:cs="Arial" w:eastAsia="Arial" w:hAnsi="Arial"/>
                <w:sz w:val="16"/>
                <w:szCs w:val="16"/>
                <w:color w:val="auto"/>
              </w:rPr>
              <w:t>Research and development</w:t>
            </w:r>
          </w:p>
        </w:tc>
        <w:tc>
          <w:tcPr>
            <w:tcW w:w="780" w:type="dxa"/>
            <w:vAlign w:val="bottom"/>
            <w:shd w:val="clear" w:color="auto" w:fill="CFF0FC"/>
          </w:tcPr>
          <w:p>
            <w:pPr>
              <w:spacing w:after="0"/>
              <w:rPr>
                <w:sz w:val="19"/>
                <w:szCs w:val="19"/>
                <w:color w:val="auto"/>
              </w:rPr>
            </w:pPr>
          </w:p>
        </w:tc>
        <w:tc>
          <w:tcPr>
            <w:tcW w:w="1100" w:type="dxa"/>
            <w:vAlign w:val="bottom"/>
            <w:shd w:val="clear" w:color="auto" w:fill="CFF0FC"/>
          </w:tcPr>
          <w:p>
            <w:pPr>
              <w:spacing w:after="0"/>
              <w:rPr>
                <w:sz w:val="19"/>
                <w:szCs w:val="19"/>
                <w:color w:val="auto"/>
              </w:rPr>
            </w:pPr>
          </w:p>
        </w:tc>
        <w:tc>
          <w:tcPr>
            <w:tcW w:w="620" w:type="dxa"/>
            <w:vAlign w:val="bottom"/>
            <w:shd w:val="clear" w:color="auto" w:fill="CFF0FC"/>
          </w:tcPr>
          <w:p>
            <w:pPr>
              <w:jc w:val="right"/>
              <w:spacing w:after="0"/>
              <w:rPr>
                <w:sz w:val="20"/>
                <w:szCs w:val="20"/>
                <w:color w:val="auto"/>
              </w:rPr>
            </w:pPr>
            <w:r>
              <w:rPr>
                <w:rFonts w:ascii="Arial" w:cs="Arial" w:eastAsia="Arial" w:hAnsi="Arial"/>
                <w:sz w:val="16"/>
                <w:szCs w:val="16"/>
                <w:color w:val="auto"/>
              </w:rPr>
              <w:t>107.9</w:t>
            </w:r>
          </w:p>
        </w:tc>
        <w:tc>
          <w:tcPr>
            <w:tcW w:w="280" w:type="dxa"/>
            <w:vAlign w:val="bottom"/>
            <w:shd w:val="clear" w:color="auto" w:fill="CFF0FC"/>
          </w:tcPr>
          <w:p>
            <w:pPr>
              <w:spacing w:after="0"/>
              <w:rPr>
                <w:sz w:val="19"/>
                <w:szCs w:val="19"/>
                <w:color w:val="auto"/>
              </w:rPr>
            </w:pPr>
          </w:p>
        </w:tc>
        <w:tc>
          <w:tcPr>
            <w:tcW w:w="1120" w:type="dxa"/>
            <w:vAlign w:val="bottom"/>
            <w:shd w:val="clear" w:color="auto" w:fill="CFF0FC"/>
          </w:tcPr>
          <w:p>
            <w:pPr>
              <w:spacing w:after="0"/>
              <w:rPr>
                <w:sz w:val="19"/>
                <w:szCs w:val="19"/>
                <w:color w:val="auto"/>
              </w:rPr>
            </w:pPr>
          </w:p>
        </w:tc>
        <w:tc>
          <w:tcPr>
            <w:tcW w:w="620" w:type="dxa"/>
            <w:vAlign w:val="bottom"/>
            <w:shd w:val="clear" w:color="auto" w:fill="CFF0FC"/>
          </w:tcPr>
          <w:p>
            <w:pPr>
              <w:jc w:val="right"/>
              <w:spacing w:after="0"/>
              <w:rPr>
                <w:sz w:val="20"/>
                <w:szCs w:val="20"/>
                <w:color w:val="auto"/>
              </w:rPr>
            </w:pPr>
            <w:r>
              <w:rPr>
                <w:rFonts w:ascii="Arial" w:cs="Arial" w:eastAsia="Arial" w:hAnsi="Arial"/>
                <w:sz w:val="16"/>
                <w:szCs w:val="16"/>
                <w:color w:val="auto"/>
              </w:rPr>
              <w:t>104.9</w:t>
            </w: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13"/>
        </w:trPr>
        <w:tc>
          <w:tcPr>
            <w:tcW w:w="6620" w:type="dxa"/>
            <w:vAlign w:val="bottom"/>
            <w:tcBorders>
              <w:bottom w:val="single" w:sz="8" w:color="CFF0FC"/>
            </w:tcBorders>
          </w:tcPr>
          <w:p>
            <w:pPr>
              <w:ind w:left="260"/>
              <w:spacing w:after="0"/>
              <w:rPr>
                <w:sz w:val="20"/>
                <w:szCs w:val="20"/>
                <w:color w:val="auto"/>
              </w:rPr>
            </w:pPr>
            <w:r>
              <w:rPr>
                <w:rFonts w:ascii="Arial" w:cs="Arial" w:eastAsia="Arial" w:hAnsi="Arial"/>
                <w:sz w:val="16"/>
                <w:szCs w:val="16"/>
                <w:color w:val="auto"/>
              </w:rPr>
              <w:t>General and administrative</w:t>
            </w:r>
          </w:p>
        </w:tc>
        <w:tc>
          <w:tcPr>
            <w:tcW w:w="780" w:type="dxa"/>
            <w:vAlign w:val="bottom"/>
            <w:tcBorders>
              <w:bottom w:val="single" w:sz="8" w:color="CFF0FC"/>
            </w:tcBorders>
          </w:tcPr>
          <w:p>
            <w:pPr>
              <w:spacing w:after="0"/>
              <w:rPr>
                <w:sz w:val="18"/>
                <w:szCs w:val="18"/>
                <w:color w:val="auto"/>
              </w:rPr>
            </w:pPr>
          </w:p>
        </w:tc>
        <w:tc>
          <w:tcPr>
            <w:tcW w:w="1100" w:type="dxa"/>
            <w:vAlign w:val="bottom"/>
            <w:tcBorders>
              <w:bottom w:val="single" w:sz="8" w:color="auto"/>
            </w:tcBorders>
          </w:tcPr>
          <w:p>
            <w:pPr>
              <w:spacing w:after="0"/>
              <w:rPr>
                <w:sz w:val="18"/>
                <w:szCs w:val="18"/>
                <w:color w:val="auto"/>
              </w:rPr>
            </w:pPr>
          </w:p>
        </w:tc>
        <w:tc>
          <w:tcPr>
            <w:tcW w:w="6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90.1</w:t>
            </w:r>
          </w:p>
        </w:tc>
        <w:tc>
          <w:tcPr>
            <w:tcW w:w="280" w:type="dxa"/>
            <w:vAlign w:val="bottom"/>
            <w:tcBorders>
              <w:bottom w:val="single" w:sz="8" w:color="CFF0FC"/>
            </w:tcBorders>
          </w:tcPr>
          <w:p>
            <w:pPr>
              <w:spacing w:after="0"/>
              <w:rPr>
                <w:sz w:val="18"/>
                <w:szCs w:val="18"/>
                <w:color w:val="auto"/>
              </w:rPr>
            </w:pPr>
          </w:p>
        </w:tc>
        <w:tc>
          <w:tcPr>
            <w:tcW w:w="1120" w:type="dxa"/>
            <w:vAlign w:val="bottom"/>
            <w:tcBorders>
              <w:bottom w:val="single" w:sz="8" w:color="auto"/>
            </w:tcBorders>
          </w:tcPr>
          <w:p>
            <w:pPr>
              <w:spacing w:after="0"/>
              <w:rPr>
                <w:sz w:val="18"/>
                <w:szCs w:val="18"/>
                <w:color w:val="auto"/>
              </w:rPr>
            </w:pPr>
          </w:p>
        </w:tc>
        <w:tc>
          <w:tcPr>
            <w:tcW w:w="6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92.9</w:t>
            </w:r>
          </w:p>
        </w:tc>
        <w:tc>
          <w:tcPr>
            <w:tcW w:w="100" w:type="dxa"/>
            <w:vAlign w:val="bottom"/>
            <w:tcBorders>
              <w:bottom w:val="single" w:sz="8" w:color="CFF0FC"/>
            </w:tcBorders>
          </w:tcPr>
          <w:p>
            <w:pPr>
              <w:spacing w:after="0"/>
              <w:rPr>
                <w:sz w:val="18"/>
                <w:szCs w:val="18"/>
                <w:color w:val="auto"/>
              </w:rPr>
            </w:pPr>
          </w:p>
        </w:tc>
        <w:tc>
          <w:tcPr>
            <w:tcW w:w="0" w:type="dxa"/>
            <w:vAlign w:val="bottom"/>
          </w:tcPr>
          <w:p>
            <w:pPr>
              <w:spacing w:after="0"/>
              <w:rPr>
                <w:sz w:val="1"/>
                <w:szCs w:val="1"/>
                <w:color w:val="auto"/>
              </w:rPr>
            </w:pPr>
          </w:p>
        </w:tc>
      </w:tr>
      <w:tr>
        <w:trPr>
          <w:trHeight w:val="212"/>
        </w:trPr>
        <w:tc>
          <w:tcPr>
            <w:tcW w:w="6620" w:type="dxa"/>
            <w:vAlign w:val="bottom"/>
            <w:shd w:val="clear" w:color="auto" w:fill="CFF0FC"/>
          </w:tcPr>
          <w:p>
            <w:pPr>
              <w:ind w:left="500"/>
              <w:spacing w:after="0"/>
              <w:rPr>
                <w:sz w:val="20"/>
                <w:szCs w:val="20"/>
                <w:color w:val="auto"/>
              </w:rPr>
            </w:pPr>
            <w:r>
              <w:rPr>
                <w:rFonts w:ascii="Arial" w:cs="Arial" w:eastAsia="Arial" w:hAnsi="Arial"/>
                <w:sz w:val="16"/>
                <w:szCs w:val="16"/>
                <w:color w:val="auto"/>
              </w:rPr>
              <w:t>Total operating expenses</w:t>
            </w:r>
          </w:p>
        </w:tc>
        <w:tc>
          <w:tcPr>
            <w:tcW w:w="780" w:type="dxa"/>
            <w:vAlign w:val="bottom"/>
            <w:shd w:val="clear" w:color="auto" w:fill="CFF0FC"/>
          </w:tcPr>
          <w:p>
            <w:pPr>
              <w:spacing w:after="0"/>
              <w:rPr>
                <w:sz w:val="18"/>
                <w:szCs w:val="18"/>
                <w:color w:val="auto"/>
              </w:rPr>
            </w:pPr>
          </w:p>
        </w:tc>
        <w:tc>
          <w:tcPr>
            <w:tcW w:w="1100" w:type="dxa"/>
            <w:vAlign w:val="bottom"/>
            <w:tcBorders>
              <w:bottom w:val="single" w:sz="8" w:color="auto"/>
            </w:tcBorders>
            <w:shd w:val="clear" w:color="auto" w:fill="CFF0FC"/>
          </w:tcPr>
          <w:p>
            <w:pPr>
              <w:spacing w:after="0"/>
              <w:rPr>
                <w:sz w:val="18"/>
                <w:szCs w:val="18"/>
                <w:color w:val="auto"/>
              </w:rPr>
            </w:pPr>
          </w:p>
        </w:tc>
        <w:tc>
          <w:tcPr>
            <w:tcW w:w="6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6"/>
                <w:szCs w:val="16"/>
                <w:color w:val="auto"/>
              </w:rPr>
              <w:t>290.0</w:t>
            </w:r>
          </w:p>
        </w:tc>
        <w:tc>
          <w:tcPr>
            <w:tcW w:w="280" w:type="dxa"/>
            <w:vAlign w:val="bottom"/>
            <w:shd w:val="clear" w:color="auto" w:fill="CFF0FC"/>
          </w:tcPr>
          <w:p>
            <w:pPr>
              <w:spacing w:after="0"/>
              <w:rPr>
                <w:sz w:val="18"/>
                <w:szCs w:val="18"/>
                <w:color w:val="auto"/>
              </w:rPr>
            </w:pPr>
          </w:p>
        </w:tc>
        <w:tc>
          <w:tcPr>
            <w:tcW w:w="1120" w:type="dxa"/>
            <w:vAlign w:val="bottom"/>
            <w:tcBorders>
              <w:bottom w:val="single" w:sz="8" w:color="auto"/>
            </w:tcBorders>
            <w:shd w:val="clear" w:color="auto" w:fill="CFF0FC"/>
          </w:tcPr>
          <w:p>
            <w:pPr>
              <w:spacing w:after="0"/>
              <w:rPr>
                <w:sz w:val="18"/>
                <w:szCs w:val="18"/>
                <w:color w:val="auto"/>
              </w:rPr>
            </w:pPr>
          </w:p>
        </w:tc>
        <w:tc>
          <w:tcPr>
            <w:tcW w:w="6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6"/>
                <w:szCs w:val="16"/>
                <w:color w:val="auto"/>
              </w:rPr>
              <w:t>289.2</w:t>
            </w:r>
          </w:p>
        </w:tc>
        <w:tc>
          <w:tcPr>
            <w:tcW w:w="10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07"/>
        </w:trPr>
        <w:tc>
          <w:tcPr>
            <w:tcW w:w="6620" w:type="dxa"/>
            <w:vAlign w:val="bottom"/>
          </w:tcPr>
          <w:p>
            <w:pPr>
              <w:spacing w:after="0"/>
              <w:rPr>
                <w:sz w:val="20"/>
                <w:szCs w:val="20"/>
                <w:color w:val="auto"/>
              </w:rPr>
            </w:pPr>
            <w:r>
              <w:rPr>
                <w:rFonts w:ascii="Arial" w:cs="Arial" w:eastAsia="Arial" w:hAnsi="Arial"/>
                <w:sz w:val="16"/>
                <w:szCs w:val="16"/>
                <w:color w:val="auto"/>
              </w:rPr>
              <w:t>Operating income</w:t>
            </w:r>
          </w:p>
        </w:tc>
        <w:tc>
          <w:tcPr>
            <w:tcW w:w="780" w:type="dxa"/>
            <w:vAlign w:val="bottom"/>
          </w:tcPr>
          <w:p>
            <w:pPr>
              <w:spacing w:after="0"/>
              <w:rPr>
                <w:sz w:val="17"/>
                <w:szCs w:val="17"/>
                <w:color w:val="auto"/>
              </w:rPr>
            </w:pPr>
          </w:p>
        </w:tc>
        <w:tc>
          <w:tcPr>
            <w:tcW w:w="1100" w:type="dxa"/>
            <w:vAlign w:val="bottom"/>
          </w:tcPr>
          <w:p>
            <w:pPr>
              <w:spacing w:after="0"/>
              <w:rPr>
                <w:sz w:val="17"/>
                <w:szCs w:val="17"/>
                <w:color w:val="auto"/>
              </w:rPr>
            </w:pPr>
          </w:p>
        </w:tc>
        <w:tc>
          <w:tcPr>
            <w:tcW w:w="620" w:type="dxa"/>
            <w:vAlign w:val="bottom"/>
          </w:tcPr>
          <w:p>
            <w:pPr>
              <w:jc w:val="right"/>
              <w:spacing w:after="0"/>
              <w:rPr>
                <w:sz w:val="20"/>
                <w:szCs w:val="20"/>
                <w:color w:val="auto"/>
              </w:rPr>
            </w:pPr>
            <w:r>
              <w:rPr>
                <w:rFonts w:ascii="Arial" w:cs="Arial" w:eastAsia="Arial" w:hAnsi="Arial"/>
                <w:sz w:val="16"/>
                <w:szCs w:val="16"/>
                <w:color w:val="auto"/>
              </w:rPr>
              <w:t>269.1</w:t>
            </w:r>
          </w:p>
        </w:tc>
        <w:tc>
          <w:tcPr>
            <w:tcW w:w="28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620" w:type="dxa"/>
            <w:vAlign w:val="bottom"/>
          </w:tcPr>
          <w:p>
            <w:pPr>
              <w:jc w:val="right"/>
              <w:spacing w:after="0"/>
              <w:rPr>
                <w:sz w:val="20"/>
                <w:szCs w:val="20"/>
                <w:color w:val="auto"/>
              </w:rPr>
            </w:pPr>
            <w:r>
              <w:rPr>
                <w:rFonts w:ascii="Arial" w:cs="Arial" w:eastAsia="Arial" w:hAnsi="Arial"/>
                <w:sz w:val="16"/>
                <w:szCs w:val="16"/>
                <w:color w:val="auto"/>
              </w:rPr>
              <w:t>218.8</w:t>
            </w: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9"/>
        </w:trPr>
        <w:tc>
          <w:tcPr>
            <w:tcW w:w="6620" w:type="dxa"/>
            <w:vAlign w:val="bottom"/>
            <w:shd w:val="clear" w:color="auto" w:fill="CFF0FC"/>
          </w:tcPr>
          <w:p>
            <w:pPr>
              <w:ind w:left="260"/>
              <w:spacing w:after="0"/>
              <w:rPr>
                <w:sz w:val="20"/>
                <w:szCs w:val="20"/>
                <w:color w:val="auto"/>
              </w:rPr>
            </w:pPr>
            <w:r>
              <w:rPr>
                <w:rFonts w:ascii="Arial" w:cs="Arial" w:eastAsia="Arial" w:hAnsi="Arial"/>
                <w:sz w:val="16"/>
                <w:szCs w:val="16"/>
                <w:color w:val="auto"/>
              </w:rPr>
              <w:t>Interest expense, net</w:t>
            </w:r>
          </w:p>
        </w:tc>
        <w:tc>
          <w:tcPr>
            <w:tcW w:w="780" w:type="dxa"/>
            <w:vAlign w:val="bottom"/>
            <w:shd w:val="clear" w:color="auto" w:fill="CFF0FC"/>
          </w:tcPr>
          <w:p>
            <w:pPr>
              <w:spacing w:after="0"/>
              <w:rPr>
                <w:sz w:val="19"/>
                <w:szCs w:val="19"/>
                <w:color w:val="auto"/>
              </w:rPr>
            </w:pPr>
          </w:p>
        </w:tc>
        <w:tc>
          <w:tcPr>
            <w:tcW w:w="1100" w:type="dxa"/>
            <w:vAlign w:val="bottom"/>
            <w:shd w:val="clear" w:color="auto" w:fill="CFF0FC"/>
          </w:tcPr>
          <w:p>
            <w:pPr>
              <w:spacing w:after="0"/>
              <w:rPr>
                <w:sz w:val="19"/>
                <w:szCs w:val="19"/>
                <w:color w:val="auto"/>
              </w:rPr>
            </w:pPr>
          </w:p>
        </w:tc>
        <w:tc>
          <w:tcPr>
            <w:tcW w:w="900" w:type="dxa"/>
            <w:vAlign w:val="bottom"/>
            <w:gridSpan w:val="2"/>
            <w:shd w:val="clear" w:color="auto" w:fill="CFF0FC"/>
          </w:tcPr>
          <w:p>
            <w:pPr>
              <w:jc w:val="right"/>
              <w:ind w:right="220"/>
              <w:spacing w:after="0"/>
              <w:rPr>
                <w:sz w:val="20"/>
                <w:szCs w:val="20"/>
                <w:color w:val="auto"/>
              </w:rPr>
            </w:pPr>
            <w:r>
              <w:rPr>
                <w:rFonts w:ascii="Arial" w:cs="Arial" w:eastAsia="Arial" w:hAnsi="Arial"/>
                <w:sz w:val="16"/>
                <w:szCs w:val="16"/>
                <w:color w:val="auto"/>
              </w:rPr>
              <w:t>(51.4)</w:t>
            </w:r>
          </w:p>
        </w:tc>
        <w:tc>
          <w:tcPr>
            <w:tcW w:w="1120" w:type="dxa"/>
            <w:vAlign w:val="bottom"/>
            <w:shd w:val="clear" w:color="auto" w:fill="CFF0FC"/>
          </w:tcPr>
          <w:p>
            <w:pPr>
              <w:spacing w:after="0"/>
              <w:rPr>
                <w:sz w:val="19"/>
                <w:szCs w:val="19"/>
                <w:color w:val="auto"/>
              </w:rPr>
            </w:pPr>
          </w:p>
        </w:tc>
        <w:tc>
          <w:tcPr>
            <w:tcW w:w="720" w:type="dxa"/>
            <w:vAlign w:val="bottom"/>
            <w:gridSpan w:val="2"/>
            <w:shd w:val="clear" w:color="auto" w:fill="CFF0FC"/>
          </w:tcPr>
          <w:p>
            <w:pPr>
              <w:jc w:val="right"/>
              <w:ind w:right="60"/>
              <w:spacing w:after="0"/>
              <w:rPr>
                <w:sz w:val="20"/>
                <w:szCs w:val="20"/>
                <w:color w:val="auto"/>
              </w:rPr>
            </w:pPr>
            <w:r>
              <w:rPr>
                <w:rFonts w:ascii="Arial" w:cs="Arial" w:eastAsia="Arial" w:hAnsi="Arial"/>
                <w:sz w:val="16"/>
                <w:szCs w:val="16"/>
                <w:color w:val="auto"/>
              </w:rPr>
              <w:t>(77.4)</w:t>
            </w:r>
          </w:p>
        </w:tc>
        <w:tc>
          <w:tcPr>
            <w:tcW w:w="0" w:type="dxa"/>
            <w:vAlign w:val="bottom"/>
          </w:tcPr>
          <w:p>
            <w:pPr>
              <w:spacing w:after="0"/>
              <w:rPr>
                <w:sz w:val="1"/>
                <w:szCs w:val="1"/>
                <w:color w:val="auto"/>
              </w:rPr>
            </w:pPr>
          </w:p>
        </w:tc>
      </w:tr>
      <w:tr>
        <w:trPr>
          <w:trHeight w:val="213"/>
        </w:trPr>
        <w:tc>
          <w:tcPr>
            <w:tcW w:w="6620" w:type="dxa"/>
            <w:vAlign w:val="bottom"/>
          </w:tcPr>
          <w:p>
            <w:pPr>
              <w:ind w:left="260"/>
              <w:spacing w:after="0"/>
              <w:rPr>
                <w:sz w:val="20"/>
                <w:szCs w:val="20"/>
                <w:color w:val="auto"/>
              </w:rPr>
            </w:pPr>
            <w:r>
              <w:rPr>
                <w:rFonts w:ascii="Arial" w:cs="Arial" w:eastAsia="Arial" w:hAnsi="Arial"/>
                <w:sz w:val="16"/>
                <w:szCs w:val="16"/>
                <w:color w:val="auto"/>
              </w:rPr>
              <w:t>Other income (expense), net</w:t>
            </w:r>
          </w:p>
        </w:tc>
        <w:tc>
          <w:tcPr>
            <w:tcW w:w="78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620" w:type="dxa"/>
            <w:vAlign w:val="bottom"/>
          </w:tcPr>
          <w:p>
            <w:pPr>
              <w:jc w:val="right"/>
              <w:spacing w:after="0"/>
              <w:rPr>
                <w:sz w:val="20"/>
                <w:szCs w:val="20"/>
                <w:color w:val="auto"/>
              </w:rPr>
            </w:pPr>
            <w:r>
              <w:rPr>
                <w:rFonts w:ascii="Arial" w:cs="Arial" w:eastAsia="Arial" w:hAnsi="Arial"/>
                <w:sz w:val="16"/>
                <w:szCs w:val="16"/>
                <w:color w:val="auto"/>
              </w:rPr>
              <w:t>18.0</w:t>
            </w:r>
          </w:p>
        </w:tc>
        <w:tc>
          <w:tcPr>
            <w:tcW w:w="28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720" w:type="dxa"/>
            <w:vAlign w:val="bottom"/>
            <w:gridSpan w:val="2"/>
          </w:tcPr>
          <w:p>
            <w:pPr>
              <w:jc w:val="right"/>
              <w:ind w:right="60"/>
              <w:spacing w:after="0"/>
              <w:rPr>
                <w:sz w:val="20"/>
                <w:szCs w:val="20"/>
                <w:color w:val="auto"/>
              </w:rPr>
            </w:pPr>
            <w:r>
              <w:rPr>
                <w:rFonts w:ascii="Arial" w:cs="Arial" w:eastAsia="Arial" w:hAnsi="Arial"/>
                <w:sz w:val="16"/>
                <w:szCs w:val="16"/>
                <w:color w:val="auto"/>
              </w:rPr>
              <w:t>(15.3)</w:t>
            </w:r>
          </w:p>
        </w:tc>
        <w:tc>
          <w:tcPr>
            <w:tcW w:w="0" w:type="dxa"/>
            <w:vAlign w:val="bottom"/>
          </w:tcPr>
          <w:p>
            <w:pPr>
              <w:spacing w:after="0"/>
              <w:rPr>
                <w:sz w:val="1"/>
                <w:szCs w:val="1"/>
                <w:color w:val="auto"/>
              </w:rPr>
            </w:pPr>
          </w:p>
        </w:tc>
      </w:tr>
      <w:tr>
        <w:trPr>
          <w:trHeight w:val="219"/>
        </w:trPr>
        <w:tc>
          <w:tcPr>
            <w:tcW w:w="6620" w:type="dxa"/>
            <w:vAlign w:val="bottom"/>
            <w:shd w:val="clear" w:color="auto" w:fill="CFF0FC"/>
          </w:tcPr>
          <w:p>
            <w:pPr>
              <w:ind w:left="260"/>
              <w:spacing w:after="0"/>
              <w:rPr>
                <w:sz w:val="20"/>
                <w:szCs w:val="20"/>
                <w:color w:val="auto"/>
              </w:rPr>
            </w:pPr>
            <w:r>
              <w:rPr>
                <w:rFonts w:ascii="Arial" w:cs="Arial" w:eastAsia="Arial" w:hAnsi="Arial"/>
                <w:sz w:val="16"/>
                <w:szCs w:val="16"/>
                <w:color w:val="auto"/>
              </w:rPr>
              <w:t>Equity in earnings of unconsolidated affiliates, net</w:t>
            </w:r>
          </w:p>
        </w:tc>
        <w:tc>
          <w:tcPr>
            <w:tcW w:w="780" w:type="dxa"/>
            <w:vAlign w:val="bottom"/>
            <w:shd w:val="clear" w:color="auto" w:fill="CFF0FC"/>
          </w:tcPr>
          <w:p>
            <w:pPr>
              <w:spacing w:after="0"/>
              <w:rPr>
                <w:sz w:val="19"/>
                <w:szCs w:val="19"/>
                <w:color w:val="auto"/>
              </w:rPr>
            </w:pPr>
          </w:p>
        </w:tc>
        <w:tc>
          <w:tcPr>
            <w:tcW w:w="1100" w:type="dxa"/>
            <w:vAlign w:val="bottom"/>
            <w:shd w:val="clear" w:color="auto" w:fill="CFF0FC"/>
          </w:tcPr>
          <w:p>
            <w:pPr>
              <w:spacing w:after="0"/>
              <w:rPr>
                <w:sz w:val="19"/>
                <w:szCs w:val="19"/>
                <w:color w:val="auto"/>
              </w:rPr>
            </w:pPr>
          </w:p>
        </w:tc>
        <w:tc>
          <w:tcPr>
            <w:tcW w:w="620" w:type="dxa"/>
            <w:vAlign w:val="bottom"/>
            <w:shd w:val="clear" w:color="auto" w:fill="CFF0FC"/>
          </w:tcPr>
          <w:p>
            <w:pPr>
              <w:jc w:val="right"/>
              <w:spacing w:after="0"/>
              <w:rPr>
                <w:sz w:val="20"/>
                <w:szCs w:val="20"/>
                <w:color w:val="auto"/>
              </w:rPr>
            </w:pPr>
            <w:r>
              <w:rPr>
                <w:rFonts w:ascii="Arial" w:cs="Arial" w:eastAsia="Arial" w:hAnsi="Arial"/>
                <w:sz w:val="16"/>
                <w:szCs w:val="16"/>
                <w:color w:val="auto"/>
              </w:rPr>
              <w:t>0.3</w:t>
            </w:r>
          </w:p>
        </w:tc>
        <w:tc>
          <w:tcPr>
            <w:tcW w:w="280" w:type="dxa"/>
            <w:vAlign w:val="bottom"/>
            <w:shd w:val="clear" w:color="auto" w:fill="CFF0FC"/>
          </w:tcPr>
          <w:p>
            <w:pPr>
              <w:spacing w:after="0"/>
              <w:rPr>
                <w:sz w:val="19"/>
                <w:szCs w:val="19"/>
                <w:color w:val="auto"/>
              </w:rPr>
            </w:pPr>
          </w:p>
        </w:tc>
        <w:tc>
          <w:tcPr>
            <w:tcW w:w="1120" w:type="dxa"/>
            <w:vAlign w:val="bottom"/>
            <w:shd w:val="clear" w:color="auto" w:fill="CFF0FC"/>
          </w:tcPr>
          <w:p>
            <w:pPr>
              <w:spacing w:after="0"/>
              <w:rPr>
                <w:sz w:val="19"/>
                <w:szCs w:val="19"/>
                <w:color w:val="auto"/>
              </w:rPr>
            </w:pPr>
          </w:p>
        </w:tc>
        <w:tc>
          <w:tcPr>
            <w:tcW w:w="620" w:type="dxa"/>
            <w:vAlign w:val="bottom"/>
            <w:shd w:val="clear" w:color="auto" w:fill="CFF0FC"/>
          </w:tcPr>
          <w:p>
            <w:pPr>
              <w:jc w:val="right"/>
              <w:spacing w:after="0"/>
              <w:rPr>
                <w:sz w:val="20"/>
                <w:szCs w:val="20"/>
                <w:color w:val="auto"/>
              </w:rPr>
            </w:pPr>
            <w:r>
              <w:rPr>
                <w:rFonts w:ascii="Arial" w:cs="Arial" w:eastAsia="Arial" w:hAnsi="Arial"/>
                <w:sz w:val="16"/>
                <w:szCs w:val="16"/>
                <w:color w:val="auto"/>
              </w:rPr>
              <w:t>0.7</w:t>
            </w: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13"/>
        </w:trPr>
        <w:tc>
          <w:tcPr>
            <w:tcW w:w="6620" w:type="dxa"/>
            <w:vAlign w:val="bottom"/>
          </w:tcPr>
          <w:p>
            <w:pPr>
              <w:ind w:left="260"/>
              <w:spacing w:after="0"/>
              <w:rPr>
                <w:sz w:val="20"/>
                <w:szCs w:val="20"/>
                <w:color w:val="auto"/>
              </w:rPr>
            </w:pPr>
            <w:r>
              <w:rPr>
                <w:rFonts w:ascii="Arial" w:cs="Arial" w:eastAsia="Arial" w:hAnsi="Arial"/>
                <w:sz w:val="16"/>
                <w:szCs w:val="16"/>
                <w:color w:val="auto"/>
              </w:rPr>
              <w:t>Loss on extinguishment of debt</w:t>
            </w:r>
          </w:p>
        </w:tc>
        <w:tc>
          <w:tcPr>
            <w:tcW w:w="78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900" w:type="dxa"/>
            <w:vAlign w:val="bottom"/>
            <w:gridSpan w:val="2"/>
          </w:tcPr>
          <w:p>
            <w:pPr>
              <w:jc w:val="right"/>
              <w:ind w:right="220"/>
              <w:spacing w:after="0"/>
              <w:rPr>
                <w:sz w:val="20"/>
                <w:szCs w:val="20"/>
                <w:color w:val="auto"/>
              </w:rPr>
            </w:pPr>
            <w:r>
              <w:rPr>
                <w:rFonts w:ascii="Arial" w:cs="Arial" w:eastAsia="Arial" w:hAnsi="Arial"/>
                <w:sz w:val="16"/>
                <w:szCs w:val="16"/>
                <w:color w:val="auto"/>
              </w:rPr>
              <w:t>(0.3)</w:t>
            </w:r>
          </w:p>
        </w:tc>
        <w:tc>
          <w:tcPr>
            <w:tcW w:w="1120" w:type="dxa"/>
            <w:vAlign w:val="bottom"/>
          </w:tcPr>
          <w:p>
            <w:pPr>
              <w:spacing w:after="0"/>
              <w:rPr>
                <w:sz w:val="18"/>
                <w:szCs w:val="18"/>
                <w:color w:val="auto"/>
              </w:rPr>
            </w:pPr>
          </w:p>
        </w:tc>
        <w:tc>
          <w:tcPr>
            <w:tcW w:w="720" w:type="dxa"/>
            <w:vAlign w:val="bottom"/>
            <w:gridSpan w:val="2"/>
          </w:tcPr>
          <w:p>
            <w:pPr>
              <w:jc w:val="right"/>
              <w:ind w:right="60"/>
              <w:spacing w:after="0"/>
              <w:rPr>
                <w:sz w:val="20"/>
                <w:szCs w:val="20"/>
                <w:color w:val="auto"/>
              </w:rPr>
            </w:pPr>
            <w:r>
              <w:rPr>
                <w:rFonts w:ascii="Arial" w:cs="Arial" w:eastAsia="Arial" w:hAnsi="Arial"/>
                <w:sz w:val="16"/>
                <w:szCs w:val="16"/>
                <w:color w:val="auto"/>
              </w:rPr>
              <w:t>(2.8)</w:t>
            </w:r>
          </w:p>
        </w:tc>
        <w:tc>
          <w:tcPr>
            <w:tcW w:w="0" w:type="dxa"/>
            <w:vAlign w:val="bottom"/>
          </w:tcPr>
          <w:p>
            <w:pPr>
              <w:spacing w:after="0"/>
              <w:rPr>
                <w:sz w:val="1"/>
                <w:szCs w:val="1"/>
                <w:color w:val="auto"/>
              </w:rPr>
            </w:pPr>
          </w:p>
        </w:tc>
      </w:tr>
      <w:tr>
        <w:trPr>
          <w:trHeight w:val="213"/>
        </w:trPr>
        <w:tc>
          <w:tcPr>
            <w:tcW w:w="6620" w:type="dxa"/>
            <w:vAlign w:val="bottom"/>
            <w:tcBorders>
              <w:top w:val="single" w:sz="8" w:color="CFF0FC"/>
            </w:tcBorders>
            <w:shd w:val="clear" w:color="auto" w:fill="CFF0FC"/>
          </w:tcPr>
          <w:p>
            <w:pPr>
              <w:spacing w:after="0"/>
              <w:rPr>
                <w:sz w:val="20"/>
                <w:szCs w:val="20"/>
                <w:color w:val="auto"/>
              </w:rPr>
            </w:pPr>
            <w:r>
              <w:rPr>
                <w:rFonts w:ascii="Arial" w:cs="Arial" w:eastAsia="Arial" w:hAnsi="Arial"/>
                <w:sz w:val="16"/>
                <w:szCs w:val="16"/>
                <w:color w:val="auto"/>
              </w:rPr>
              <w:t>Income before income taxes</w:t>
            </w:r>
          </w:p>
        </w:tc>
        <w:tc>
          <w:tcPr>
            <w:tcW w:w="780" w:type="dxa"/>
            <w:vAlign w:val="bottom"/>
            <w:tcBorders>
              <w:top w:val="single" w:sz="8" w:color="CFF0FC"/>
            </w:tcBorders>
            <w:shd w:val="clear" w:color="auto" w:fill="CFF0FC"/>
          </w:tcPr>
          <w:p>
            <w:pPr>
              <w:spacing w:after="0"/>
              <w:rPr>
                <w:sz w:val="18"/>
                <w:szCs w:val="18"/>
                <w:color w:val="auto"/>
              </w:rPr>
            </w:pPr>
          </w:p>
        </w:tc>
        <w:tc>
          <w:tcPr>
            <w:tcW w:w="1100" w:type="dxa"/>
            <w:vAlign w:val="bottom"/>
            <w:tcBorders>
              <w:top w:val="single" w:sz="8" w:color="auto"/>
            </w:tcBorders>
            <w:shd w:val="clear" w:color="auto" w:fill="CFF0FC"/>
          </w:tcPr>
          <w:p>
            <w:pPr>
              <w:spacing w:after="0"/>
              <w:rPr>
                <w:sz w:val="18"/>
                <w:szCs w:val="18"/>
                <w:color w:val="auto"/>
              </w:rPr>
            </w:pPr>
          </w:p>
        </w:tc>
        <w:tc>
          <w:tcPr>
            <w:tcW w:w="62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6"/>
                <w:szCs w:val="16"/>
                <w:color w:val="auto"/>
              </w:rPr>
              <w:t>235.7</w:t>
            </w:r>
          </w:p>
        </w:tc>
        <w:tc>
          <w:tcPr>
            <w:tcW w:w="280" w:type="dxa"/>
            <w:vAlign w:val="bottom"/>
            <w:tcBorders>
              <w:top w:val="single" w:sz="8" w:color="CFF0FC"/>
            </w:tcBorders>
            <w:shd w:val="clear" w:color="auto" w:fill="CFF0FC"/>
          </w:tcPr>
          <w:p>
            <w:pPr>
              <w:spacing w:after="0"/>
              <w:rPr>
                <w:sz w:val="18"/>
                <w:szCs w:val="18"/>
                <w:color w:val="auto"/>
              </w:rPr>
            </w:pPr>
          </w:p>
        </w:tc>
        <w:tc>
          <w:tcPr>
            <w:tcW w:w="1120" w:type="dxa"/>
            <w:vAlign w:val="bottom"/>
            <w:tcBorders>
              <w:top w:val="single" w:sz="8" w:color="auto"/>
            </w:tcBorders>
            <w:shd w:val="clear" w:color="auto" w:fill="CFF0FC"/>
          </w:tcPr>
          <w:p>
            <w:pPr>
              <w:spacing w:after="0"/>
              <w:rPr>
                <w:sz w:val="18"/>
                <w:szCs w:val="18"/>
                <w:color w:val="auto"/>
              </w:rPr>
            </w:pPr>
          </w:p>
        </w:tc>
        <w:tc>
          <w:tcPr>
            <w:tcW w:w="62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6"/>
                <w:szCs w:val="16"/>
                <w:color w:val="auto"/>
              </w:rPr>
              <w:t>124.0</w:t>
            </w:r>
          </w:p>
        </w:tc>
        <w:tc>
          <w:tcPr>
            <w:tcW w:w="100" w:type="dxa"/>
            <w:vAlign w:val="bottom"/>
            <w:tcBorders>
              <w:top w:val="single" w:sz="8" w:color="CFF0FC"/>
            </w:tcBorders>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3"/>
        </w:trPr>
        <w:tc>
          <w:tcPr>
            <w:tcW w:w="6620" w:type="dxa"/>
            <w:vAlign w:val="bottom"/>
            <w:tcBorders>
              <w:bottom w:val="single" w:sz="8" w:color="CFF0FC"/>
            </w:tcBorders>
          </w:tcPr>
          <w:p>
            <w:pPr>
              <w:ind w:left="260"/>
              <w:spacing w:after="0"/>
              <w:rPr>
                <w:sz w:val="20"/>
                <w:szCs w:val="20"/>
                <w:color w:val="auto"/>
              </w:rPr>
            </w:pPr>
            <w:r>
              <w:rPr>
                <w:rFonts w:ascii="Arial" w:cs="Arial" w:eastAsia="Arial" w:hAnsi="Arial"/>
                <w:sz w:val="16"/>
                <w:szCs w:val="16"/>
                <w:color w:val="auto"/>
              </w:rPr>
              <w:t>Provision for income taxes</w:t>
            </w:r>
          </w:p>
        </w:tc>
        <w:tc>
          <w:tcPr>
            <w:tcW w:w="780" w:type="dxa"/>
            <w:vAlign w:val="bottom"/>
            <w:tcBorders>
              <w:bottom w:val="single" w:sz="8" w:color="CFF0FC"/>
            </w:tcBorders>
          </w:tcPr>
          <w:p>
            <w:pPr>
              <w:spacing w:after="0"/>
              <w:rPr>
                <w:sz w:val="18"/>
                <w:szCs w:val="18"/>
                <w:color w:val="auto"/>
              </w:rPr>
            </w:pPr>
          </w:p>
        </w:tc>
        <w:tc>
          <w:tcPr>
            <w:tcW w:w="1100" w:type="dxa"/>
            <w:vAlign w:val="bottom"/>
            <w:tcBorders>
              <w:bottom w:val="single" w:sz="8" w:color="auto"/>
            </w:tcBorders>
          </w:tcPr>
          <w:p>
            <w:pPr>
              <w:spacing w:after="0"/>
              <w:rPr>
                <w:sz w:val="18"/>
                <w:szCs w:val="18"/>
                <w:color w:val="auto"/>
              </w:rPr>
            </w:pPr>
          </w:p>
        </w:tc>
        <w:tc>
          <w:tcPr>
            <w:tcW w:w="6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60.8</w:t>
            </w:r>
          </w:p>
        </w:tc>
        <w:tc>
          <w:tcPr>
            <w:tcW w:w="280" w:type="dxa"/>
            <w:vAlign w:val="bottom"/>
            <w:tcBorders>
              <w:bottom w:val="single" w:sz="8" w:color="CFF0FC"/>
            </w:tcBorders>
          </w:tcPr>
          <w:p>
            <w:pPr>
              <w:spacing w:after="0"/>
              <w:rPr>
                <w:sz w:val="18"/>
                <w:szCs w:val="18"/>
                <w:color w:val="auto"/>
              </w:rPr>
            </w:pPr>
          </w:p>
        </w:tc>
        <w:tc>
          <w:tcPr>
            <w:tcW w:w="1120" w:type="dxa"/>
            <w:vAlign w:val="bottom"/>
            <w:tcBorders>
              <w:bottom w:val="single" w:sz="8" w:color="auto"/>
            </w:tcBorders>
          </w:tcPr>
          <w:p>
            <w:pPr>
              <w:spacing w:after="0"/>
              <w:rPr>
                <w:sz w:val="18"/>
                <w:szCs w:val="18"/>
                <w:color w:val="auto"/>
              </w:rPr>
            </w:pPr>
          </w:p>
        </w:tc>
        <w:tc>
          <w:tcPr>
            <w:tcW w:w="6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24.8</w:t>
            </w:r>
          </w:p>
        </w:tc>
        <w:tc>
          <w:tcPr>
            <w:tcW w:w="100" w:type="dxa"/>
            <w:vAlign w:val="bottom"/>
            <w:tcBorders>
              <w:bottom w:val="single" w:sz="8" w:color="CFF0FC"/>
            </w:tcBorders>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6620" w:type="dxa"/>
            <w:vAlign w:val="bottom"/>
            <w:shd w:val="clear" w:color="auto" w:fill="CFF0FC"/>
          </w:tcPr>
          <w:p>
            <w:pPr>
              <w:spacing w:after="0"/>
              <w:rPr>
                <w:sz w:val="20"/>
                <w:szCs w:val="20"/>
                <w:color w:val="auto"/>
              </w:rPr>
            </w:pPr>
            <w:r>
              <w:rPr>
                <w:rFonts w:ascii="Arial" w:cs="Arial" w:eastAsia="Arial" w:hAnsi="Arial"/>
                <w:sz w:val="16"/>
                <w:szCs w:val="16"/>
                <w:color w:val="auto"/>
              </w:rPr>
              <w:t>Net income</w:t>
            </w:r>
          </w:p>
        </w:tc>
        <w:tc>
          <w:tcPr>
            <w:tcW w:w="1880" w:type="dxa"/>
            <w:vAlign w:val="bottom"/>
            <w:gridSpan w:val="2"/>
            <w:shd w:val="clear" w:color="auto" w:fill="CFF0FC"/>
          </w:tcPr>
          <w:p>
            <w:pPr>
              <w:jc w:val="right"/>
              <w:ind w:right="948"/>
              <w:spacing w:after="0"/>
              <w:rPr>
                <w:sz w:val="20"/>
                <w:szCs w:val="20"/>
                <w:color w:val="auto"/>
              </w:rPr>
            </w:pPr>
            <w:r>
              <w:rPr>
                <w:rFonts w:ascii="Arial" w:cs="Arial" w:eastAsia="Arial" w:hAnsi="Arial"/>
                <w:sz w:val="16"/>
                <w:szCs w:val="16"/>
                <w:color w:val="auto"/>
              </w:rPr>
              <w:t>$</w:t>
            </w:r>
          </w:p>
        </w:tc>
        <w:tc>
          <w:tcPr>
            <w:tcW w:w="620" w:type="dxa"/>
            <w:vAlign w:val="bottom"/>
            <w:shd w:val="clear" w:color="auto" w:fill="CFF0FC"/>
          </w:tcPr>
          <w:p>
            <w:pPr>
              <w:jc w:val="right"/>
              <w:spacing w:after="0"/>
              <w:rPr>
                <w:sz w:val="20"/>
                <w:szCs w:val="20"/>
                <w:color w:val="auto"/>
              </w:rPr>
            </w:pPr>
            <w:r>
              <w:rPr>
                <w:rFonts w:ascii="Arial" w:cs="Arial" w:eastAsia="Arial" w:hAnsi="Arial"/>
                <w:sz w:val="16"/>
                <w:szCs w:val="16"/>
                <w:color w:val="auto"/>
              </w:rPr>
              <w:t>174.9</w:t>
            </w:r>
          </w:p>
        </w:tc>
        <w:tc>
          <w:tcPr>
            <w:tcW w:w="280" w:type="dxa"/>
            <w:vAlign w:val="bottom"/>
            <w:shd w:val="clear" w:color="auto" w:fill="CFF0FC"/>
          </w:tcPr>
          <w:p>
            <w:pPr>
              <w:spacing w:after="0"/>
              <w:rPr>
                <w:sz w:val="18"/>
                <w:szCs w:val="18"/>
                <w:color w:val="auto"/>
              </w:rPr>
            </w:pPr>
          </w:p>
        </w:tc>
        <w:tc>
          <w:tcPr>
            <w:tcW w:w="1120" w:type="dxa"/>
            <w:vAlign w:val="bottom"/>
            <w:shd w:val="clear" w:color="auto" w:fill="CFF0FC"/>
          </w:tcPr>
          <w:p>
            <w:pPr>
              <w:jc w:val="right"/>
              <w:ind w:right="965"/>
              <w:spacing w:after="0"/>
              <w:rPr>
                <w:sz w:val="20"/>
                <w:szCs w:val="20"/>
                <w:color w:val="auto"/>
              </w:rPr>
            </w:pPr>
            <w:r>
              <w:rPr>
                <w:rFonts w:ascii="Arial" w:cs="Arial" w:eastAsia="Arial" w:hAnsi="Arial"/>
                <w:sz w:val="15"/>
                <w:szCs w:val="15"/>
                <w:color w:val="auto"/>
                <w:w w:val="71"/>
              </w:rPr>
              <w:t>$</w:t>
            </w:r>
          </w:p>
        </w:tc>
        <w:tc>
          <w:tcPr>
            <w:tcW w:w="620" w:type="dxa"/>
            <w:vAlign w:val="bottom"/>
            <w:shd w:val="clear" w:color="auto" w:fill="CFF0FC"/>
          </w:tcPr>
          <w:p>
            <w:pPr>
              <w:jc w:val="right"/>
              <w:spacing w:after="0"/>
              <w:rPr>
                <w:sz w:val="20"/>
                <w:szCs w:val="20"/>
                <w:color w:val="auto"/>
              </w:rPr>
            </w:pPr>
            <w:r>
              <w:rPr>
                <w:rFonts w:ascii="Arial" w:cs="Arial" w:eastAsia="Arial" w:hAnsi="Arial"/>
                <w:sz w:val="16"/>
                <w:szCs w:val="16"/>
                <w:color w:val="auto"/>
              </w:rPr>
              <w:t>99.2</w:t>
            </w:r>
          </w:p>
        </w:tc>
        <w:tc>
          <w:tcPr>
            <w:tcW w:w="10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6620" w:type="dxa"/>
            <w:vAlign w:val="bottom"/>
            <w:tcBorders>
              <w:top w:val="single" w:sz="8" w:color="CFF0FC"/>
            </w:tcBorders>
          </w:tcPr>
          <w:p>
            <w:pPr>
              <w:spacing w:after="0" w:line="20" w:lineRule="exact"/>
              <w:rPr>
                <w:sz w:val="1"/>
                <w:szCs w:val="1"/>
                <w:color w:val="auto"/>
              </w:rPr>
            </w:pPr>
          </w:p>
        </w:tc>
        <w:tc>
          <w:tcPr>
            <w:tcW w:w="780" w:type="dxa"/>
            <w:vAlign w:val="bottom"/>
            <w:tcBorders>
              <w:top w:val="single" w:sz="8" w:color="CFF0FC"/>
            </w:tcBorders>
          </w:tcPr>
          <w:p>
            <w:pPr>
              <w:spacing w:after="0" w:line="20" w:lineRule="exact"/>
              <w:rPr>
                <w:sz w:val="1"/>
                <w:szCs w:val="1"/>
                <w:color w:val="auto"/>
              </w:rPr>
            </w:pPr>
          </w:p>
        </w:tc>
        <w:tc>
          <w:tcPr>
            <w:tcW w:w="1100" w:type="dxa"/>
            <w:vAlign w:val="bottom"/>
            <w:tcBorders>
              <w:top w:val="single" w:sz="8" w:color="auto"/>
              <w:bottom w:val="single" w:sz="8" w:color="auto"/>
            </w:tcBorders>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Borders>
              <w:top w:val="single" w:sz="8" w:color="CFF0FC"/>
            </w:tcBorders>
          </w:tcPr>
          <w:p>
            <w:pPr>
              <w:spacing w:after="0" w:line="20" w:lineRule="exact"/>
              <w:rPr>
                <w:sz w:val="1"/>
                <w:szCs w:val="1"/>
                <w:color w:val="auto"/>
              </w:rPr>
            </w:pPr>
          </w:p>
        </w:tc>
        <w:tc>
          <w:tcPr>
            <w:tcW w:w="1120" w:type="dxa"/>
            <w:vAlign w:val="bottom"/>
            <w:tcBorders>
              <w:top w:val="single" w:sz="8" w:color="auto"/>
              <w:bottom w:val="single" w:sz="8" w:color="auto"/>
            </w:tcBorders>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FF0F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9"/>
        </w:trPr>
        <w:tc>
          <w:tcPr>
            <w:tcW w:w="662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110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6620" w:type="dxa"/>
            <w:vAlign w:val="bottom"/>
            <w:shd w:val="clear" w:color="auto" w:fill="CFF0FC"/>
          </w:tcPr>
          <w:p>
            <w:pPr>
              <w:spacing w:after="0"/>
              <w:rPr>
                <w:sz w:val="20"/>
                <w:szCs w:val="20"/>
                <w:color w:val="auto"/>
              </w:rPr>
            </w:pPr>
            <w:r>
              <w:rPr>
                <w:rFonts w:ascii="Arial" w:cs="Arial" w:eastAsia="Arial" w:hAnsi="Arial"/>
                <w:sz w:val="16"/>
                <w:szCs w:val="16"/>
                <w:color w:val="auto"/>
              </w:rPr>
              <w:t>Basic earnings per share</w:t>
            </w:r>
          </w:p>
        </w:tc>
        <w:tc>
          <w:tcPr>
            <w:tcW w:w="1880" w:type="dxa"/>
            <w:vAlign w:val="bottom"/>
            <w:gridSpan w:val="2"/>
            <w:shd w:val="clear" w:color="auto" w:fill="CFF0FC"/>
          </w:tcPr>
          <w:p>
            <w:pPr>
              <w:jc w:val="right"/>
              <w:ind w:right="948"/>
              <w:spacing w:after="0"/>
              <w:rPr>
                <w:sz w:val="20"/>
                <w:szCs w:val="20"/>
                <w:color w:val="auto"/>
              </w:rPr>
            </w:pPr>
            <w:r>
              <w:rPr>
                <w:rFonts w:ascii="Arial" w:cs="Arial" w:eastAsia="Arial" w:hAnsi="Arial"/>
                <w:sz w:val="16"/>
                <w:szCs w:val="16"/>
                <w:color w:val="auto"/>
              </w:rPr>
              <w:t>$</w:t>
            </w:r>
          </w:p>
        </w:tc>
        <w:tc>
          <w:tcPr>
            <w:tcW w:w="620" w:type="dxa"/>
            <w:vAlign w:val="bottom"/>
            <w:shd w:val="clear" w:color="auto" w:fill="CFF0FC"/>
          </w:tcPr>
          <w:p>
            <w:pPr>
              <w:jc w:val="right"/>
              <w:spacing w:after="0"/>
              <w:rPr>
                <w:sz w:val="20"/>
                <w:szCs w:val="20"/>
                <w:color w:val="auto"/>
              </w:rPr>
            </w:pPr>
            <w:r>
              <w:rPr>
                <w:rFonts w:ascii="Arial" w:cs="Arial" w:eastAsia="Arial" w:hAnsi="Arial"/>
                <w:sz w:val="16"/>
                <w:szCs w:val="16"/>
                <w:color w:val="auto"/>
              </w:rPr>
              <w:t>0.68</w:t>
            </w:r>
          </w:p>
        </w:tc>
        <w:tc>
          <w:tcPr>
            <w:tcW w:w="280" w:type="dxa"/>
            <w:vAlign w:val="bottom"/>
            <w:shd w:val="clear" w:color="auto" w:fill="CFF0FC"/>
          </w:tcPr>
          <w:p>
            <w:pPr>
              <w:spacing w:after="0"/>
              <w:rPr>
                <w:sz w:val="18"/>
                <w:szCs w:val="18"/>
                <w:color w:val="auto"/>
              </w:rPr>
            </w:pPr>
          </w:p>
        </w:tc>
        <w:tc>
          <w:tcPr>
            <w:tcW w:w="1120" w:type="dxa"/>
            <w:vAlign w:val="bottom"/>
            <w:shd w:val="clear" w:color="auto" w:fill="CFF0FC"/>
          </w:tcPr>
          <w:p>
            <w:pPr>
              <w:jc w:val="right"/>
              <w:ind w:right="965"/>
              <w:spacing w:after="0"/>
              <w:rPr>
                <w:sz w:val="20"/>
                <w:szCs w:val="20"/>
                <w:color w:val="auto"/>
              </w:rPr>
            </w:pPr>
            <w:r>
              <w:rPr>
                <w:rFonts w:ascii="Arial" w:cs="Arial" w:eastAsia="Arial" w:hAnsi="Arial"/>
                <w:sz w:val="15"/>
                <w:szCs w:val="15"/>
                <w:color w:val="auto"/>
                <w:w w:val="71"/>
              </w:rPr>
              <w:t>$</w:t>
            </w:r>
          </w:p>
        </w:tc>
        <w:tc>
          <w:tcPr>
            <w:tcW w:w="620" w:type="dxa"/>
            <w:vAlign w:val="bottom"/>
            <w:shd w:val="clear" w:color="auto" w:fill="CFF0FC"/>
          </w:tcPr>
          <w:p>
            <w:pPr>
              <w:jc w:val="right"/>
              <w:spacing w:after="0"/>
              <w:rPr>
                <w:sz w:val="20"/>
                <w:szCs w:val="20"/>
                <w:color w:val="auto"/>
              </w:rPr>
            </w:pPr>
            <w:r>
              <w:rPr>
                <w:rFonts w:ascii="Arial" w:cs="Arial" w:eastAsia="Arial" w:hAnsi="Arial"/>
                <w:sz w:val="16"/>
                <w:szCs w:val="16"/>
                <w:color w:val="auto"/>
              </w:rPr>
              <w:t>0.39</w:t>
            </w:r>
          </w:p>
        </w:tc>
        <w:tc>
          <w:tcPr>
            <w:tcW w:w="10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3"/>
        </w:trPr>
        <w:tc>
          <w:tcPr>
            <w:tcW w:w="6620" w:type="dxa"/>
            <w:vAlign w:val="bottom"/>
          </w:tcPr>
          <w:p>
            <w:pPr>
              <w:spacing w:after="0"/>
              <w:rPr>
                <w:sz w:val="20"/>
                <w:szCs w:val="20"/>
                <w:color w:val="auto"/>
              </w:rPr>
            </w:pPr>
            <w:r>
              <w:rPr>
                <w:rFonts w:ascii="Arial" w:cs="Arial" w:eastAsia="Arial" w:hAnsi="Arial"/>
                <w:sz w:val="16"/>
                <w:szCs w:val="16"/>
                <w:color w:val="auto"/>
              </w:rPr>
              <w:t>Diluted earnings per share</w:t>
            </w:r>
          </w:p>
        </w:tc>
        <w:tc>
          <w:tcPr>
            <w:tcW w:w="1880" w:type="dxa"/>
            <w:vAlign w:val="bottom"/>
            <w:gridSpan w:val="2"/>
          </w:tcPr>
          <w:p>
            <w:pPr>
              <w:jc w:val="right"/>
              <w:ind w:right="948"/>
              <w:spacing w:after="0"/>
              <w:rPr>
                <w:sz w:val="20"/>
                <w:szCs w:val="20"/>
                <w:color w:val="auto"/>
              </w:rPr>
            </w:pPr>
            <w:r>
              <w:rPr>
                <w:rFonts w:ascii="Arial" w:cs="Arial" w:eastAsia="Arial" w:hAnsi="Arial"/>
                <w:sz w:val="16"/>
                <w:szCs w:val="16"/>
                <w:color w:val="auto"/>
              </w:rPr>
              <w:t>$</w:t>
            </w:r>
          </w:p>
        </w:tc>
        <w:tc>
          <w:tcPr>
            <w:tcW w:w="620" w:type="dxa"/>
            <w:vAlign w:val="bottom"/>
          </w:tcPr>
          <w:p>
            <w:pPr>
              <w:jc w:val="right"/>
              <w:spacing w:after="0"/>
              <w:rPr>
                <w:sz w:val="20"/>
                <w:szCs w:val="20"/>
                <w:color w:val="auto"/>
              </w:rPr>
            </w:pPr>
            <w:r>
              <w:rPr>
                <w:rFonts w:ascii="Arial" w:cs="Arial" w:eastAsia="Arial" w:hAnsi="Arial"/>
                <w:sz w:val="16"/>
                <w:szCs w:val="16"/>
                <w:color w:val="auto"/>
              </w:rPr>
              <w:t>0.65</w:t>
            </w:r>
          </w:p>
        </w:tc>
        <w:tc>
          <w:tcPr>
            <w:tcW w:w="280" w:type="dxa"/>
            <w:vAlign w:val="bottom"/>
          </w:tcPr>
          <w:p>
            <w:pPr>
              <w:spacing w:after="0"/>
              <w:rPr>
                <w:sz w:val="18"/>
                <w:szCs w:val="18"/>
                <w:color w:val="auto"/>
              </w:rPr>
            </w:pPr>
          </w:p>
        </w:tc>
        <w:tc>
          <w:tcPr>
            <w:tcW w:w="1120" w:type="dxa"/>
            <w:vAlign w:val="bottom"/>
          </w:tcPr>
          <w:p>
            <w:pPr>
              <w:jc w:val="right"/>
              <w:ind w:right="965"/>
              <w:spacing w:after="0"/>
              <w:rPr>
                <w:sz w:val="20"/>
                <w:szCs w:val="20"/>
                <w:color w:val="auto"/>
              </w:rPr>
            </w:pPr>
            <w:r>
              <w:rPr>
                <w:rFonts w:ascii="Arial" w:cs="Arial" w:eastAsia="Arial" w:hAnsi="Arial"/>
                <w:sz w:val="15"/>
                <w:szCs w:val="15"/>
                <w:color w:val="auto"/>
                <w:w w:val="71"/>
              </w:rPr>
              <w:t>$</w:t>
            </w:r>
          </w:p>
        </w:tc>
        <w:tc>
          <w:tcPr>
            <w:tcW w:w="620" w:type="dxa"/>
            <w:vAlign w:val="bottom"/>
          </w:tcPr>
          <w:p>
            <w:pPr>
              <w:jc w:val="right"/>
              <w:spacing w:after="0"/>
              <w:rPr>
                <w:sz w:val="20"/>
                <w:szCs w:val="20"/>
                <w:color w:val="auto"/>
              </w:rPr>
            </w:pPr>
            <w:r>
              <w:rPr>
                <w:rFonts w:ascii="Arial" w:cs="Arial" w:eastAsia="Arial" w:hAnsi="Arial"/>
                <w:sz w:val="16"/>
                <w:szCs w:val="16"/>
                <w:color w:val="auto"/>
              </w:rPr>
              <w:t>0.37</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9"/>
        </w:trPr>
        <w:tc>
          <w:tcPr>
            <w:tcW w:w="6620" w:type="dxa"/>
            <w:vAlign w:val="bottom"/>
            <w:shd w:val="clear" w:color="auto" w:fill="CFF0FC"/>
          </w:tcPr>
          <w:p>
            <w:pPr>
              <w:spacing w:after="0"/>
              <w:rPr>
                <w:sz w:val="19"/>
                <w:szCs w:val="19"/>
                <w:color w:val="auto"/>
              </w:rPr>
            </w:pPr>
          </w:p>
        </w:tc>
        <w:tc>
          <w:tcPr>
            <w:tcW w:w="780" w:type="dxa"/>
            <w:vAlign w:val="bottom"/>
            <w:shd w:val="clear" w:color="auto" w:fill="CFF0FC"/>
          </w:tcPr>
          <w:p>
            <w:pPr>
              <w:spacing w:after="0"/>
              <w:rPr>
                <w:sz w:val="19"/>
                <w:szCs w:val="19"/>
                <w:color w:val="auto"/>
              </w:rPr>
            </w:pPr>
          </w:p>
        </w:tc>
        <w:tc>
          <w:tcPr>
            <w:tcW w:w="1100" w:type="dxa"/>
            <w:vAlign w:val="bottom"/>
            <w:shd w:val="clear" w:color="auto" w:fill="CFF0FC"/>
          </w:tcPr>
          <w:p>
            <w:pPr>
              <w:spacing w:after="0"/>
              <w:rPr>
                <w:sz w:val="19"/>
                <w:szCs w:val="19"/>
                <w:color w:val="auto"/>
              </w:rPr>
            </w:pPr>
          </w:p>
        </w:tc>
        <w:tc>
          <w:tcPr>
            <w:tcW w:w="620" w:type="dxa"/>
            <w:vAlign w:val="bottom"/>
            <w:shd w:val="clear" w:color="auto" w:fill="CFF0FC"/>
          </w:tcPr>
          <w:p>
            <w:pPr>
              <w:spacing w:after="0"/>
              <w:rPr>
                <w:sz w:val="19"/>
                <w:szCs w:val="19"/>
                <w:color w:val="auto"/>
              </w:rPr>
            </w:pPr>
          </w:p>
        </w:tc>
        <w:tc>
          <w:tcPr>
            <w:tcW w:w="280" w:type="dxa"/>
            <w:vAlign w:val="bottom"/>
            <w:shd w:val="clear" w:color="auto" w:fill="CFF0FC"/>
          </w:tcPr>
          <w:p>
            <w:pPr>
              <w:spacing w:after="0"/>
              <w:rPr>
                <w:sz w:val="19"/>
                <w:szCs w:val="19"/>
                <w:color w:val="auto"/>
              </w:rPr>
            </w:pPr>
          </w:p>
        </w:tc>
        <w:tc>
          <w:tcPr>
            <w:tcW w:w="1120" w:type="dxa"/>
            <w:vAlign w:val="bottom"/>
            <w:shd w:val="clear" w:color="auto" w:fill="CFF0FC"/>
          </w:tcPr>
          <w:p>
            <w:pPr>
              <w:spacing w:after="0"/>
              <w:rPr>
                <w:sz w:val="19"/>
                <w:szCs w:val="19"/>
                <w:color w:val="auto"/>
              </w:rPr>
            </w:pPr>
          </w:p>
        </w:tc>
        <w:tc>
          <w:tcPr>
            <w:tcW w:w="62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13"/>
        </w:trPr>
        <w:tc>
          <w:tcPr>
            <w:tcW w:w="6620" w:type="dxa"/>
            <w:vAlign w:val="bottom"/>
          </w:tcPr>
          <w:p>
            <w:pPr>
              <w:spacing w:after="0"/>
              <w:rPr>
                <w:sz w:val="20"/>
                <w:szCs w:val="20"/>
                <w:color w:val="auto"/>
              </w:rPr>
            </w:pPr>
            <w:r>
              <w:rPr>
                <w:rFonts w:ascii="Arial" w:cs="Arial" w:eastAsia="Arial" w:hAnsi="Arial"/>
                <w:sz w:val="16"/>
                <w:szCs w:val="16"/>
                <w:color w:val="auto"/>
              </w:rPr>
              <w:t>Basic weighted-average number of common shares outstanding</w:t>
            </w:r>
          </w:p>
        </w:tc>
        <w:tc>
          <w:tcPr>
            <w:tcW w:w="78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620" w:type="dxa"/>
            <w:vAlign w:val="bottom"/>
          </w:tcPr>
          <w:p>
            <w:pPr>
              <w:jc w:val="right"/>
              <w:spacing w:after="0"/>
              <w:rPr>
                <w:sz w:val="20"/>
                <w:szCs w:val="20"/>
                <w:color w:val="auto"/>
              </w:rPr>
            </w:pPr>
            <w:r>
              <w:rPr>
                <w:rFonts w:ascii="Arial" w:cs="Arial" w:eastAsia="Arial" w:hAnsi="Arial"/>
                <w:sz w:val="16"/>
                <w:szCs w:val="16"/>
                <w:color w:val="auto"/>
              </w:rPr>
              <w:t>257.0</w:t>
            </w:r>
          </w:p>
        </w:tc>
        <w:tc>
          <w:tcPr>
            <w:tcW w:w="28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620" w:type="dxa"/>
            <w:vAlign w:val="bottom"/>
          </w:tcPr>
          <w:p>
            <w:pPr>
              <w:jc w:val="right"/>
              <w:spacing w:after="0"/>
              <w:rPr>
                <w:sz w:val="20"/>
                <w:szCs w:val="20"/>
                <w:color w:val="auto"/>
              </w:rPr>
            </w:pPr>
            <w:r>
              <w:rPr>
                <w:rFonts w:ascii="Arial" w:cs="Arial" w:eastAsia="Arial" w:hAnsi="Arial"/>
                <w:sz w:val="16"/>
                <w:szCs w:val="16"/>
                <w:color w:val="auto"/>
              </w:rPr>
              <w:t>255.3</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9"/>
        </w:trPr>
        <w:tc>
          <w:tcPr>
            <w:tcW w:w="6620" w:type="dxa"/>
            <w:vAlign w:val="bottom"/>
            <w:shd w:val="clear" w:color="auto" w:fill="CFF0FC"/>
          </w:tcPr>
          <w:p>
            <w:pPr>
              <w:spacing w:after="0"/>
              <w:rPr>
                <w:sz w:val="20"/>
                <w:szCs w:val="20"/>
                <w:color w:val="auto"/>
              </w:rPr>
            </w:pPr>
            <w:r>
              <w:rPr>
                <w:rFonts w:ascii="Arial" w:cs="Arial" w:eastAsia="Arial" w:hAnsi="Arial"/>
                <w:sz w:val="16"/>
                <w:szCs w:val="16"/>
                <w:color w:val="auto"/>
              </w:rPr>
              <w:t>Diluted weighted-average number of common and common equivalent shares outstanding</w:t>
            </w:r>
          </w:p>
        </w:tc>
        <w:tc>
          <w:tcPr>
            <w:tcW w:w="780" w:type="dxa"/>
            <w:vAlign w:val="bottom"/>
            <w:shd w:val="clear" w:color="auto" w:fill="CFF0FC"/>
          </w:tcPr>
          <w:p>
            <w:pPr>
              <w:spacing w:after="0"/>
              <w:rPr>
                <w:sz w:val="19"/>
                <w:szCs w:val="19"/>
                <w:color w:val="auto"/>
              </w:rPr>
            </w:pPr>
          </w:p>
        </w:tc>
        <w:tc>
          <w:tcPr>
            <w:tcW w:w="1100" w:type="dxa"/>
            <w:vAlign w:val="bottom"/>
            <w:shd w:val="clear" w:color="auto" w:fill="CFF0FC"/>
          </w:tcPr>
          <w:p>
            <w:pPr>
              <w:spacing w:after="0"/>
              <w:rPr>
                <w:sz w:val="19"/>
                <w:szCs w:val="19"/>
                <w:color w:val="auto"/>
              </w:rPr>
            </w:pPr>
          </w:p>
        </w:tc>
        <w:tc>
          <w:tcPr>
            <w:tcW w:w="620" w:type="dxa"/>
            <w:vAlign w:val="bottom"/>
            <w:shd w:val="clear" w:color="auto" w:fill="CFF0FC"/>
          </w:tcPr>
          <w:p>
            <w:pPr>
              <w:jc w:val="right"/>
              <w:spacing w:after="0"/>
              <w:rPr>
                <w:sz w:val="20"/>
                <w:szCs w:val="20"/>
                <w:color w:val="auto"/>
              </w:rPr>
            </w:pPr>
            <w:r>
              <w:rPr>
                <w:rFonts w:ascii="Arial" w:cs="Arial" w:eastAsia="Arial" w:hAnsi="Arial"/>
                <w:sz w:val="16"/>
                <w:szCs w:val="16"/>
                <w:color w:val="auto"/>
              </w:rPr>
              <w:t>268.1</w:t>
            </w:r>
          </w:p>
        </w:tc>
        <w:tc>
          <w:tcPr>
            <w:tcW w:w="280" w:type="dxa"/>
            <w:vAlign w:val="bottom"/>
            <w:shd w:val="clear" w:color="auto" w:fill="CFF0FC"/>
          </w:tcPr>
          <w:p>
            <w:pPr>
              <w:spacing w:after="0"/>
              <w:rPr>
                <w:sz w:val="19"/>
                <w:szCs w:val="19"/>
                <w:color w:val="auto"/>
              </w:rPr>
            </w:pPr>
          </w:p>
        </w:tc>
        <w:tc>
          <w:tcPr>
            <w:tcW w:w="1120" w:type="dxa"/>
            <w:vAlign w:val="bottom"/>
            <w:shd w:val="clear" w:color="auto" w:fill="CFF0FC"/>
          </w:tcPr>
          <w:p>
            <w:pPr>
              <w:spacing w:after="0"/>
              <w:rPr>
                <w:sz w:val="19"/>
                <w:szCs w:val="19"/>
                <w:color w:val="auto"/>
              </w:rPr>
            </w:pPr>
          </w:p>
        </w:tc>
        <w:tc>
          <w:tcPr>
            <w:tcW w:w="620" w:type="dxa"/>
            <w:vAlign w:val="bottom"/>
            <w:shd w:val="clear" w:color="auto" w:fill="CFF0FC"/>
          </w:tcPr>
          <w:p>
            <w:pPr>
              <w:jc w:val="right"/>
              <w:spacing w:after="0"/>
              <w:rPr>
                <w:sz w:val="20"/>
                <w:szCs w:val="20"/>
                <w:color w:val="auto"/>
              </w:rPr>
            </w:pPr>
            <w:r>
              <w:rPr>
                <w:rFonts w:ascii="Arial" w:cs="Arial" w:eastAsia="Arial" w:hAnsi="Arial"/>
                <w:sz w:val="16"/>
                <w:szCs w:val="16"/>
                <w:color w:val="auto"/>
              </w:rPr>
              <w:t>265.6</w:t>
            </w: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662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620" w:type="dxa"/>
            <w:vAlign w:val="bottom"/>
            <w:shd w:val="clear" w:color="auto" w:fill="CFF0FC"/>
          </w:tcPr>
          <w:p>
            <w:pPr>
              <w:spacing w:after="0"/>
              <w:rPr>
                <w:sz w:val="20"/>
                <w:szCs w:val="20"/>
                <w:color w:val="auto"/>
              </w:rPr>
            </w:pPr>
            <w:r>
              <w:rPr>
                <w:rFonts w:ascii="Arial" w:cs="Arial" w:eastAsia="Arial" w:hAnsi="Arial"/>
                <w:sz w:val="16"/>
                <w:szCs w:val="16"/>
                <w:color w:val="auto"/>
              </w:rPr>
              <w:t>Net income</w:t>
            </w:r>
          </w:p>
        </w:tc>
        <w:tc>
          <w:tcPr>
            <w:tcW w:w="1880" w:type="dxa"/>
            <w:vAlign w:val="bottom"/>
            <w:gridSpan w:val="2"/>
            <w:shd w:val="clear" w:color="auto" w:fill="CFF0FC"/>
          </w:tcPr>
          <w:p>
            <w:pPr>
              <w:jc w:val="right"/>
              <w:ind w:right="948"/>
              <w:spacing w:after="0"/>
              <w:rPr>
                <w:sz w:val="20"/>
                <w:szCs w:val="20"/>
                <w:color w:val="auto"/>
              </w:rPr>
            </w:pPr>
            <w:r>
              <w:rPr>
                <w:rFonts w:ascii="Arial" w:cs="Arial" w:eastAsia="Arial" w:hAnsi="Arial"/>
                <w:sz w:val="16"/>
                <w:szCs w:val="16"/>
                <w:color w:val="auto"/>
              </w:rPr>
              <w:t>$</w:t>
            </w:r>
          </w:p>
        </w:tc>
        <w:tc>
          <w:tcPr>
            <w:tcW w:w="620" w:type="dxa"/>
            <w:vAlign w:val="bottom"/>
            <w:shd w:val="clear" w:color="auto" w:fill="CFF0FC"/>
          </w:tcPr>
          <w:p>
            <w:pPr>
              <w:jc w:val="right"/>
              <w:spacing w:after="0"/>
              <w:rPr>
                <w:sz w:val="20"/>
                <w:szCs w:val="20"/>
                <w:color w:val="auto"/>
              </w:rPr>
            </w:pPr>
            <w:r>
              <w:rPr>
                <w:rFonts w:ascii="Arial" w:cs="Arial" w:eastAsia="Arial" w:hAnsi="Arial"/>
                <w:sz w:val="16"/>
                <w:szCs w:val="16"/>
                <w:color w:val="auto"/>
              </w:rPr>
              <w:t>174.9</w:t>
            </w:r>
          </w:p>
        </w:tc>
        <w:tc>
          <w:tcPr>
            <w:tcW w:w="280" w:type="dxa"/>
            <w:vAlign w:val="bottom"/>
            <w:shd w:val="clear" w:color="auto" w:fill="CFF0FC"/>
          </w:tcPr>
          <w:p>
            <w:pPr>
              <w:spacing w:after="0"/>
              <w:rPr>
                <w:sz w:val="18"/>
                <w:szCs w:val="18"/>
                <w:color w:val="auto"/>
              </w:rPr>
            </w:pPr>
          </w:p>
        </w:tc>
        <w:tc>
          <w:tcPr>
            <w:tcW w:w="1120" w:type="dxa"/>
            <w:vAlign w:val="bottom"/>
            <w:shd w:val="clear" w:color="auto" w:fill="CFF0FC"/>
          </w:tcPr>
          <w:p>
            <w:pPr>
              <w:jc w:val="right"/>
              <w:ind w:right="965"/>
              <w:spacing w:after="0"/>
              <w:rPr>
                <w:sz w:val="20"/>
                <w:szCs w:val="20"/>
                <w:color w:val="auto"/>
              </w:rPr>
            </w:pPr>
            <w:r>
              <w:rPr>
                <w:rFonts w:ascii="Arial" w:cs="Arial" w:eastAsia="Arial" w:hAnsi="Arial"/>
                <w:sz w:val="15"/>
                <w:szCs w:val="15"/>
                <w:color w:val="auto"/>
                <w:w w:val="71"/>
              </w:rPr>
              <w:t>$</w:t>
            </w:r>
          </w:p>
        </w:tc>
        <w:tc>
          <w:tcPr>
            <w:tcW w:w="620" w:type="dxa"/>
            <w:vAlign w:val="bottom"/>
            <w:shd w:val="clear" w:color="auto" w:fill="CFF0FC"/>
          </w:tcPr>
          <w:p>
            <w:pPr>
              <w:jc w:val="right"/>
              <w:spacing w:after="0"/>
              <w:rPr>
                <w:sz w:val="20"/>
                <w:szCs w:val="20"/>
                <w:color w:val="auto"/>
              </w:rPr>
            </w:pPr>
            <w:r>
              <w:rPr>
                <w:rFonts w:ascii="Arial" w:cs="Arial" w:eastAsia="Arial" w:hAnsi="Arial"/>
                <w:sz w:val="16"/>
                <w:szCs w:val="16"/>
                <w:color w:val="auto"/>
              </w:rPr>
              <w:t>99.2</w:t>
            </w:r>
          </w:p>
        </w:tc>
        <w:tc>
          <w:tcPr>
            <w:tcW w:w="10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26"/>
        </w:trPr>
        <w:tc>
          <w:tcPr>
            <w:tcW w:w="6620" w:type="dxa"/>
            <w:vAlign w:val="bottom"/>
          </w:tcPr>
          <w:p>
            <w:pPr>
              <w:spacing w:after="0"/>
              <w:rPr>
                <w:sz w:val="20"/>
                <w:szCs w:val="20"/>
                <w:color w:val="auto"/>
              </w:rPr>
            </w:pPr>
            <w:r>
              <w:rPr>
                <w:rFonts w:ascii="Arial" w:cs="Arial" w:eastAsia="Arial" w:hAnsi="Arial"/>
                <w:sz w:val="16"/>
                <w:szCs w:val="16"/>
                <w:b w:val="1"/>
                <w:bCs w:val="1"/>
                <w:color w:val="auto"/>
              </w:rPr>
              <w:t>Other comprehensive income (loss), net of tax:</w:t>
            </w:r>
          </w:p>
        </w:tc>
        <w:tc>
          <w:tcPr>
            <w:tcW w:w="780" w:type="dxa"/>
            <w:vAlign w:val="bottom"/>
          </w:tcPr>
          <w:p>
            <w:pPr>
              <w:spacing w:after="0"/>
              <w:rPr>
                <w:sz w:val="19"/>
                <w:szCs w:val="19"/>
                <w:color w:val="auto"/>
              </w:rPr>
            </w:pPr>
          </w:p>
        </w:tc>
        <w:tc>
          <w:tcPr>
            <w:tcW w:w="110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12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3"/>
        </w:trPr>
        <w:tc>
          <w:tcPr>
            <w:tcW w:w="6620" w:type="dxa"/>
            <w:vAlign w:val="bottom"/>
            <w:shd w:val="clear" w:color="auto" w:fill="CFF0FC"/>
          </w:tcPr>
          <w:p>
            <w:pPr>
              <w:ind w:left="500"/>
              <w:spacing w:after="0"/>
              <w:rPr>
                <w:sz w:val="20"/>
                <w:szCs w:val="20"/>
                <w:color w:val="auto"/>
              </w:rPr>
            </w:pPr>
            <w:r>
              <w:rPr>
                <w:rFonts w:ascii="Arial" w:cs="Arial" w:eastAsia="Arial" w:hAnsi="Arial"/>
                <w:sz w:val="16"/>
                <w:szCs w:val="16"/>
                <w:color w:val="auto"/>
              </w:rPr>
              <w:t>Change in unrealized gain (loss) on interest rate swaps</w:t>
            </w:r>
          </w:p>
        </w:tc>
        <w:tc>
          <w:tcPr>
            <w:tcW w:w="780" w:type="dxa"/>
            <w:vAlign w:val="bottom"/>
            <w:shd w:val="clear" w:color="auto" w:fill="CFF0FC"/>
          </w:tcPr>
          <w:p>
            <w:pPr>
              <w:spacing w:after="0"/>
              <w:rPr>
                <w:sz w:val="20"/>
                <w:szCs w:val="20"/>
                <w:color w:val="auto"/>
              </w:rPr>
            </w:pPr>
          </w:p>
        </w:tc>
        <w:tc>
          <w:tcPr>
            <w:tcW w:w="1100" w:type="dxa"/>
            <w:vAlign w:val="bottom"/>
            <w:shd w:val="clear" w:color="auto" w:fill="CFF0FC"/>
          </w:tcPr>
          <w:p>
            <w:pPr>
              <w:spacing w:after="0"/>
              <w:rPr>
                <w:sz w:val="20"/>
                <w:szCs w:val="20"/>
                <w:color w:val="auto"/>
              </w:rPr>
            </w:pPr>
          </w:p>
        </w:tc>
        <w:tc>
          <w:tcPr>
            <w:tcW w:w="620" w:type="dxa"/>
            <w:vAlign w:val="bottom"/>
            <w:shd w:val="clear" w:color="auto" w:fill="CFF0FC"/>
          </w:tcPr>
          <w:p>
            <w:pPr>
              <w:jc w:val="right"/>
              <w:spacing w:after="0"/>
              <w:rPr>
                <w:sz w:val="20"/>
                <w:szCs w:val="20"/>
                <w:color w:val="auto"/>
              </w:rPr>
            </w:pPr>
            <w:r>
              <w:rPr>
                <w:rFonts w:ascii="Arial" w:cs="Arial" w:eastAsia="Arial" w:hAnsi="Arial"/>
                <w:sz w:val="16"/>
                <w:szCs w:val="16"/>
                <w:color w:val="auto"/>
              </w:rPr>
              <w:t>0.5</w:t>
            </w:r>
          </w:p>
        </w:tc>
        <w:tc>
          <w:tcPr>
            <w:tcW w:w="280" w:type="dxa"/>
            <w:vAlign w:val="bottom"/>
            <w:shd w:val="clear" w:color="auto" w:fill="CFF0FC"/>
          </w:tcPr>
          <w:p>
            <w:pPr>
              <w:spacing w:after="0"/>
              <w:rPr>
                <w:sz w:val="20"/>
                <w:szCs w:val="20"/>
                <w:color w:val="auto"/>
              </w:rPr>
            </w:pPr>
          </w:p>
        </w:tc>
        <w:tc>
          <w:tcPr>
            <w:tcW w:w="1120" w:type="dxa"/>
            <w:vAlign w:val="bottom"/>
            <w:shd w:val="clear" w:color="auto" w:fill="CFF0FC"/>
          </w:tcPr>
          <w:p>
            <w:pPr>
              <w:spacing w:after="0"/>
              <w:rPr>
                <w:sz w:val="20"/>
                <w:szCs w:val="20"/>
                <w:color w:val="auto"/>
              </w:rPr>
            </w:pPr>
          </w:p>
        </w:tc>
        <w:tc>
          <w:tcPr>
            <w:tcW w:w="720" w:type="dxa"/>
            <w:vAlign w:val="bottom"/>
            <w:gridSpan w:val="2"/>
            <w:shd w:val="clear" w:color="auto" w:fill="CFF0FC"/>
          </w:tcPr>
          <w:p>
            <w:pPr>
              <w:jc w:val="right"/>
              <w:ind w:right="60"/>
              <w:spacing w:after="0"/>
              <w:rPr>
                <w:sz w:val="20"/>
                <w:szCs w:val="20"/>
                <w:color w:val="auto"/>
              </w:rPr>
            </w:pPr>
            <w:r>
              <w:rPr>
                <w:rFonts w:ascii="Arial" w:cs="Arial" w:eastAsia="Arial" w:hAnsi="Arial"/>
                <w:sz w:val="16"/>
                <w:szCs w:val="16"/>
                <w:color w:val="auto"/>
              </w:rPr>
              <w:t>(2.4)</w:t>
            </w:r>
          </w:p>
        </w:tc>
        <w:tc>
          <w:tcPr>
            <w:tcW w:w="0" w:type="dxa"/>
            <w:vAlign w:val="bottom"/>
          </w:tcPr>
          <w:p>
            <w:pPr>
              <w:spacing w:after="0"/>
              <w:rPr>
                <w:sz w:val="1"/>
                <w:szCs w:val="1"/>
                <w:color w:val="auto"/>
              </w:rPr>
            </w:pPr>
          </w:p>
        </w:tc>
      </w:tr>
      <w:tr>
        <w:trPr>
          <w:trHeight w:val="227"/>
        </w:trPr>
        <w:tc>
          <w:tcPr>
            <w:tcW w:w="6620" w:type="dxa"/>
            <w:vAlign w:val="bottom"/>
          </w:tcPr>
          <w:p>
            <w:pPr>
              <w:ind w:left="500"/>
              <w:spacing w:after="0"/>
              <w:rPr>
                <w:sz w:val="20"/>
                <w:szCs w:val="20"/>
                <w:color w:val="auto"/>
              </w:rPr>
            </w:pPr>
            <w:r>
              <w:rPr>
                <w:rFonts w:ascii="Arial" w:cs="Arial" w:eastAsia="Arial" w:hAnsi="Arial"/>
                <w:sz w:val="16"/>
                <w:szCs w:val="16"/>
                <w:color w:val="auto"/>
              </w:rPr>
              <w:t>Foreign currency exchange translation adjustment</w:t>
            </w:r>
          </w:p>
        </w:tc>
        <w:tc>
          <w:tcPr>
            <w:tcW w:w="780" w:type="dxa"/>
            <w:vAlign w:val="bottom"/>
          </w:tcPr>
          <w:p>
            <w:pPr>
              <w:spacing w:after="0"/>
              <w:rPr>
                <w:sz w:val="19"/>
                <w:szCs w:val="19"/>
                <w:color w:val="auto"/>
              </w:rPr>
            </w:pPr>
          </w:p>
        </w:tc>
        <w:tc>
          <w:tcPr>
            <w:tcW w:w="1100" w:type="dxa"/>
            <w:vAlign w:val="bottom"/>
          </w:tcPr>
          <w:p>
            <w:pPr>
              <w:spacing w:after="0"/>
              <w:rPr>
                <w:sz w:val="19"/>
                <w:szCs w:val="19"/>
                <w:color w:val="auto"/>
              </w:rPr>
            </w:pPr>
          </w:p>
        </w:tc>
        <w:tc>
          <w:tcPr>
            <w:tcW w:w="620" w:type="dxa"/>
            <w:vAlign w:val="bottom"/>
          </w:tcPr>
          <w:p>
            <w:pPr>
              <w:jc w:val="right"/>
              <w:spacing w:after="0"/>
              <w:rPr>
                <w:sz w:val="20"/>
                <w:szCs w:val="20"/>
                <w:color w:val="auto"/>
              </w:rPr>
            </w:pPr>
            <w:r>
              <w:rPr>
                <w:rFonts w:ascii="Arial" w:cs="Arial" w:eastAsia="Arial" w:hAnsi="Arial"/>
                <w:sz w:val="16"/>
                <w:szCs w:val="16"/>
                <w:color w:val="auto"/>
              </w:rPr>
              <w:t>8.4</w:t>
            </w:r>
          </w:p>
        </w:tc>
        <w:tc>
          <w:tcPr>
            <w:tcW w:w="280" w:type="dxa"/>
            <w:vAlign w:val="bottom"/>
          </w:tcPr>
          <w:p>
            <w:pPr>
              <w:spacing w:after="0"/>
              <w:rPr>
                <w:sz w:val="19"/>
                <w:szCs w:val="19"/>
                <w:color w:val="auto"/>
              </w:rPr>
            </w:pPr>
          </w:p>
        </w:tc>
        <w:tc>
          <w:tcPr>
            <w:tcW w:w="1120" w:type="dxa"/>
            <w:vAlign w:val="bottom"/>
          </w:tcPr>
          <w:p>
            <w:pPr>
              <w:spacing w:after="0"/>
              <w:rPr>
                <w:sz w:val="19"/>
                <w:szCs w:val="19"/>
                <w:color w:val="auto"/>
              </w:rPr>
            </w:pPr>
          </w:p>
        </w:tc>
        <w:tc>
          <w:tcPr>
            <w:tcW w:w="720" w:type="dxa"/>
            <w:vAlign w:val="bottom"/>
            <w:gridSpan w:val="2"/>
          </w:tcPr>
          <w:p>
            <w:pPr>
              <w:jc w:val="right"/>
              <w:ind w:right="60"/>
              <w:spacing w:after="0"/>
              <w:rPr>
                <w:sz w:val="20"/>
                <w:szCs w:val="20"/>
                <w:color w:val="auto"/>
              </w:rPr>
            </w:pPr>
            <w:r>
              <w:rPr>
                <w:rFonts w:ascii="Arial" w:cs="Arial" w:eastAsia="Arial" w:hAnsi="Arial"/>
                <w:sz w:val="16"/>
                <w:szCs w:val="16"/>
                <w:color w:val="auto"/>
              </w:rPr>
              <w:t>(150.7)</w:t>
            </w:r>
          </w:p>
        </w:tc>
        <w:tc>
          <w:tcPr>
            <w:tcW w:w="0" w:type="dxa"/>
            <w:vAlign w:val="bottom"/>
          </w:tcPr>
          <w:p>
            <w:pPr>
              <w:spacing w:after="0"/>
              <w:rPr>
                <w:sz w:val="1"/>
                <w:szCs w:val="1"/>
                <w:color w:val="auto"/>
              </w:rPr>
            </w:pPr>
          </w:p>
        </w:tc>
      </w:tr>
      <w:tr>
        <w:trPr>
          <w:trHeight w:val="20"/>
        </w:trPr>
        <w:tc>
          <w:tcPr>
            <w:tcW w:w="6620" w:type="dxa"/>
            <w:vAlign w:val="bottom"/>
            <w:shd w:val="clear" w:color="auto" w:fill="CFF0FC"/>
          </w:tcPr>
          <w:p>
            <w:pPr>
              <w:spacing w:after="0" w:line="20" w:lineRule="exact"/>
              <w:rPr>
                <w:sz w:val="1"/>
                <w:szCs w:val="1"/>
                <w:color w:val="auto"/>
              </w:rPr>
            </w:pPr>
          </w:p>
        </w:tc>
        <w:tc>
          <w:tcPr>
            <w:tcW w:w="780" w:type="dxa"/>
            <w:vAlign w:val="bottom"/>
            <w:shd w:val="clear" w:color="auto" w:fill="CFF0FC"/>
          </w:tcPr>
          <w:p>
            <w:pPr>
              <w:spacing w:after="0" w:line="20" w:lineRule="exact"/>
              <w:rPr>
                <w:sz w:val="1"/>
                <w:szCs w:val="1"/>
                <w:color w:val="auto"/>
              </w:rPr>
            </w:pPr>
          </w:p>
        </w:tc>
        <w:tc>
          <w:tcPr>
            <w:tcW w:w="1100" w:type="dxa"/>
            <w:vAlign w:val="bottom"/>
            <w:shd w:val="clear" w:color="auto" w:fill="000000"/>
          </w:tcPr>
          <w:p>
            <w:pPr>
              <w:spacing w:after="0" w:line="20" w:lineRule="exact"/>
              <w:rPr>
                <w:sz w:val="1"/>
                <w:szCs w:val="1"/>
                <w:color w:val="auto"/>
              </w:rPr>
            </w:pPr>
          </w:p>
        </w:tc>
        <w:tc>
          <w:tcPr>
            <w:tcW w:w="620" w:type="dxa"/>
            <w:vAlign w:val="bottom"/>
            <w:shd w:val="clear" w:color="auto" w:fill="000000"/>
          </w:tcPr>
          <w:p>
            <w:pPr>
              <w:spacing w:after="0" w:line="20" w:lineRule="exact"/>
              <w:rPr>
                <w:sz w:val="1"/>
                <w:szCs w:val="1"/>
                <w:color w:val="auto"/>
              </w:rPr>
            </w:pPr>
          </w:p>
        </w:tc>
        <w:tc>
          <w:tcPr>
            <w:tcW w:w="280" w:type="dxa"/>
            <w:vAlign w:val="bottom"/>
            <w:shd w:val="clear" w:color="auto" w:fill="CFF0FC"/>
          </w:tcPr>
          <w:p>
            <w:pPr>
              <w:spacing w:after="0" w:line="20" w:lineRule="exact"/>
              <w:rPr>
                <w:sz w:val="1"/>
                <w:szCs w:val="1"/>
                <w:color w:val="auto"/>
              </w:rPr>
            </w:pPr>
          </w:p>
        </w:tc>
        <w:tc>
          <w:tcPr>
            <w:tcW w:w="1120" w:type="dxa"/>
            <w:vAlign w:val="bottom"/>
            <w:shd w:val="clear" w:color="auto" w:fill="000000"/>
          </w:tcPr>
          <w:p>
            <w:pPr>
              <w:spacing w:after="0" w:line="20" w:lineRule="exact"/>
              <w:rPr>
                <w:sz w:val="1"/>
                <w:szCs w:val="1"/>
                <w:color w:val="auto"/>
              </w:rPr>
            </w:pPr>
          </w:p>
        </w:tc>
        <w:tc>
          <w:tcPr>
            <w:tcW w:w="620" w:type="dxa"/>
            <w:vAlign w:val="bottom"/>
            <w:shd w:val="clear" w:color="auto" w:fill="000000"/>
          </w:tcPr>
          <w:p>
            <w:pPr>
              <w:spacing w:after="0" w:line="20" w:lineRule="exact"/>
              <w:rPr>
                <w:sz w:val="1"/>
                <w:szCs w:val="1"/>
                <w:color w:val="auto"/>
              </w:rPr>
            </w:pPr>
          </w:p>
        </w:tc>
        <w:tc>
          <w:tcPr>
            <w:tcW w:w="100" w:type="dxa"/>
            <w:vAlign w:val="bottom"/>
            <w:shd w:val="clear" w:color="auto" w:fill="CFF0FC"/>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3"/>
        </w:trPr>
        <w:tc>
          <w:tcPr>
            <w:tcW w:w="6620" w:type="dxa"/>
            <w:vAlign w:val="bottom"/>
            <w:shd w:val="clear" w:color="auto" w:fill="CFF0FC"/>
          </w:tcPr>
          <w:p>
            <w:pPr>
              <w:spacing w:after="0"/>
              <w:rPr>
                <w:sz w:val="20"/>
                <w:szCs w:val="20"/>
                <w:color w:val="auto"/>
              </w:rPr>
            </w:pPr>
            <w:r>
              <w:rPr>
                <w:rFonts w:ascii="Arial" w:cs="Arial" w:eastAsia="Arial" w:hAnsi="Arial"/>
                <w:sz w:val="16"/>
                <w:szCs w:val="16"/>
                <w:color w:val="auto"/>
              </w:rPr>
              <w:t>Total other comprehensive income (loss), net of tax</w:t>
            </w:r>
          </w:p>
        </w:tc>
        <w:tc>
          <w:tcPr>
            <w:tcW w:w="780" w:type="dxa"/>
            <w:vAlign w:val="bottom"/>
            <w:shd w:val="clear" w:color="auto" w:fill="CFF0FC"/>
          </w:tcPr>
          <w:p>
            <w:pPr>
              <w:spacing w:after="0"/>
              <w:rPr>
                <w:sz w:val="19"/>
                <w:szCs w:val="19"/>
                <w:color w:val="auto"/>
              </w:rPr>
            </w:pPr>
          </w:p>
        </w:tc>
        <w:tc>
          <w:tcPr>
            <w:tcW w:w="1100" w:type="dxa"/>
            <w:vAlign w:val="bottom"/>
            <w:shd w:val="clear" w:color="auto" w:fill="CFF0FC"/>
          </w:tcPr>
          <w:p>
            <w:pPr>
              <w:spacing w:after="0"/>
              <w:rPr>
                <w:sz w:val="19"/>
                <w:szCs w:val="19"/>
                <w:color w:val="auto"/>
              </w:rPr>
            </w:pPr>
          </w:p>
        </w:tc>
        <w:tc>
          <w:tcPr>
            <w:tcW w:w="620" w:type="dxa"/>
            <w:vAlign w:val="bottom"/>
            <w:shd w:val="clear" w:color="auto" w:fill="CFF0FC"/>
          </w:tcPr>
          <w:p>
            <w:pPr>
              <w:jc w:val="right"/>
              <w:spacing w:after="0"/>
              <w:rPr>
                <w:sz w:val="20"/>
                <w:szCs w:val="20"/>
                <w:color w:val="auto"/>
              </w:rPr>
            </w:pPr>
            <w:r>
              <w:rPr>
                <w:rFonts w:ascii="Arial" w:cs="Arial" w:eastAsia="Arial" w:hAnsi="Arial"/>
                <w:sz w:val="16"/>
                <w:szCs w:val="16"/>
                <w:color w:val="auto"/>
              </w:rPr>
              <w:t>8.9</w:t>
            </w:r>
          </w:p>
        </w:tc>
        <w:tc>
          <w:tcPr>
            <w:tcW w:w="280" w:type="dxa"/>
            <w:vAlign w:val="bottom"/>
            <w:shd w:val="clear" w:color="auto" w:fill="CFF0FC"/>
          </w:tcPr>
          <w:p>
            <w:pPr>
              <w:spacing w:after="0"/>
              <w:rPr>
                <w:sz w:val="19"/>
                <w:szCs w:val="19"/>
                <w:color w:val="auto"/>
              </w:rPr>
            </w:pPr>
          </w:p>
        </w:tc>
        <w:tc>
          <w:tcPr>
            <w:tcW w:w="1120" w:type="dxa"/>
            <w:vAlign w:val="bottom"/>
            <w:shd w:val="clear" w:color="auto" w:fill="CFF0FC"/>
          </w:tcPr>
          <w:p>
            <w:pPr>
              <w:spacing w:after="0"/>
              <w:rPr>
                <w:sz w:val="19"/>
                <w:szCs w:val="19"/>
                <w:color w:val="auto"/>
              </w:rPr>
            </w:pPr>
          </w:p>
        </w:tc>
        <w:tc>
          <w:tcPr>
            <w:tcW w:w="720" w:type="dxa"/>
            <w:vAlign w:val="bottom"/>
            <w:gridSpan w:val="2"/>
            <w:shd w:val="clear" w:color="auto" w:fill="CFF0FC"/>
          </w:tcPr>
          <w:p>
            <w:pPr>
              <w:jc w:val="right"/>
              <w:ind w:right="60"/>
              <w:spacing w:after="0"/>
              <w:rPr>
                <w:sz w:val="20"/>
                <w:szCs w:val="20"/>
                <w:color w:val="auto"/>
              </w:rPr>
            </w:pPr>
            <w:r>
              <w:rPr>
                <w:rFonts w:ascii="Arial" w:cs="Arial" w:eastAsia="Arial" w:hAnsi="Arial"/>
                <w:sz w:val="16"/>
                <w:szCs w:val="16"/>
                <w:color w:val="auto"/>
              </w:rPr>
              <w:t>(153.1)</w:t>
            </w:r>
          </w:p>
        </w:tc>
        <w:tc>
          <w:tcPr>
            <w:tcW w:w="0" w:type="dxa"/>
            <w:vAlign w:val="bottom"/>
          </w:tcPr>
          <w:p>
            <w:pPr>
              <w:spacing w:after="0"/>
              <w:rPr>
                <w:sz w:val="1"/>
                <w:szCs w:val="1"/>
                <w:color w:val="auto"/>
              </w:rPr>
            </w:pPr>
          </w:p>
        </w:tc>
      </w:tr>
      <w:tr>
        <w:trPr>
          <w:trHeight w:val="20"/>
        </w:trPr>
        <w:tc>
          <w:tcPr>
            <w:tcW w:w="662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1100" w:type="dxa"/>
            <w:vAlign w:val="bottom"/>
            <w:shd w:val="clear" w:color="auto" w:fill="000000"/>
          </w:tcPr>
          <w:p>
            <w:pPr>
              <w:spacing w:after="0" w:line="20" w:lineRule="exact"/>
              <w:rPr>
                <w:sz w:val="1"/>
                <w:szCs w:val="1"/>
                <w:color w:val="auto"/>
              </w:rPr>
            </w:pPr>
          </w:p>
        </w:tc>
        <w:tc>
          <w:tcPr>
            <w:tcW w:w="620" w:type="dxa"/>
            <w:vAlign w:val="bottom"/>
            <w:shd w:val="clear" w:color="auto" w:fill="000000"/>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120" w:type="dxa"/>
            <w:vAlign w:val="bottom"/>
            <w:shd w:val="clear" w:color="auto" w:fill="000000"/>
          </w:tcPr>
          <w:p>
            <w:pPr>
              <w:spacing w:after="0" w:line="20" w:lineRule="exact"/>
              <w:rPr>
                <w:sz w:val="1"/>
                <w:szCs w:val="1"/>
                <w:color w:val="auto"/>
              </w:rPr>
            </w:pPr>
          </w:p>
        </w:tc>
        <w:tc>
          <w:tcPr>
            <w:tcW w:w="62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3"/>
        </w:trPr>
        <w:tc>
          <w:tcPr>
            <w:tcW w:w="6620" w:type="dxa"/>
            <w:vAlign w:val="bottom"/>
          </w:tcPr>
          <w:p>
            <w:pPr>
              <w:spacing w:after="0"/>
              <w:rPr>
                <w:sz w:val="20"/>
                <w:szCs w:val="20"/>
                <w:color w:val="auto"/>
              </w:rPr>
            </w:pPr>
            <w:r>
              <w:rPr>
                <w:rFonts w:ascii="Arial" w:cs="Arial" w:eastAsia="Arial" w:hAnsi="Arial"/>
                <w:sz w:val="16"/>
                <w:szCs w:val="16"/>
                <w:color w:val="auto"/>
              </w:rPr>
              <w:t>Comprehensive income (loss)</w:t>
            </w:r>
          </w:p>
        </w:tc>
        <w:tc>
          <w:tcPr>
            <w:tcW w:w="1880" w:type="dxa"/>
            <w:vAlign w:val="bottom"/>
            <w:gridSpan w:val="2"/>
          </w:tcPr>
          <w:p>
            <w:pPr>
              <w:jc w:val="right"/>
              <w:ind w:right="948"/>
              <w:spacing w:after="0"/>
              <w:rPr>
                <w:sz w:val="20"/>
                <w:szCs w:val="20"/>
                <w:color w:val="auto"/>
              </w:rPr>
            </w:pPr>
            <w:r>
              <w:rPr>
                <w:rFonts w:ascii="Arial" w:cs="Arial" w:eastAsia="Arial" w:hAnsi="Arial"/>
                <w:sz w:val="16"/>
                <w:szCs w:val="16"/>
                <w:color w:val="auto"/>
              </w:rPr>
              <w:t>$</w:t>
            </w:r>
          </w:p>
        </w:tc>
        <w:tc>
          <w:tcPr>
            <w:tcW w:w="620" w:type="dxa"/>
            <w:vAlign w:val="bottom"/>
          </w:tcPr>
          <w:p>
            <w:pPr>
              <w:jc w:val="right"/>
              <w:spacing w:after="0"/>
              <w:rPr>
                <w:sz w:val="20"/>
                <w:szCs w:val="20"/>
                <w:color w:val="auto"/>
              </w:rPr>
            </w:pPr>
            <w:r>
              <w:rPr>
                <w:rFonts w:ascii="Arial" w:cs="Arial" w:eastAsia="Arial" w:hAnsi="Arial"/>
                <w:sz w:val="16"/>
                <w:szCs w:val="16"/>
                <w:color w:val="auto"/>
              </w:rPr>
              <w:t>183.8</w:t>
            </w:r>
          </w:p>
        </w:tc>
        <w:tc>
          <w:tcPr>
            <w:tcW w:w="280" w:type="dxa"/>
            <w:vAlign w:val="bottom"/>
          </w:tcPr>
          <w:p>
            <w:pPr>
              <w:spacing w:after="0"/>
              <w:rPr>
                <w:sz w:val="19"/>
                <w:szCs w:val="19"/>
                <w:color w:val="auto"/>
              </w:rPr>
            </w:pPr>
          </w:p>
        </w:tc>
        <w:tc>
          <w:tcPr>
            <w:tcW w:w="1120" w:type="dxa"/>
            <w:vAlign w:val="bottom"/>
          </w:tcPr>
          <w:p>
            <w:pPr>
              <w:jc w:val="right"/>
              <w:ind w:right="965"/>
              <w:spacing w:after="0"/>
              <w:rPr>
                <w:sz w:val="20"/>
                <w:szCs w:val="20"/>
                <w:color w:val="auto"/>
              </w:rPr>
            </w:pPr>
            <w:r>
              <w:rPr>
                <w:rFonts w:ascii="Arial" w:cs="Arial" w:eastAsia="Arial" w:hAnsi="Arial"/>
                <w:sz w:val="15"/>
                <w:szCs w:val="15"/>
                <w:color w:val="auto"/>
                <w:w w:val="71"/>
              </w:rPr>
              <w:t>$</w:t>
            </w:r>
          </w:p>
        </w:tc>
        <w:tc>
          <w:tcPr>
            <w:tcW w:w="720" w:type="dxa"/>
            <w:vAlign w:val="bottom"/>
            <w:gridSpan w:val="2"/>
          </w:tcPr>
          <w:p>
            <w:pPr>
              <w:jc w:val="right"/>
              <w:ind w:right="60"/>
              <w:spacing w:after="0"/>
              <w:rPr>
                <w:sz w:val="20"/>
                <w:szCs w:val="20"/>
                <w:color w:val="auto"/>
              </w:rPr>
            </w:pPr>
            <w:r>
              <w:rPr>
                <w:rFonts w:ascii="Arial" w:cs="Arial" w:eastAsia="Arial" w:hAnsi="Arial"/>
                <w:sz w:val="16"/>
                <w:szCs w:val="16"/>
                <w:color w:val="auto"/>
              </w:rPr>
              <w:t>(53.9)</w:t>
            </w:r>
          </w:p>
        </w:tc>
        <w:tc>
          <w:tcPr>
            <w:tcW w:w="0" w:type="dxa"/>
            <w:vAlign w:val="bottom"/>
          </w:tcPr>
          <w:p>
            <w:pPr>
              <w:spacing w:after="0"/>
              <w:rPr>
                <w:sz w:val="1"/>
                <w:szCs w:val="1"/>
                <w:color w:val="auto"/>
              </w:rPr>
            </w:pPr>
          </w:p>
        </w:tc>
      </w:tr>
      <w:tr>
        <w:trPr>
          <w:trHeight w:val="20"/>
        </w:trPr>
        <w:tc>
          <w:tcPr>
            <w:tcW w:w="662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1100" w:type="dxa"/>
            <w:vAlign w:val="bottom"/>
            <w:tcBorders>
              <w:top w:val="single" w:sz="8" w:color="auto"/>
              <w:bottom w:val="single" w:sz="8" w:color="auto"/>
            </w:tcBorders>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120" w:type="dxa"/>
            <w:vAlign w:val="bottom"/>
            <w:tcBorders>
              <w:top w:val="single" w:sz="8" w:color="auto"/>
              <w:bottom w:val="single" w:sz="8" w:color="auto"/>
            </w:tcBorders>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42" w:lineRule="exact"/>
        <w:rPr>
          <w:sz w:val="20"/>
          <w:szCs w:val="20"/>
          <w:color w:val="auto"/>
        </w:rPr>
      </w:pPr>
    </w:p>
    <w:p>
      <w:pPr>
        <w:jc w:val="center"/>
        <w:spacing w:after="0"/>
        <w:rPr>
          <w:sz w:val="20"/>
          <w:szCs w:val="20"/>
          <w:color w:val="auto"/>
        </w:rPr>
      </w:pPr>
      <w:r>
        <w:rPr>
          <w:rFonts w:ascii="Arial" w:cs="Arial" w:eastAsia="Arial" w:hAnsi="Arial"/>
          <w:sz w:val="18"/>
          <w:szCs w:val="18"/>
          <w:i w:val="1"/>
          <w:iCs w:val="1"/>
          <w:color w:val="auto"/>
        </w:rPr>
        <w:t>The accompanying notes are an integral part of these condensed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23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37" w:right="339" w:bottom="1440" w:gutter="0" w:footer="0" w:header="0"/>
        </w:sectPr>
      </w:pPr>
    </w:p>
    <w:bookmarkStart w:id="4" w:name="page5"/>
    <w:bookmarkEnd w:id="4"/>
    <w:p>
      <w:pPr>
        <w:spacing w:after="0"/>
        <w:rPr>
          <w:sz w:val="20"/>
          <w:szCs w:val="20"/>
          <w:color w:val="auto"/>
        </w:rPr>
      </w:pPr>
      <w:r>
        <w:rPr>
          <w:rFonts w:ascii="Arial" w:cs="Arial" w:eastAsia="Arial" w:hAnsi="Arial"/>
          <w:sz w:val="18"/>
          <w:szCs w:val="18"/>
          <w:b w:val="1"/>
          <w:bCs w:val="1"/>
          <w:color w:val="auto"/>
        </w:rPr>
        <w:t>SS&amp;C TECHNOLOGIES HOLDINGS, INC. AND SUBSIDIARIES</w:t>
      </w:r>
    </w:p>
    <w:p>
      <w:pPr>
        <w:spacing w:after="0" w:line="2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CONDENSED CONSOLIDATED STATEMENTS OF CASH FLOWS</w:t>
      </w:r>
    </w:p>
    <w:p>
      <w:pPr>
        <w:spacing w:after="0" w:line="2"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(In millions) (Unaudited)</w:t>
      </w:r>
    </w:p>
    <w:p>
      <w:pPr>
        <w:spacing w:after="0" w:line="255"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706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3160" w:type="dxa"/>
            <w:vAlign w:val="bottom"/>
            <w:tcBorders>
              <w:bottom w:val="single" w:sz="8" w:color="auto"/>
            </w:tcBorders>
            <w:gridSpan w:val="4"/>
          </w:tcPr>
          <w:p>
            <w:pPr>
              <w:jc w:val="right"/>
              <w:ind w:right="221"/>
              <w:spacing w:after="0"/>
              <w:rPr>
                <w:sz w:val="20"/>
                <w:szCs w:val="20"/>
                <w:color w:val="auto"/>
              </w:rPr>
            </w:pPr>
            <w:r>
              <w:rPr>
                <w:rFonts w:ascii="Arial" w:cs="Arial" w:eastAsia="Arial" w:hAnsi="Arial"/>
                <w:sz w:val="14"/>
                <w:szCs w:val="14"/>
                <w:b w:val="1"/>
                <w:bCs w:val="1"/>
                <w:color w:val="auto"/>
              </w:rPr>
              <w:t>Three Months Ended March 31,</w:t>
            </w:r>
          </w:p>
        </w:tc>
        <w:tc>
          <w:tcPr>
            <w:tcW w:w="620" w:type="dxa"/>
            <w:vAlign w:val="bottom"/>
            <w:tcBorders>
              <w:bottom w:val="single" w:sz="8" w:color="auto"/>
            </w:tcBorders>
          </w:tcPr>
          <w:p>
            <w:pPr>
              <w:spacing w:after="0"/>
              <w:rPr>
                <w:sz w:val="14"/>
                <w:szCs w:val="14"/>
                <w:color w:val="auto"/>
              </w:rPr>
            </w:pPr>
          </w:p>
        </w:tc>
        <w:tc>
          <w:tcPr>
            <w:tcW w:w="1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55"/>
        </w:trPr>
        <w:tc>
          <w:tcPr>
            <w:tcW w:w="7060" w:type="dxa"/>
            <w:vAlign w:val="bottom"/>
            <w:vMerge w:val="restart"/>
          </w:tcPr>
          <w:p>
            <w:pPr>
              <w:spacing w:after="0"/>
              <w:rPr>
                <w:sz w:val="20"/>
                <w:szCs w:val="20"/>
                <w:color w:val="auto"/>
              </w:rPr>
            </w:pPr>
            <w:r>
              <w:rPr>
                <w:rFonts w:ascii="Arial" w:cs="Arial" w:eastAsia="Arial" w:hAnsi="Arial"/>
                <w:sz w:val="16"/>
                <w:szCs w:val="16"/>
                <w:b w:val="1"/>
                <w:bCs w:val="1"/>
                <w:color w:val="auto"/>
              </w:rPr>
              <w:t>Cash flow from operating activities:</w:t>
            </w:r>
          </w:p>
        </w:tc>
        <w:tc>
          <w:tcPr>
            <w:tcW w:w="280" w:type="dxa"/>
            <w:vAlign w:val="bottom"/>
          </w:tcPr>
          <w:p>
            <w:pPr>
              <w:spacing w:after="0"/>
              <w:rPr>
                <w:sz w:val="13"/>
                <w:szCs w:val="13"/>
                <w:color w:val="auto"/>
              </w:rPr>
            </w:pPr>
          </w:p>
        </w:tc>
        <w:tc>
          <w:tcPr>
            <w:tcW w:w="1140" w:type="dxa"/>
            <w:vAlign w:val="bottom"/>
            <w:tcBorders>
              <w:bottom w:val="single" w:sz="8" w:color="auto"/>
            </w:tcBorders>
          </w:tcPr>
          <w:p>
            <w:pPr>
              <w:jc w:val="right"/>
              <w:ind w:right="48"/>
              <w:spacing w:after="0" w:line="155" w:lineRule="exact"/>
              <w:rPr>
                <w:sz w:val="20"/>
                <w:szCs w:val="20"/>
                <w:color w:val="auto"/>
              </w:rPr>
            </w:pPr>
            <w:r>
              <w:rPr>
                <w:rFonts w:ascii="Arial" w:cs="Arial" w:eastAsia="Arial" w:hAnsi="Arial"/>
                <w:sz w:val="14"/>
                <w:szCs w:val="14"/>
                <w:b w:val="1"/>
                <w:bCs w:val="1"/>
                <w:color w:val="auto"/>
              </w:rPr>
              <w:t>2021</w:t>
            </w:r>
          </w:p>
        </w:tc>
        <w:tc>
          <w:tcPr>
            <w:tcW w:w="620" w:type="dxa"/>
            <w:vAlign w:val="bottom"/>
            <w:tcBorders>
              <w:bottom w:val="single" w:sz="8" w:color="auto"/>
            </w:tcBorders>
          </w:tcPr>
          <w:p>
            <w:pPr>
              <w:spacing w:after="0"/>
              <w:rPr>
                <w:sz w:val="13"/>
                <w:szCs w:val="13"/>
                <w:color w:val="auto"/>
              </w:rPr>
            </w:pPr>
          </w:p>
        </w:tc>
        <w:tc>
          <w:tcPr>
            <w:tcW w:w="240" w:type="dxa"/>
            <w:vAlign w:val="bottom"/>
          </w:tcPr>
          <w:p>
            <w:pPr>
              <w:spacing w:after="0"/>
              <w:rPr>
                <w:sz w:val="13"/>
                <w:szCs w:val="13"/>
                <w:color w:val="auto"/>
              </w:rPr>
            </w:pPr>
          </w:p>
        </w:tc>
        <w:tc>
          <w:tcPr>
            <w:tcW w:w="1160" w:type="dxa"/>
            <w:vAlign w:val="bottom"/>
            <w:tcBorders>
              <w:bottom w:val="single" w:sz="8" w:color="auto"/>
            </w:tcBorders>
          </w:tcPr>
          <w:p>
            <w:pPr>
              <w:jc w:val="right"/>
              <w:ind w:right="41"/>
              <w:spacing w:after="0" w:line="155" w:lineRule="exact"/>
              <w:rPr>
                <w:sz w:val="20"/>
                <w:szCs w:val="20"/>
                <w:color w:val="auto"/>
              </w:rPr>
            </w:pPr>
            <w:r>
              <w:rPr>
                <w:rFonts w:ascii="Arial" w:cs="Arial" w:eastAsia="Arial" w:hAnsi="Arial"/>
                <w:sz w:val="14"/>
                <w:szCs w:val="14"/>
                <w:b w:val="1"/>
                <w:bCs w:val="1"/>
                <w:color w:val="auto"/>
              </w:rPr>
              <w:t>2020</w:t>
            </w:r>
          </w:p>
        </w:tc>
        <w:tc>
          <w:tcPr>
            <w:tcW w:w="620" w:type="dxa"/>
            <w:vAlign w:val="bottom"/>
            <w:tcBorders>
              <w:bottom w:val="single" w:sz="8" w:color="auto"/>
            </w:tcBorders>
          </w:tcPr>
          <w:p>
            <w:pPr>
              <w:spacing w:after="0"/>
              <w:rPr>
                <w:sz w:val="13"/>
                <w:szCs w:val="13"/>
                <w:color w:val="auto"/>
              </w:rPr>
            </w:pPr>
          </w:p>
        </w:tc>
        <w:tc>
          <w:tcPr>
            <w:tcW w:w="1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07"/>
        </w:trPr>
        <w:tc>
          <w:tcPr>
            <w:tcW w:w="7060" w:type="dxa"/>
            <w:vAlign w:val="bottom"/>
            <w:vMerge w:val="continue"/>
          </w:tcPr>
          <w:p>
            <w:pPr>
              <w:spacing w:after="0"/>
              <w:rPr>
                <w:sz w:val="17"/>
                <w:szCs w:val="17"/>
                <w:color w:val="auto"/>
              </w:rPr>
            </w:pPr>
          </w:p>
        </w:tc>
        <w:tc>
          <w:tcPr>
            <w:tcW w:w="280" w:type="dxa"/>
            <w:vAlign w:val="bottom"/>
          </w:tcPr>
          <w:p>
            <w:pPr>
              <w:spacing w:after="0"/>
              <w:rPr>
                <w:sz w:val="17"/>
                <w:szCs w:val="17"/>
                <w:color w:val="auto"/>
              </w:rPr>
            </w:pPr>
          </w:p>
        </w:tc>
        <w:tc>
          <w:tcPr>
            <w:tcW w:w="114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16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9"/>
        </w:trPr>
        <w:tc>
          <w:tcPr>
            <w:tcW w:w="7060" w:type="dxa"/>
            <w:vAlign w:val="bottom"/>
            <w:shd w:val="clear" w:color="auto" w:fill="CFF0FC"/>
          </w:tcPr>
          <w:p>
            <w:pPr>
              <w:ind w:left="260"/>
              <w:spacing w:after="0"/>
              <w:rPr>
                <w:sz w:val="20"/>
                <w:szCs w:val="20"/>
                <w:color w:val="auto"/>
              </w:rPr>
            </w:pPr>
            <w:r>
              <w:rPr>
                <w:rFonts w:ascii="Arial" w:cs="Arial" w:eastAsia="Arial" w:hAnsi="Arial"/>
                <w:sz w:val="16"/>
                <w:szCs w:val="16"/>
                <w:color w:val="auto"/>
              </w:rPr>
              <w:t>Net income</w:t>
            </w:r>
          </w:p>
        </w:tc>
        <w:tc>
          <w:tcPr>
            <w:tcW w:w="1420" w:type="dxa"/>
            <w:vAlign w:val="bottom"/>
            <w:gridSpan w:val="2"/>
            <w:shd w:val="clear" w:color="auto" w:fill="CFF0FC"/>
          </w:tcPr>
          <w:p>
            <w:pPr>
              <w:jc w:val="right"/>
              <w:ind w:right="988"/>
              <w:spacing w:after="0"/>
              <w:rPr>
                <w:sz w:val="20"/>
                <w:szCs w:val="20"/>
                <w:color w:val="auto"/>
              </w:rPr>
            </w:pPr>
            <w:r>
              <w:rPr>
                <w:rFonts w:ascii="Arial" w:cs="Arial" w:eastAsia="Arial" w:hAnsi="Arial"/>
                <w:sz w:val="16"/>
                <w:szCs w:val="16"/>
                <w:color w:val="auto"/>
              </w:rPr>
              <w:t>$</w:t>
            </w:r>
          </w:p>
        </w:tc>
        <w:tc>
          <w:tcPr>
            <w:tcW w:w="620" w:type="dxa"/>
            <w:vAlign w:val="bottom"/>
            <w:shd w:val="clear" w:color="auto" w:fill="CFF0FC"/>
          </w:tcPr>
          <w:p>
            <w:pPr>
              <w:jc w:val="right"/>
              <w:spacing w:after="0"/>
              <w:rPr>
                <w:sz w:val="20"/>
                <w:szCs w:val="20"/>
                <w:color w:val="auto"/>
              </w:rPr>
            </w:pPr>
            <w:r>
              <w:rPr>
                <w:rFonts w:ascii="Arial" w:cs="Arial" w:eastAsia="Arial" w:hAnsi="Arial"/>
                <w:sz w:val="16"/>
                <w:szCs w:val="16"/>
                <w:color w:val="auto"/>
              </w:rPr>
              <w:t>174.9</w:t>
            </w:r>
          </w:p>
        </w:tc>
        <w:tc>
          <w:tcPr>
            <w:tcW w:w="240" w:type="dxa"/>
            <w:vAlign w:val="bottom"/>
            <w:shd w:val="clear" w:color="auto" w:fill="CFF0FC"/>
          </w:tcPr>
          <w:p>
            <w:pPr>
              <w:spacing w:after="0"/>
              <w:rPr>
                <w:sz w:val="19"/>
                <w:szCs w:val="19"/>
                <w:color w:val="auto"/>
              </w:rPr>
            </w:pPr>
          </w:p>
        </w:tc>
        <w:tc>
          <w:tcPr>
            <w:tcW w:w="1160" w:type="dxa"/>
            <w:vAlign w:val="bottom"/>
            <w:shd w:val="clear" w:color="auto" w:fill="CFF0FC"/>
          </w:tcPr>
          <w:p>
            <w:pPr>
              <w:jc w:val="right"/>
              <w:ind w:right="981"/>
              <w:spacing w:after="0"/>
              <w:rPr>
                <w:sz w:val="20"/>
                <w:szCs w:val="20"/>
                <w:color w:val="auto"/>
              </w:rPr>
            </w:pPr>
            <w:r>
              <w:rPr>
                <w:rFonts w:ascii="Arial" w:cs="Arial" w:eastAsia="Arial" w:hAnsi="Arial"/>
                <w:sz w:val="16"/>
                <w:szCs w:val="16"/>
                <w:color w:val="auto"/>
                <w:w w:val="89"/>
              </w:rPr>
              <w:t>$</w:t>
            </w:r>
          </w:p>
        </w:tc>
        <w:tc>
          <w:tcPr>
            <w:tcW w:w="620" w:type="dxa"/>
            <w:vAlign w:val="bottom"/>
            <w:shd w:val="clear" w:color="auto" w:fill="CFF0FC"/>
          </w:tcPr>
          <w:p>
            <w:pPr>
              <w:jc w:val="right"/>
              <w:spacing w:after="0"/>
              <w:rPr>
                <w:sz w:val="20"/>
                <w:szCs w:val="20"/>
                <w:color w:val="auto"/>
              </w:rPr>
            </w:pPr>
            <w:r>
              <w:rPr>
                <w:rFonts w:ascii="Arial" w:cs="Arial" w:eastAsia="Arial" w:hAnsi="Arial"/>
                <w:sz w:val="16"/>
                <w:szCs w:val="16"/>
                <w:color w:val="auto"/>
              </w:rPr>
              <w:t>99.2</w:t>
            </w:r>
          </w:p>
        </w:tc>
        <w:tc>
          <w:tcPr>
            <w:tcW w:w="12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13"/>
        </w:trPr>
        <w:tc>
          <w:tcPr>
            <w:tcW w:w="7060" w:type="dxa"/>
            <w:vAlign w:val="bottom"/>
          </w:tcPr>
          <w:p>
            <w:pPr>
              <w:ind w:left="260"/>
              <w:spacing w:after="0"/>
              <w:rPr>
                <w:sz w:val="20"/>
                <w:szCs w:val="20"/>
                <w:color w:val="auto"/>
              </w:rPr>
            </w:pPr>
            <w:r>
              <w:rPr>
                <w:rFonts w:ascii="Arial" w:cs="Arial" w:eastAsia="Arial" w:hAnsi="Arial"/>
                <w:sz w:val="16"/>
                <w:szCs w:val="16"/>
                <w:color w:val="auto"/>
              </w:rPr>
              <w:t>Adjustments to reconcile net income to net cash provided by operating activities:</w:t>
            </w:r>
          </w:p>
        </w:tc>
        <w:tc>
          <w:tcPr>
            <w:tcW w:w="28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9"/>
        </w:trPr>
        <w:tc>
          <w:tcPr>
            <w:tcW w:w="7060" w:type="dxa"/>
            <w:vAlign w:val="bottom"/>
            <w:shd w:val="clear" w:color="auto" w:fill="CFF0FC"/>
          </w:tcPr>
          <w:p>
            <w:pPr>
              <w:ind w:left="500"/>
              <w:spacing w:after="0"/>
              <w:rPr>
                <w:sz w:val="20"/>
                <w:szCs w:val="20"/>
                <w:color w:val="auto"/>
              </w:rPr>
            </w:pPr>
            <w:r>
              <w:rPr>
                <w:rFonts w:ascii="Arial" w:cs="Arial" w:eastAsia="Arial" w:hAnsi="Arial"/>
                <w:sz w:val="16"/>
                <w:szCs w:val="16"/>
                <w:color w:val="auto"/>
              </w:rPr>
              <w:t>Depreciation and amortization</w:t>
            </w:r>
          </w:p>
        </w:tc>
        <w:tc>
          <w:tcPr>
            <w:tcW w:w="280" w:type="dxa"/>
            <w:vAlign w:val="bottom"/>
            <w:shd w:val="clear" w:color="auto" w:fill="CFF0FC"/>
          </w:tcPr>
          <w:p>
            <w:pPr>
              <w:spacing w:after="0"/>
              <w:rPr>
                <w:sz w:val="19"/>
                <w:szCs w:val="19"/>
                <w:color w:val="auto"/>
              </w:rPr>
            </w:pPr>
          </w:p>
        </w:tc>
        <w:tc>
          <w:tcPr>
            <w:tcW w:w="1140" w:type="dxa"/>
            <w:vAlign w:val="bottom"/>
            <w:shd w:val="clear" w:color="auto" w:fill="CFF0FC"/>
          </w:tcPr>
          <w:p>
            <w:pPr>
              <w:spacing w:after="0"/>
              <w:rPr>
                <w:sz w:val="19"/>
                <w:szCs w:val="19"/>
                <w:color w:val="auto"/>
              </w:rPr>
            </w:pPr>
          </w:p>
        </w:tc>
        <w:tc>
          <w:tcPr>
            <w:tcW w:w="620" w:type="dxa"/>
            <w:vAlign w:val="bottom"/>
            <w:shd w:val="clear" w:color="auto" w:fill="CFF0FC"/>
          </w:tcPr>
          <w:p>
            <w:pPr>
              <w:jc w:val="right"/>
              <w:spacing w:after="0"/>
              <w:rPr>
                <w:sz w:val="20"/>
                <w:szCs w:val="20"/>
                <w:color w:val="auto"/>
              </w:rPr>
            </w:pPr>
            <w:r>
              <w:rPr>
                <w:rFonts w:ascii="Arial" w:cs="Arial" w:eastAsia="Arial" w:hAnsi="Arial"/>
                <w:sz w:val="16"/>
                <w:szCs w:val="16"/>
                <w:color w:val="auto"/>
              </w:rPr>
              <w:t>169.5</w:t>
            </w:r>
          </w:p>
        </w:tc>
        <w:tc>
          <w:tcPr>
            <w:tcW w:w="240" w:type="dxa"/>
            <w:vAlign w:val="bottom"/>
            <w:shd w:val="clear" w:color="auto" w:fill="CFF0FC"/>
          </w:tcPr>
          <w:p>
            <w:pPr>
              <w:spacing w:after="0"/>
              <w:rPr>
                <w:sz w:val="19"/>
                <w:szCs w:val="19"/>
                <w:color w:val="auto"/>
              </w:rPr>
            </w:pPr>
          </w:p>
        </w:tc>
        <w:tc>
          <w:tcPr>
            <w:tcW w:w="1160" w:type="dxa"/>
            <w:vAlign w:val="bottom"/>
            <w:shd w:val="clear" w:color="auto" w:fill="CFF0FC"/>
          </w:tcPr>
          <w:p>
            <w:pPr>
              <w:spacing w:after="0"/>
              <w:rPr>
                <w:sz w:val="19"/>
                <w:szCs w:val="19"/>
                <w:color w:val="auto"/>
              </w:rPr>
            </w:pPr>
          </w:p>
        </w:tc>
        <w:tc>
          <w:tcPr>
            <w:tcW w:w="620" w:type="dxa"/>
            <w:vAlign w:val="bottom"/>
            <w:shd w:val="clear" w:color="auto" w:fill="CFF0FC"/>
          </w:tcPr>
          <w:p>
            <w:pPr>
              <w:jc w:val="right"/>
              <w:spacing w:after="0"/>
              <w:rPr>
                <w:sz w:val="20"/>
                <w:szCs w:val="20"/>
                <w:color w:val="auto"/>
              </w:rPr>
            </w:pPr>
            <w:r>
              <w:rPr>
                <w:rFonts w:ascii="Arial" w:cs="Arial" w:eastAsia="Arial" w:hAnsi="Arial"/>
                <w:sz w:val="16"/>
                <w:szCs w:val="16"/>
                <w:color w:val="auto"/>
              </w:rPr>
              <w:t>184.7</w:t>
            </w:r>
          </w:p>
        </w:tc>
        <w:tc>
          <w:tcPr>
            <w:tcW w:w="12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13"/>
        </w:trPr>
        <w:tc>
          <w:tcPr>
            <w:tcW w:w="7060" w:type="dxa"/>
            <w:vAlign w:val="bottom"/>
          </w:tcPr>
          <w:p>
            <w:pPr>
              <w:ind w:left="500"/>
              <w:spacing w:after="0"/>
              <w:rPr>
                <w:sz w:val="20"/>
                <w:szCs w:val="20"/>
                <w:color w:val="auto"/>
              </w:rPr>
            </w:pPr>
            <w:r>
              <w:rPr>
                <w:rFonts w:ascii="Arial" w:cs="Arial" w:eastAsia="Arial" w:hAnsi="Arial"/>
                <w:sz w:val="16"/>
                <w:szCs w:val="16"/>
                <w:color w:val="auto"/>
              </w:rPr>
              <w:t>Equity in earnings of unconsolidated affiliates, net</w:t>
            </w:r>
          </w:p>
        </w:tc>
        <w:tc>
          <w:tcPr>
            <w:tcW w:w="28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860" w:type="dxa"/>
            <w:vAlign w:val="bottom"/>
            <w:gridSpan w:val="2"/>
          </w:tcPr>
          <w:p>
            <w:pPr>
              <w:jc w:val="right"/>
              <w:ind w:right="200"/>
              <w:spacing w:after="0"/>
              <w:rPr>
                <w:sz w:val="20"/>
                <w:szCs w:val="20"/>
                <w:color w:val="auto"/>
              </w:rPr>
            </w:pPr>
            <w:r>
              <w:rPr>
                <w:rFonts w:ascii="Arial" w:cs="Arial" w:eastAsia="Arial" w:hAnsi="Arial"/>
                <w:sz w:val="16"/>
                <w:szCs w:val="16"/>
                <w:color w:val="auto"/>
              </w:rPr>
              <w:t>(0.3)</w:t>
            </w:r>
          </w:p>
        </w:tc>
        <w:tc>
          <w:tcPr>
            <w:tcW w:w="1160" w:type="dxa"/>
            <w:vAlign w:val="bottom"/>
          </w:tcPr>
          <w:p>
            <w:pPr>
              <w:spacing w:after="0"/>
              <w:rPr>
                <w:sz w:val="18"/>
                <w:szCs w:val="18"/>
                <w:color w:val="auto"/>
              </w:rPr>
            </w:pPr>
          </w:p>
        </w:tc>
        <w:tc>
          <w:tcPr>
            <w:tcW w:w="740" w:type="dxa"/>
            <w:vAlign w:val="bottom"/>
            <w:gridSpan w:val="2"/>
          </w:tcPr>
          <w:p>
            <w:pPr>
              <w:jc w:val="right"/>
              <w:ind w:right="60"/>
              <w:spacing w:after="0"/>
              <w:rPr>
                <w:sz w:val="20"/>
                <w:szCs w:val="20"/>
                <w:color w:val="auto"/>
              </w:rPr>
            </w:pPr>
            <w:r>
              <w:rPr>
                <w:rFonts w:ascii="Arial" w:cs="Arial" w:eastAsia="Arial" w:hAnsi="Arial"/>
                <w:sz w:val="16"/>
                <w:szCs w:val="16"/>
                <w:color w:val="auto"/>
              </w:rPr>
              <w:t>(0.7)</w:t>
            </w:r>
          </w:p>
        </w:tc>
        <w:tc>
          <w:tcPr>
            <w:tcW w:w="0" w:type="dxa"/>
            <w:vAlign w:val="bottom"/>
          </w:tcPr>
          <w:p>
            <w:pPr>
              <w:spacing w:after="0"/>
              <w:rPr>
                <w:sz w:val="1"/>
                <w:szCs w:val="1"/>
                <w:color w:val="auto"/>
              </w:rPr>
            </w:pPr>
          </w:p>
        </w:tc>
      </w:tr>
      <w:tr>
        <w:trPr>
          <w:trHeight w:val="219"/>
        </w:trPr>
        <w:tc>
          <w:tcPr>
            <w:tcW w:w="7060" w:type="dxa"/>
            <w:vAlign w:val="bottom"/>
            <w:shd w:val="clear" w:color="auto" w:fill="CFF0FC"/>
          </w:tcPr>
          <w:p>
            <w:pPr>
              <w:ind w:left="500"/>
              <w:spacing w:after="0"/>
              <w:rPr>
                <w:sz w:val="20"/>
                <w:szCs w:val="20"/>
                <w:color w:val="auto"/>
              </w:rPr>
            </w:pPr>
            <w:r>
              <w:rPr>
                <w:rFonts w:ascii="Arial" w:cs="Arial" w:eastAsia="Arial" w:hAnsi="Arial"/>
                <w:sz w:val="16"/>
                <w:szCs w:val="16"/>
                <w:color w:val="auto"/>
              </w:rPr>
              <w:t>Cash distributions received from unconsolidated affiliates</w:t>
            </w:r>
          </w:p>
        </w:tc>
        <w:tc>
          <w:tcPr>
            <w:tcW w:w="280" w:type="dxa"/>
            <w:vAlign w:val="bottom"/>
            <w:shd w:val="clear" w:color="auto" w:fill="CFF0FC"/>
          </w:tcPr>
          <w:p>
            <w:pPr>
              <w:spacing w:after="0"/>
              <w:rPr>
                <w:sz w:val="19"/>
                <w:szCs w:val="19"/>
                <w:color w:val="auto"/>
              </w:rPr>
            </w:pPr>
          </w:p>
        </w:tc>
        <w:tc>
          <w:tcPr>
            <w:tcW w:w="1140" w:type="dxa"/>
            <w:vAlign w:val="bottom"/>
            <w:shd w:val="clear" w:color="auto" w:fill="CFF0FC"/>
          </w:tcPr>
          <w:p>
            <w:pPr>
              <w:spacing w:after="0"/>
              <w:rPr>
                <w:sz w:val="19"/>
                <w:szCs w:val="19"/>
                <w:color w:val="auto"/>
              </w:rPr>
            </w:pPr>
          </w:p>
        </w:tc>
        <w:tc>
          <w:tcPr>
            <w:tcW w:w="860" w:type="dxa"/>
            <w:vAlign w:val="bottom"/>
            <w:gridSpan w:val="2"/>
            <w:shd w:val="clear" w:color="auto" w:fill="CFF0FC"/>
          </w:tcPr>
          <w:p>
            <w:pPr>
              <w:jc w:val="right"/>
              <w:ind w:right="260"/>
              <w:spacing w:after="0"/>
              <w:rPr>
                <w:sz w:val="20"/>
                <w:szCs w:val="20"/>
                <w:color w:val="auto"/>
              </w:rPr>
            </w:pPr>
            <w:r>
              <w:rPr>
                <w:rFonts w:ascii="Arial" w:cs="Arial" w:eastAsia="Arial" w:hAnsi="Arial"/>
                <w:sz w:val="16"/>
                <w:szCs w:val="16"/>
                <w:color w:val="auto"/>
              </w:rPr>
              <w:t>—</w:t>
            </w:r>
          </w:p>
        </w:tc>
        <w:tc>
          <w:tcPr>
            <w:tcW w:w="1160" w:type="dxa"/>
            <w:vAlign w:val="bottom"/>
            <w:shd w:val="clear" w:color="auto" w:fill="CFF0FC"/>
          </w:tcPr>
          <w:p>
            <w:pPr>
              <w:spacing w:after="0"/>
              <w:rPr>
                <w:sz w:val="19"/>
                <w:szCs w:val="19"/>
                <w:color w:val="auto"/>
              </w:rPr>
            </w:pPr>
          </w:p>
        </w:tc>
        <w:tc>
          <w:tcPr>
            <w:tcW w:w="620" w:type="dxa"/>
            <w:vAlign w:val="bottom"/>
            <w:shd w:val="clear" w:color="auto" w:fill="CFF0FC"/>
          </w:tcPr>
          <w:p>
            <w:pPr>
              <w:jc w:val="right"/>
              <w:spacing w:after="0"/>
              <w:rPr>
                <w:sz w:val="20"/>
                <w:szCs w:val="20"/>
                <w:color w:val="auto"/>
              </w:rPr>
            </w:pPr>
            <w:r>
              <w:rPr>
                <w:rFonts w:ascii="Arial" w:cs="Arial" w:eastAsia="Arial" w:hAnsi="Arial"/>
                <w:sz w:val="16"/>
                <w:szCs w:val="16"/>
                <w:color w:val="auto"/>
              </w:rPr>
              <w:t>2.0</w:t>
            </w:r>
          </w:p>
        </w:tc>
        <w:tc>
          <w:tcPr>
            <w:tcW w:w="12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13"/>
        </w:trPr>
        <w:tc>
          <w:tcPr>
            <w:tcW w:w="7060" w:type="dxa"/>
            <w:vAlign w:val="bottom"/>
          </w:tcPr>
          <w:p>
            <w:pPr>
              <w:ind w:left="500"/>
              <w:spacing w:after="0"/>
              <w:rPr>
                <w:sz w:val="20"/>
                <w:szCs w:val="20"/>
                <w:color w:val="auto"/>
              </w:rPr>
            </w:pPr>
            <w:r>
              <w:rPr>
                <w:rFonts w:ascii="Arial" w:cs="Arial" w:eastAsia="Arial" w:hAnsi="Arial"/>
                <w:sz w:val="16"/>
                <w:szCs w:val="16"/>
                <w:color w:val="auto"/>
              </w:rPr>
              <w:t>Gain on bargain purchase</w:t>
            </w:r>
          </w:p>
        </w:tc>
        <w:tc>
          <w:tcPr>
            <w:tcW w:w="28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860" w:type="dxa"/>
            <w:vAlign w:val="bottom"/>
            <w:gridSpan w:val="2"/>
          </w:tcPr>
          <w:p>
            <w:pPr>
              <w:jc w:val="right"/>
              <w:ind w:right="200"/>
              <w:spacing w:after="0"/>
              <w:rPr>
                <w:sz w:val="20"/>
                <w:szCs w:val="20"/>
                <w:color w:val="auto"/>
              </w:rPr>
            </w:pPr>
            <w:r>
              <w:rPr>
                <w:rFonts w:ascii="Arial" w:cs="Arial" w:eastAsia="Arial" w:hAnsi="Arial"/>
                <w:sz w:val="16"/>
                <w:szCs w:val="16"/>
                <w:color w:val="auto"/>
              </w:rPr>
              <w:t>(2.9)</w:t>
            </w:r>
          </w:p>
        </w:tc>
        <w:tc>
          <w:tcPr>
            <w:tcW w:w="1160" w:type="dxa"/>
            <w:vAlign w:val="bottom"/>
          </w:tcPr>
          <w:p>
            <w:pPr>
              <w:spacing w:after="0"/>
              <w:rPr>
                <w:sz w:val="18"/>
                <w:szCs w:val="18"/>
                <w:color w:val="auto"/>
              </w:rPr>
            </w:pPr>
          </w:p>
        </w:tc>
        <w:tc>
          <w:tcPr>
            <w:tcW w:w="740" w:type="dxa"/>
            <w:vAlign w:val="bottom"/>
            <w:gridSpan w:val="2"/>
          </w:tcPr>
          <w:p>
            <w:pPr>
              <w:jc w:val="right"/>
              <w:ind w:right="140"/>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19"/>
        </w:trPr>
        <w:tc>
          <w:tcPr>
            <w:tcW w:w="7060" w:type="dxa"/>
            <w:vAlign w:val="bottom"/>
            <w:shd w:val="clear" w:color="auto" w:fill="CFF0FC"/>
          </w:tcPr>
          <w:p>
            <w:pPr>
              <w:ind w:left="500"/>
              <w:spacing w:after="0"/>
              <w:rPr>
                <w:sz w:val="20"/>
                <w:szCs w:val="20"/>
                <w:color w:val="auto"/>
              </w:rPr>
            </w:pPr>
            <w:r>
              <w:rPr>
                <w:rFonts w:ascii="Arial" w:cs="Arial" w:eastAsia="Arial" w:hAnsi="Arial"/>
                <w:sz w:val="16"/>
                <w:szCs w:val="16"/>
                <w:color w:val="auto"/>
              </w:rPr>
              <w:t>Stock-based compensation expense</w:t>
            </w:r>
          </w:p>
        </w:tc>
        <w:tc>
          <w:tcPr>
            <w:tcW w:w="280" w:type="dxa"/>
            <w:vAlign w:val="bottom"/>
            <w:shd w:val="clear" w:color="auto" w:fill="CFF0FC"/>
          </w:tcPr>
          <w:p>
            <w:pPr>
              <w:spacing w:after="0"/>
              <w:rPr>
                <w:sz w:val="19"/>
                <w:szCs w:val="19"/>
                <w:color w:val="auto"/>
              </w:rPr>
            </w:pPr>
          </w:p>
        </w:tc>
        <w:tc>
          <w:tcPr>
            <w:tcW w:w="1140" w:type="dxa"/>
            <w:vAlign w:val="bottom"/>
            <w:shd w:val="clear" w:color="auto" w:fill="CFF0FC"/>
          </w:tcPr>
          <w:p>
            <w:pPr>
              <w:spacing w:after="0"/>
              <w:rPr>
                <w:sz w:val="19"/>
                <w:szCs w:val="19"/>
                <w:color w:val="auto"/>
              </w:rPr>
            </w:pPr>
          </w:p>
        </w:tc>
        <w:tc>
          <w:tcPr>
            <w:tcW w:w="620" w:type="dxa"/>
            <w:vAlign w:val="bottom"/>
            <w:shd w:val="clear" w:color="auto" w:fill="CFF0FC"/>
          </w:tcPr>
          <w:p>
            <w:pPr>
              <w:jc w:val="right"/>
              <w:spacing w:after="0"/>
              <w:rPr>
                <w:sz w:val="20"/>
                <w:szCs w:val="20"/>
                <w:color w:val="auto"/>
              </w:rPr>
            </w:pPr>
            <w:r>
              <w:rPr>
                <w:rFonts w:ascii="Arial" w:cs="Arial" w:eastAsia="Arial" w:hAnsi="Arial"/>
                <w:sz w:val="16"/>
                <w:szCs w:val="16"/>
                <w:color w:val="auto"/>
              </w:rPr>
              <w:t>27.8</w:t>
            </w:r>
          </w:p>
        </w:tc>
        <w:tc>
          <w:tcPr>
            <w:tcW w:w="240" w:type="dxa"/>
            <w:vAlign w:val="bottom"/>
            <w:shd w:val="clear" w:color="auto" w:fill="CFF0FC"/>
          </w:tcPr>
          <w:p>
            <w:pPr>
              <w:spacing w:after="0"/>
              <w:rPr>
                <w:sz w:val="19"/>
                <w:szCs w:val="19"/>
                <w:color w:val="auto"/>
              </w:rPr>
            </w:pPr>
          </w:p>
        </w:tc>
        <w:tc>
          <w:tcPr>
            <w:tcW w:w="1160" w:type="dxa"/>
            <w:vAlign w:val="bottom"/>
            <w:shd w:val="clear" w:color="auto" w:fill="CFF0FC"/>
          </w:tcPr>
          <w:p>
            <w:pPr>
              <w:spacing w:after="0"/>
              <w:rPr>
                <w:sz w:val="19"/>
                <w:szCs w:val="19"/>
                <w:color w:val="auto"/>
              </w:rPr>
            </w:pPr>
          </w:p>
        </w:tc>
        <w:tc>
          <w:tcPr>
            <w:tcW w:w="620" w:type="dxa"/>
            <w:vAlign w:val="bottom"/>
            <w:shd w:val="clear" w:color="auto" w:fill="CFF0FC"/>
          </w:tcPr>
          <w:p>
            <w:pPr>
              <w:jc w:val="right"/>
              <w:spacing w:after="0"/>
              <w:rPr>
                <w:sz w:val="20"/>
                <w:szCs w:val="20"/>
                <w:color w:val="auto"/>
              </w:rPr>
            </w:pPr>
            <w:r>
              <w:rPr>
                <w:rFonts w:ascii="Arial" w:cs="Arial" w:eastAsia="Arial" w:hAnsi="Arial"/>
                <w:sz w:val="16"/>
                <w:szCs w:val="16"/>
                <w:color w:val="auto"/>
              </w:rPr>
              <w:t>22.5</w:t>
            </w:r>
          </w:p>
        </w:tc>
        <w:tc>
          <w:tcPr>
            <w:tcW w:w="12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13"/>
        </w:trPr>
        <w:tc>
          <w:tcPr>
            <w:tcW w:w="7060" w:type="dxa"/>
            <w:vAlign w:val="bottom"/>
          </w:tcPr>
          <w:p>
            <w:pPr>
              <w:ind w:left="500"/>
              <w:spacing w:after="0"/>
              <w:rPr>
                <w:sz w:val="20"/>
                <w:szCs w:val="20"/>
                <w:color w:val="auto"/>
              </w:rPr>
            </w:pPr>
            <w:r>
              <w:rPr>
                <w:rFonts w:ascii="Arial" w:cs="Arial" w:eastAsia="Arial" w:hAnsi="Arial"/>
                <w:sz w:val="16"/>
                <w:szCs w:val="16"/>
                <w:color w:val="auto"/>
              </w:rPr>
              <w:t>Net (gains) losses on investments</w:t>
            </w:r>
          </w:p>
        </w:tc>
        <w:tc>
          <w:tcPr>
            <w:tcW w:w="28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860" w:type="dxa"/>
            <w:vAlign w:val="bottom"/>
            <w:gridSpan w:val="2"/>
          </w:tcPr>
          <w:p>
            <w:pPr>
              <w:jc w:val="right"/>
              <w:ind w:right="200"/>
              <w:spacing w:after="0"/>
              <w:rPr>
                <w:sz w:val="20"/>
                <w:szCs w:val="20"/>
                <w:color w:val="auto"/>
              </w:rPr>
            </w:pPr>
            <w:r>
              <w:rPr>
                <w:rFonts w:ascii="Arial" w:cs="Arial" w:eastAsia="Arial" w:hAnsi="Arial"/>
                <w:sz w:val="16"/>
                <w:szCs w:val="16"/>
                <w:color w:val="auto"/>
              </w:rPr>
              <w:t>(13.6)</w:t>
            </w:r>
          </w:p>
        </w:tc>
        <w:tc>
          <w:tcPr>
            <w:tcW w:w="1160" w:type="dxa"/>
            <w:vAlign w:val="bottom"/>
          </w:tcPr>
          <w:p>
            <w:pPr>
              <w:spacing w:after="0"/>
              <w:rPr>
                <w:sz w:val="18"/>
                <w:szCs w:val="18"/>
                <w:color w:val="auto"/>
              </w:rPr>
            </w:pPr>
          </w:p>
        </w:tc>
        <w:tc>
          <w:tcPr>
            <w:tcW w:w="620" w:type="dxa"/>
            <w:vAlign w:val="bottom"/>
          </w:tcPr>
          <w:p>
            <w:pPr>
              <w:jc w:val="right"/>
              <w:spacing w:after="0"/>
              <w:rPr>
                <w:sz w:val="20"/>
                <w:szCs w:val="20"/>
                <w:color w:val="auto"/>
              </w:rPr>
            </w:pPr>
            <w:r>
              <w:rPr>
                <w:rFonts w:ascii="Arial" w:cs="Arial" w:eastAsia="Arial" w:hAnsi="Arial"/>
                <w:sz w:val="16"/>
                <w:szCs w:val="16"/>
                <w:color w:val="auto"/>
              </w:rPr>
              <w:t>11.3</w:t>
            </w: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9"/>
        </w:trPr>
        <w:tc>
          <w:tcPr>
            <w:tcW w:w="7060" w:type="dxa"/>
            <w:vAlign w:val="bottom"/>
            <w:shd w:val="clear" w:color="auto" w:fill="CFF0FC"/>
          </w:tcPr>
          <w:p>
            <w:pPr>
              <w:ind w:left="500"/>
              <w:spacing w:after="0"/>
              <w:rPr>
                <w:sz w:val="20"/>
                <w:szCs w:val="20"/>
                <w:color w:val="auto"/>
              </w:rPr>
            </w:pPr>
            <w:r>
              <w:rPr>
                <w:rFonts w:ascii="Arial" w:cs="Arial" w:eastAsia="Arial" w:hAnsi="Arial"/>
                <w:sz w:val="16"/>
                <w:szCs w:val="16"/>
                <w:color w:val="auto"/>
              </w:rPr>
              <w:t>Amortization and write-offs of loan origination costs and original issue discounts</w:t>
            </w:r>
          </w:p>
        </w:tc>
        <w:tc>
          <w:tcPr>
            <w:tcW w:w="280" w:type="dxa"/>
            <w:vAlign w:val="bottom"/>
            <w:shd w:val="clear" w:color="auto" w:fill="CFF0FC"/>
          </w:tcPr>
          <w:p>
            <w:pPr>
              <w:spacing w:after="0"/>
              <w:rPr>
                <w:sz w:val="19"/>
                <w:szCs w:val="19"/>
                <w:color w:val="auto"/>
              </w:rPr>
            </w:pPr>
          </w:p>
        </w:tc>
        <w:tc>
          <w:tcPr>
            <w:tcW w:w="1140" w:type="dxa"/>
            <w:vAlign w:val="bottom"/>
            <w:shd w:val="clear" w:color="auto" w:fill="CFF0FC"/>
          </w:tcPr>
          <w:p>
            <w:pPr>
              <w:spacing w:after="0"/>
              <w:rPr>
                <w:sz w:val="19"/>
                <w:szCs w:val="19"/>
                <w:color w:val="auto"/>
              </w:rPr>
            </w:pPr>
          </w:p>
        </w:tc>
        <w:tc>
          <w:tcPr>
            <w:tcW w:w="620" w:type="dxa"/>
            <w:vAlign w:val="bottom"/>
            <w:shd w:val="clear" w:color="auto" w:fill="CFF0FC"/>
          </w:tcPr>
          <w:p>
            <w:pPr>
              <w:jc w:val="right"/>
              <w:spacing w:after="0"/>
              <w:rPr>
                <w:sz w:val="20"/>
                <w:szCs w:val="20"/>
                <w:color w:val="auto"/>
              </w:rPr>
            </w:pPr>
            <w:r>
              <w:rPr>
                <w:rFonts w:ascii="Arial" w:cs="Arial" w:eastAsia="Arial" w:hAnsi="Arial"/>
                <w:sz w:val="16"/>
                <w:szCs w:val="16"/>
                <w:color w:val="auto"/>
              </w:rPr>
              <w:t>3.3</w:t>
            </w:r>
          </w:p>
        </w:tc>
        <w:tc>
          <w:tcPr>
            <w:tcW w:w="240" w:type="dxa"/>
            <w:vAlign w:val="bottom"/>
            <w:shd w:val="clear" w:color="auto" w:fill="CFF0FC"/>
          </w:tcPr>
          <w:p>
            <w:pPr>
              <w:spacing w:after="0"/>
              <w:rPr>
                <w:sz w:val="19"/>
                <w:szCs w:val="19"/>
                <w:color w:val="auto"/>
              </w:rPr>
            </w:pPr>
          </w:p>
        </w:tc>
        <w:tc>
          <w:tcPr>
            <w:tcW w:w="1160" w:type="dxa"/>
            <w:vAlign w:val="bottom"/>
            <w:shd w:val="clear" w:color="auto" w:fill="CFF0FC"/>
          </w:tcPr>
          <w:p>
            <w:pPr>
              <w:spacing w:after="0"/>
              <w:rPr>
                <w:sz w:val="19"/>
                <w:szCs w:val="19"/>
                <w:color w:val="auto"/>
              </w:rPr>
            </w:pPr>
          </w:p>
        </w:tc>
        <w:tc>
          <w:tcPr>
            <w:tcW w:w="620" w:type="dxa"/>
            <w:vAlign w:val="bottom"/>
            <w:shd w:val="clear" w:color="auto" w:fill="CFF0FC"/>
          </w:tcPr>
          <w:p>
            <w:pPr>
              <w:jc w:val="right"/>
              <w:spacing w:after="0"/>
              <w:rPr>
                <w:sz w:val="20"/>
                <w:szCs w:val="20"/>
                <w:color w:val="auto"/>
              </w:rPr>
            </w:pPr>
            <w:r>
              <w:rPr>
                <w:rFonts w:ascii="Arial" w:cs="Arial" w:eastAsia="Arial" w:hAnsi="Arial"/>
                <w:sz w:val="16"/>
                <w:szCs w:val="16"/>
                <w:color w:val="auto"/>
              </w:rPr>
              <w:t>3.5</w:t>
            </w:r>
          </w:p>
        </w:tc>
        <w:tc>
          <w:tcPr>
            <w:tcW w:w="12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13"/>
        </w:trPr>
        <w:tc>
          <w:tcPr>
            <w:tcW w:w="7060" w:type="dxa"/>
            <w:vAlign w:val="bottom"/>
          </w:tcPr>
          <w:p>
            <w:pPr>
              <w:ind w:left="500"/>
              <w:spacing w:after="0"/>
              <w:rPr>
                <w:sz w:val="20"/>
                <w:szCs w:val="20"/>
                <w:color w:val="auto"/>
              </w:rPr>
            </w:pPr>
            <w:r>
              <w:rPr>
                <w:rFonts w:ascii="Arial" w:cs="Arial" w:eastAsia="Arial" w:hAnsi="Arial"/>
                <w:sz w:val="16"/>
                <w:szCs w:val="16"/>
                <w:color w:val="auto"/>
              </w:rPr>
              <w:t>Loss on extinguishment of debt, net</w:t>
            </w:r>
          </w:p>
        </w:tc>
        <w:tc>
          <w:tcPr>
            <w:tcW w:w="28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620" w:type="dxa"/>
            <w:vAlign w:val="bottom"/>
          </w:tcPr>
          <w:p>
            <w:pPr>
              <w:jc w:val="right"/>
              <w:spacing w:after="0"/>
              <w:rPr>
                <w:sz w:val="20"/>
                <w:szCs w:val="20"/>
                <w:color w:val="auto"/>
              </w:rPr>
            </w:pPr>
            <w:r>
              <w:rPr>
                <w:rFonts w:ascii="Arial" w:cs="Arial" w:eastAsia="Arial" w:hAnsi="Arial"/>
                <w:sz w:val="16"/>
                <w:szCs w:val="16"/>
                <w:color w:val="auto"/>
              </w:rPr>
              <w:t>0.3</w:t>
            </w:r>
          </w:p>
        </w:tc>
        <w:tc>
          <w:tcPr>
            <w:tcW w:w="24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620" w:type="dxa"/>
            <w:vAlign w:val="bottom"/>
          </w:tcPr>
          <w:p>
            <w:pPr>
              <w:jc w:val="right"/>
              <w:spacing w:after="0"/>
              <w:rPr>
                <w:sz w:val="20"/>
                <w:szCs w:val="20"/>
                <w:color w:val="auto"/>
              </w:rPr>
            </w:pPr>
            <w:r>
              <w:rPr>
                <w:rFonts w:ascii="Arial" w:cs="Arial" w:eastAsia="Arial" w:hAnsi="Arial"/>
                <w:sz w:val="16"/>
                <w:szCs w:val="16"/>
                <w:color w:val="auto"/>
              </w:rPr>
              <w:t>0.4</w:t>
            </w: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9"/>
        </w:trPr>
        <w:tc>
          <w:tcPr>
            <w:tcW w:w="7060" w:type="dxa"/>
            <w:vAlign w:val="bottom"/>
            <w:shd w:val="clear" w:color="auto" w:fill="CFF0FC"/>
          </w:tcPr>
          <w:p>
            <w:pPr>
              <w:ind w:left="500"/>
              <w:spacing w:after="0"/>
              <w:rPr>
                <w:sz w:val="20"/>
                <w:szCs w:val="20"/>
                <w:color w:val="auto"/>
              </w:rPr>
            </w:pPr>
            <w:r>
              <w:rPr>
                <w:rFonts w:ascii="Arial" w:cs="Arial" w:eastAsia="Arial" w:hAnsi="Arial"/>
                <w:sz w:val="16"/>
                <w:szCs w:val="16"/>
                <w:color w:val="auto"/>
              </w:rPr>
              <w:t>Loss on sale or disposition of property and equipment</w:t>
            </w:r>
          </w:p>
        </w:tc>
        <w:tc>
          <w:tcPr>
            <w:tcW w:w="280" w:type="dxa"/>
            <w:vAlign w:val="bottom"/>
            <w:shd w:val="clear" w:color="auto" w:fill="CFF0FC"/>
          </w:tcPr>
          <w:p>
            <w:pPr>
              <w:spacing w:after="0"/>
              <w:rPr>
                <w:sz w:val="19"/>
                <w:szCs w:val="19"/>
                <w:color w:val="auto"/>
              </w:rPr>
            </w:pPr>
          </w:p>
        </w:tc>
        <w:tc>
          <w:tcPr>
            <w:tcW w:w="1140" w:type="dxa"/>
            <w:vAlign w:val="bottom"/>
            <w:shd w:val="clear" w:color="auto" w:fill="CFF0FC"/>
          </w:tcPr>
          <w:p>
            <w:pPr>
              <w:spacing w:after="0"/>
              <w:rPr>
                <w:sz w:val="19"/>
                <w:szCs w:val="19"/>
                <w:color w:val="auto"/>
              </w:rPr>
            </w:pPr>
          </w:p>
        </w:tc>
        <w:tc>
          <w:tcPr>
            <w:tcW w:w="860" w:type="dxa"/>
            <w:vAlign w:val="bottom"/>
            <w:gridSpan w:val="2"/>
            <w:shd w:val="clear" w:color="auto" w:fill="CFF0FC"/>
          </w:tcPr>
          <w:p>
            <w:pPr>
              <w:jc w:val="right"/>
              <w:ind w:right="260"/>
              <w:spacing w:after="0"/>
              <w:rPr>
                <w:sz w:val="20"/>
                <w:szCs w:val="20"/>
                <w:color w:val="auto"/>
              </w:rPr>
            </w:pPr>
            <w:r>
              <w:rPr>
                <w:rFonts w:ascii="Arial" w:cs="Arial" w:eastAsia="Arial" w:hAnsi="Arial"/>
                <w:sz w:val="16"/>
                <w:szCs w:val="16"/>
                <w:color w:val="auto"/>
              </w:rPr>
              <w:t>—</w:t>
            </w:r>
          </w:p>
        </w:tc>
        <w:tc>
          <w:tcPr>
            <w:tcW w:w="1160" w:type="dxa"/>
            <w:vAlign w:val="bottom"/>
            <w:shd w:val="clear" w:color="auto" w:fill="CFF0FC"/>
          </w:tcPr>
          <w:p>
            <w:pPr>
              <w:spacing w:after="0"/>
              <w:rPr>
                <w:sz w:val="19"/>
                <w:szCs w:val="19"/>
                <w:color w:val="auto"/>
              </w:rPr>
            </w:pPr>
          </w:p>
        </w:tc>
        <w:tc>
          <w:tcPr>
            <w:tcW w:w="620" w:type="dxa"/>
            <w:vAlign w:val="bottom"/>
            <w:shd w:val="clear" w:color="auto" w:fill="CFF0FC"/>
          </w:tcPr>
          <w:p>
            <w:pPr>
              <w:jc w:val="right"/>
              <w:spacing w:after="0"/>
              <w:rPr>
                <w:sz w:val="20"/>
                <w:szCs w:val="20"/>
                <w:color w:val="auto"/>
              </w:rPr>
            </w:pPr>
            <w:r>
              <w:rPr>
                <w:rFonts w:ascii="Arial" w:cs="Arial" w:eastAsia="Arial" w:hAnsi="Arial"/>
                <w:sz w:val="16"/>
                <w:szCs w:val="16"/>
                <w:color w:val="auto"/>
              </w:rPr>
              <w:t>3.7</w:t>
            </w:r>
          </w:p>
        </w:tc>
        <w:tc>
          <w:tcPr>
            <w:tcW w:w="12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13"/>
        </w:trPr>
        <w:tc>
          <w:tcPr>
            <w:tcW w:w="7060" w:type="dxa"/>
            <w:vAlign w:val="bottom"/>
          </w:tcPr>
          <w:p>
            <w:pPr>
              <w:ind w:left="500"/>
              <w:spacing w:after="0"/>
              <w:rPr>
                <w:sz w:val="20"/>
                <w:szCs w:val="20"/>
                <w:color w:val="auto"/>
              </w:rPr>
            </w:pPr>
            <w:r>
              <w:rPr>
                <w:rFonts w:ascii="Arial" w:cs="Arial" w:eastAsia="Arial" w:hAnsi="Arial"/>
                <w:sz w:val="16"/>
                <w:szCs w:val="16"/>
                <w:color w:val="auto"/>
              </w:rPr>
              <w:t>Deferred income taxes</w:t>
            </w:r>
          </w:p>
        </w:tc>
        <w:tc>
          <w:tcPr>
            <w:tcW w:w="28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860" w:type="dxa"/>
            <w:vAlign w:val="bottom"/>
            <w:gridSpan w:val="2"/>
          </w:tcPr>
          <w:p>
            <w:pPr>
              <w:jc w:val="right"/>
              <w:ind w:right="200"/>
              <w:spacing w:after="0"/>
              <w:rPr>
                <w:sz w:val="20"/>
                <w:szCs w:val="20"/>
                <w:color w:val="auto"/>
              </w:rPr>
            </w:pPr>
            <w:r>
              <w:rPr>
                <w:rFonts w:ascii="Arial" w:cs="Arial" w:eastAsia="Arial" w:hAnsi="Arial"/>
                <w:sz w:val="16"/>
                <w:szCs w:val="16"/>
                <w:color w:val="auto"/>
              </w:rPr>
              <w:t>(33.5)</w:t>
            </w:r>
          </w:p>
        </w:tc>
        <w:tc>
          <w:tcPr>
            <w:tcW w:w="1160" w:type="dxa"/>
            <w:vAlign w:val="bottom"/>
          </w:tcPr>
          <w:p>
            <w:pPr>
              <w:spacing w:after="0"/>
              <w:rPr>
                <w:sz w:val="18"/>
                <w:szCs w:val="18"/>
                <w:color w:val="auto"/>
              </w:rPr>
            </w:pPr>
          </w:p>
        </w:tc>
        <w:tc>
          <w:tcPr>
            <w:tcW w:w="740" w:type="dxa"/>
            <w:vAlign w:val="bottom"/>
            <w:gridSpan w:val="2"/>
          </w:tcPr>
          <w:p>
            <w:pPr>
              <w:jc w:val="right"/>
              <w:ind w:right="60"/>
              <w:spacing w:after="0"/>
              <w:rPr>
                <w:sz w:val="20"/>
                <w:szCs w:val="20"/>
                <w:color w:val="auto"/>
              </w:rPr>
            </w:pPr>
            <w:r>
              <w:rPr>
                <w:rFonts w:ascii="Arial" w:cs="Arial" w:eastAsia="Arial" w:hAnsi="Arial"/>
                <w:sz w:val="16"/>
                <w:szCs w:val="16"/>
                <w:color w:val="auto"/>
              </w:rPr>
              <w:t>(32.3)</w:t>
            </w:r>
          </w:p>
        </w:tc>
        <w:tc>
          <w:tcPr>
            <w:tcW w:w="0" w:type="dxa"/>
            <w:vAlign w:val="bottom"/>
          </w:tcPr>
          <w:p>
            <w:pPr>
              <w:spacing w:after="0"/>
              <w:rPr>
                <w:sz w:val="1"/>
                <w:szCs w:val="1"/>
                <w:color w:val="auto"/>
              </w:rPr>
            </w:pPr>
          </w:p>
        </w:tc>
      </w:tr>
      <w:tr>
        <w:trPr>
          <w:trHeight w:val="219"/>
        </w:trPr>
        <w:tc>
          <w:tcPr>
            <w:tcW w:w="7060" w:type="dxa"/>
            <w:vAlign w:val="bottom"/>
            <w:shd w:val="clear" w:color="auto" w:fill="CFF0FC"/>
          </w:tcPr>
          <w:p>
            <w:pPr>
              <w:ind w:left="500"/>
              <w:spacing w:after="0"/>
              <w:rPr>
                <w:sz w:val="20"/>
                <w:szCs w:val="20"/>
                <w:color w:val="auto"/>
              </w:rPr>
            </w:pPr>
            <w:r>
              <w:rPr>
                <w:rFonts w:ascii="Arial" w:cs="Arial" w:eastAsia="Arial" w:hAnsi="Arial"/>
                <w:sz w:val="16"/>
                <w:szCs w:val="16"/>
                <w:color w:val="auto"/>
              </w:rPr>
              <w:t>Provision for doubtful accounts</w:t>
            </w:r>
          </w:p>
        </w:tc>
        <w:tc>
          <w:tcPr>
            <w:tcW w:w="280" w:type="dxa"/>
            <w:vAlign w:val="bottom"/>
            <w:shd w:val="clear" w:color="auto" w:fill="CFF0FC"/>
          </w:tcPr>
          <w:p>
            <w:pPr>
              <w:spacing w:after="0"/>
              <w:rPr>
                <w:sz w:val="19"/>
                <w:szCs w:val="19"/>
                <w:color w:val="auto"/>
              </w:rPr>
            </w:pPr>
          </w:p>
        </w:tc>
        <w:tc>
          <w:tcPr>
            <w:tcW w:w="1140" w:type="dxa"/>
            <w:vAlign w:val="bottom"/>
            <w:shd w:val="clear" w:color="auto" w:fill="CFF0FC"/>
          </w:tcPr>
          <w:p>
            <w:pPr>
              <w:spacing w:after="0"/>
              <w:rPr>
                <w:sz w:val="19"/>
                <w:szCs w:val="19"/>
                <w:color w:val="auto"/>
              </w:rPr>
            </w:pPr>
          </w:p>
        </w:tc>
        <w:tc>
          <w:tcPr>
            <w:tcW w:w="620" w:type="dxa"/>
            <w:vAlign w:val="bottom"/>
            <w:shd w:val="clear" w:color="auto" w:fill="CFF0FC"/>
          </w:tcPr>
          <w:p>
            <w:pPr>
              <w:jc w:val="right"/>
              <w:spacing w:after="0"/>
              <w:rPr>
                <w:sz w:val="20"/>
                <w:szCs w:val="20"/>
                <w:color w:val="auto"/>
              </w:rPr>
            </w:pPr>
            <w:r>
              <w:rPr>
                <w:rFonts w:ascii="Arial" w:cs="Arial" w:eastAsia="Arial" w:hAnsi="Arial"/>
                <w:sz w:val="16"/>
                <w:szCs w:val="16"/>
                <w:color w:val="auto"/>
              </w:rPr>
              <w:t>2.1</w:t>
            </w:r>
          </w:p>
        </w:tc>
        <w:tc>
          <w:tcPr>
            <w:tcW w:w="240" w:type="dxa"/>
            <w:vAlign w:val="bottom"/>
            <w:shd w:val="clear" w:color="auto" w:fill="CFF0FC"/>
          </w:tcPr>
          <w:p>
            <w:pPr>
              <w:spacing w:after="0"/>
              <w:rPr>
                <w:sz w:val="19"/>
                <w:szCs w:val="19"/>
                <w:color w:val="auto"/>
              </w:rPr>
            </w:pPr>
          </w:p>
        </w:tc>
        <w:tc>
          <w:tcPr>
            <w:tcW w:w="1160" w:type="dxa"/>
            <w:vAlign w:val="bottom"/>
            <w:shd w:val="clear" w:color="auto" w:fill="CFF0FC"/>
          </w:tcPr>
          <w:p>
            <w:pPr>
              <w:spacing w:after="0"/>
              <w:rPr>
                <w:sz w:val="19"/>
                <w:szCs w:val="19"/>
                <w:color w:val="auto"/>
              </w:rPr>
            </w:pPr>
          </w:p>
        </w:tc>
        <w:tc>
          <w:tcPr>
            <w:tcW w:w="620" w:type="dxa"/>
            <w:vAlign w:val="bottom"/>
            <w:shd w:val="clear" w:color="auto" w:fill="CFF0FC"/>
          </w:tcPr>
          <w:p>
            <w:pPr>
              <w:jc w:val="right"/>
              <w:spacing w:after="0"/>
              <w:rPr>
                <w:sz w:val="20"/>
                <w:szCs w:val="20"/>
                <w:color w:val="auto"/>
              </w:rPr>
            </w:pPr>
            <w:r>
              <w:rPr>
                <w:rFonts w:ascii="Arial" w:cs="Arial" w:eastAsia="Arial" w:hAnsi="Arial"/>
                <w:sz w:val="16"/>
                <w:szCs w:val="16"/>
                <w:color w:val="auto"/>
              </w:rPr>
              <w:t>2.3</w:t>
            </w:r>
          </w:p>
        </w:tc>
        <w:tc>
          <w:tcPr>
            <w:tcW w:w="12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13"/>
        </w:trPr>
        <w:tc>
          <w:tcPr>
            <w:tcW w:w="7060" w:type="dxa"/>
            <w:vAlign w:val="bottom"/>
          </w:tcPr>
          <w:p>
            <w:pPr>
              <w:ind w:left="260"/>
              <w:spacing w:after="0"/>
              <w:rPr>
                <w:sz w:val="20"/>
                <w:szCs w:val="20"/>
                <w:color w:val="auto"/>
              </w:rPr>
            </w:pPr>
            <w:r>
              <w:rPr>
                <w:rFonts w:ascii="Arial" w:cs="Arial" w:eastAsia="Arial" w:hAnsi="Arial"/>
                <w:sz w:val="16"/>
                <w:szCs w:val="16"/>
                <w:color w:val="auto"/>
              </w:rPr>
              <w:t>Changes in operating assets and liabilities, excluding effects from acquisitions:</w:t>
            </w:r>
          </w:p>
        </w:tc>
        <w:tc>
          <w:tcPr>
            <w:tcW w:w="28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9"/>
        </w:trPr>
        <w:tc>
          <w:tcPr>
            <w:tcW w:w="7060" w:type="dxa"/>
            <w:vAlign w:val="bottom"/>
            <w:shd w:val="clear" w:color="auto" w:fill="CFF0FC"/>
          </w:tcPr>
          <w:p>
            <w:pPr>
              <w:ind w:left="500"/>
              <w:spacing w:after="0"/>
              <w:rPr>
                <w:sz w:val="20"/>
                <w:szCs w:val="20"/>
                <w:color w:val="auto"/>
              </w:rPr>
            </w:pPr>
            <w:r>
              <w:rPr>
                <w:rFonts w:ascii="Arial" w:cs="Arial" w:eastAsia="Arial" w:hAnsi="Arial"/>
                <w:sz w:val="16"/>
                <w:szCs w:val="16"/>
                <w:color w:val="auto"/>
              </w:rPr>
              <w:t>Accounts receivable</w:t>
            </w:r>
          </w:p>
        </w:tc>
        <w:tc>
          <w:tcPr>
            <w:tcW w:w="280" w:type="dxa"/>
            <w:vAlign w:val="bottom"/>
            <w:shd w:val="clear" w:color="auto" w:fill="CFF0FC"/>
          </w:tcPr>
          <w:p>
            <w:pPr>
              <w:spacing w:after="0"/>
              <w:rPr>
                <w:sz w:val="19"/>
                <w:szCs w:val="19"/>
                <w:color w:val="auto"/>
              </w:rPr>
            </w:pPr>
          </w:p>
        </w:tc>
        <w:tc>
          <w:tcPr>
            <w:tcW w:w="1140" w:type="dxa"/>
            <w:vAlign w:val="bottom"/>
            <w:shd w:val="clear" w:color="auto" w:fill="CFF0FC"/>
          </w:tcPr>
          <w:p>
            <w:pPr>
              <w:spacing w:after="0"/>
              <w:rPr>
                <w:sz w:val="19"/>
                <w:szCs w:val="19"/>
                <w:color w:val="auto"/>
              </w:rPr>
            </w:pPr>
          </w:p>
        </w:tc>
        <w:tc>
          <w:tcPr>
            <w:tcW w:w="860" w:type="dxa"/>
            <w:vAlign w:val="bottom"/>
            <w:gridSpan w:val="2"/>
            <w:shd w:val="clear" w:color="auto" w:fill="CFF0FC"/>
          </w:tcPr>
          <w:p>
            <w:pPr>
              <w:jc w:val="right"/>
              <w:ind w:right="200"/>
              <w:spacing w:after="0"/>
              <w:rPr>
                <w:sz w:val="20"/>
                <w:szCs w:val="20"/>
                <w:color w:val="auto"/>
              </w:rPr>
            </w:pPr>
            <w:r>
              <w:rPr>
                <w:rFonts w:ascii="Arial" w:cs="Arial" w:eastAsia="Arial" w:hAnsi="Arial"/>
                <w:sz w:val="16"/>
                <w:szCs w:val="16"/>
                <w:color w:val="auto"/>
              </w:rPr>
              <w:t>(24.9)</w:t>
            </w:r>
          </w:p>
        </w:tc>
        <w:tc>
          <w:tcPr>
            <w:tcW w:w="1160" w:type="dxa"/>
            <w:vAlign w:val="bottom"/>
            <w:shd w:val="clear" w:color="auto" w:fill="CFF0FC"/>
          </w:tcPr>
          <w:p>
            <w:pPr>
              <w:spacing w:after="0"/>
              <w:rPr>
                <w:sz w:val="19"/>
                <w:szCs w:val="19"/>
                <w:color w:val="auto"/>
              </w:rPr>
            </w:pPr>
          </w:p>
        </w:tc>
        <w:tc>
          <w:tcPr>
            <w:tcW w:w="740" w:type="dxa"/>
            <w:vAlign w:val="bottom"/>
            <w:gridSpan w:val="2"/>
            <w:shd w:val="clear" w:color="auto" w:fill="CFF0FC"/>
          </w:tcPr>
          <w:p>
            <w:pPr>
              <w:jc w:val="right"/>
              <w:ind w:right="60"/>
              <w:spacing w:after="0"/>
              <w:rPr>
                <w:sz w:val="20"/>
                <w:szCs w:val="20"/>
                <w:color w:val="auto"/>
              </w:rPr>
            </w:pPr>
            <w:r>
              <w:rPr>
                <w:rFonts w:ascii="Arial" w:cs="Arial" w:eastAsia="Arial" w:hAnsi="Arial"/>
                <w:sz w:val="16"/>
                <w:szCs w:val="16"/>
                <w:color w:val="auto"/>
              </w:rPr>
              <w:t>(27.2)</w:t>
            </w:r>
          </w:p>
        </w:tc>
        <w:tc>
          <w:tcPr>
            <w:tcW w:w="0" w:type="dxa"/>
            <w:vAlign w:val="bottom"/>
          </w:tcPr>
          <w:p>
            <w:pPr>
              <w:spacing w:after="0"/>
              <w:rPr>
                <w:sz w:val="1"/>
                <w:szCs w:val="1"/>
                <w:color w:val="auto"/>
              </w:rPr>
            </w:pPr>
          </w:p>
        </w:tc>
      </w:tr>
      <w:tr>
        <w:trPr>
          <w:trHeight w:val="213"/>
        </w:trPr>
        <w:tc>
          <w:tcPr>
            <w:tcW w:w="7060" w:type="dxa"/>
            <w:vAlign w:val="bottom"/>
          </w:tcPr>
          <w:p>
            <w:pPr>
              <w:ind w:left="500"/>
              <w:spacing w:after="0"/>
              <w:rPr>
                <w:sz w:val="20"/>
                <w:szCs w:val="20"/>
                <w:color w:val="auto"/>
              </w:rPr>
            </w:pPr>
            <w:r>
              <w:rPr>
                <w:rFonts w:ascii="Arial" w:cs="Arial" w:eastAsia="Arial" w:hAnsi="Arial"/>
                <w:sz w:val="16"/>
                <w:szCs w:val="16"/>
                <w:color w:val="auto"/>
              </w:rPr>
              <w:t>Prepaid expenses and other assets</w:t>
            </w:r>
          </w:p>
        </w:tc>
        <w:tc>
          <w:tcPr>
            <w:tcW w:w="28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860" w:type="dxa"/>
            <w:vAlign w:val="bottom"/>
            <w:gridSpan w:val="2"/>
          </w:tcPr>
          <w:p>
            <w:pPr>
              <w:jc w:val="right"/>
              <w:ind w:right="200"/>
              <w:spacing w:after="0"/>
              <w:rPr>
                <w:sz w:val="20"/>
                <w:szCs w:val="20"/>
                <w:color w:val="auto"/>
              </w:rPr>
            </w:pPr>
            <w:r>
              <w:rPr>
                <w:rFonts w:ascii="Arial" w:cs="Arial" w:eastAsia="Arial" w:hAnsi="Arial"/>
                <w:sz w:val="16"/>
                <w:szCs w:val="16"/>
                <w:color w:val="auto"/>
              </w:rPr>
              <w:t>(13.9)</w:t>
            </w:r>
          </w:p>
        </w:tc>
        <w:tc>
          <w:tcPr>
            <w:tcW w:w="1160" w:type="dxa"/>
            <w:vAlign w:val="bottom"/>
          </w:tcPr>
          <w:p>
            <w:pPr>
              <w:spacing w:after="0"/>
              <w:rPr>
                <w:sz w:val="18"/>
                <w:szCs w:val="18"/>
                <w:color w:val="auto"/>
              </w:rPr>
            </w:pPr>
          </w:p>
        </w:tc>
        <w:tc>
          <w:tcPr>
            <w:tcW w:w="620" w:type="dxa"/>
            <w:vAlign w:val="bottom"/>
          </w:tcPr>
          <w:p>
            <w:pPr>
              <w:jc w:val="right"/>
              <w:spacing w:after="0"/>
              <w:rPr>
                <w:sz w:val="20"/>
                <w:szCs w:val="20"/>
                <w:color w:val="auto"/>
              </w:rPr>
            </w:pPr>
            <w:r>
              <w:rPr>
                <w:rFonts w:ascii="Arial" w:cs="Arial" w:eastAsia="Arial" w:hAnsi="Arial"/>
                <w:sz w:val="16"/>
                <w:szCs w:val="16"/>
                <w:color w:val="auto"/>
              </w:rPr>
              <w:t>13.2</w:t>
            </w: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9"/>
        </w:trPr>
        <w:tc>
          <w:tcPr>
            <w:tcW w:w="7060" w:type="dxa"/>
            <w:vAlign w:val="bottom"/>
            <w:shd w:val="clear" w:color="auto" w:fill="CFF0FC"/>
          </w:tcPr>
          <w:p>
            <w:pPr>
              <w:ind w:left="500"/>
              <w:spacing w:after="0"/>
              <w:rPr>
                <w:sz w:val="20"/>
                <w:szCs w:val="20"/>
                <w:color w:val="auto"/>
              </w:rPr>
            </w:pPr>
            <w:r>
              <w:rPr>
                <w:rFonts w:ascii="Arial" w:cs="Arial" w:eastAsia="Arial" w:hAnsi="Arial"/>
                <w:sz w:val="16"/>
                <w:szCs w:val="16"/>
                <w:color w:val="auto"/>
              </w:rPr>
              <w:t>Contract assets</w:t>
            </w:r>
          </w:p>
        </w:tc>
        <w:tc>
          <w:tcPr>
            <w:tcW w:w="280" w:type="dxa"/>
            <w:vAlign w:val="bottom"/>
            <w:shd w:val="clear" w:color="auto" w:fill="CFF0FC"/>
          </w:tcPr>
          <w:p>
            <w:pPr>
              <w:spacing w:after="0"/>
              <w:rPr>
                <w:sz w:val="19"/>
                <w:szCs w:val="19"/>
                <w:color w:val="auto"/>
              </w:rPr>
            </w:pPr>
          </w:p>
        </w:tc>
        <w:tc>
          <w:tcPr>
            <w:tcW w:w="1140" w:type="dxa"/>
            <w:vAlign w:val="bottom"/>
            <w:shd w:val="clear" w:color="auto" w:fill="CFF0FC"/>
          </w:tcPr>
          <w:p>
            <w:pPr>
              <w:spacing w:after="0"/>
              <w:rPr>
                <w:sz w:val="19"/>
                <w:szCs w:val="19"/>
                <w:color w:val="auto"/>
              </w:rPr>
            </w:pPr>
          </w:p>
        </w:tc>
        <w:tc>
          <w:tcPr>
            <w:tcW w:w="860" w:type="dxa"/>
            <w:vAlign w:val="bottom"/>
            <w:gridSpan w:val="2"/>
            <w:shd w:val="clear" w:color="auto" w:fill="CFF0FC"/>
          </w:tcPr>
          <w:p>
            <w:pPr>
              <w:jc w:val="right"/>
              <w:ind w:right="200"/>
              <w:spacing w:after="0"/>
              <w:rPr>
                <w:sz w:val="20"/>
                <w:szCs w:val="20"/>
                <w:color w:val="auto"/>
              </w:rPr>
            </w:pPr>
            <w:r>
              <w:rPr>
                <w:rFonts w:ascii="Arial" w:cs="Arial" w:eastAsia="Arial" w:hAnsi="Arial"/>
                <w:sz w:val="16"/>
                <w:szCs w:val="16"/>
                <w:color w:val="auto"/>
              </w:rPr>
              <w:t>(6.5)</w:t>
            </w:r>
          </w:p>
        </w:tc>
        <w:tc>
          <w:tcPr>
            <w:tcW w:w="1160" w:type="dxa"/>
            <w:vAlign w:val="bottom"/>
            <w:shd w:val="clear" w:color="auto" w:fill="CFF0FC"/>
          </w:tcPr>
          <w:p>
            <w:pPr>
              <w:spacing w:after="0"/>
              <w:rPr>
                <w:sz w:val="19"/>
                <w:szCs w:val="19"/>
                <w:color w:val="auto"/>
              </w:rPr>
            </w:pPr>
          </w:p>
        </w:tc>
        <w:tc>
          <w:tcPr>
            <w:tcW w:w="740" w:type="dxa"/>
            <w:vAlign w:val="bottom"/>
            <w:gridSpan w:val="2"/>
            <w:shd w:val="clear" w:color="auto" w:fill="CFF0FC"/>
          </w:tcPr>
          <w:p>
            <w:pPr>
              <w:jc w:val="right"/>
              <w:ind w:right="60"/>
              <w:spacing w:after="0"/>
              <w:rPr>
                <w:sz w:val="20"/>
                <w:szCs w:val="20"/>
                <w:color w:val="auto"/>
              </w:rPr>
            </w:pPr>
            <w:r>
              <w:rPr>
                <w:rFonts w:ascii="Arial" w:cs="Arial" w:eastAsia="Arial" w:hAnsi="Arial"/>
                <w:sz w:val="16"/>
                <w:szCs w:val="16"/>
                <w:color w:val="auto"/>
              </w:rPr>
              <w:t>(10.5)</w:t>
            </w:r>
          </w:p>
        </w:tc>
        <w:tc>
          <w:tcPr>
            <w:tcW w:w="0" w:type="dxa"/>
            <w:vAlign w:val="bottom"/>
          </w:tcPr>
          <w:p>
            <w:pPr>
              <w:spacing w:after="0"/>
              <w:rPr>
                <w:sz w:val="1"/>
                <w:szCs w:val="1"/>
                <w:color w:val="auto"/>
              </w:rPr>
            </w:pPr>
          </w:p>
        </w:tc>
      </w:tr>
      <w:tr>
        <w:trPr>
          <w:trHeight w:val="213"/>
        </w:trPr>
        <w:tc>
          <w:tcPr>
            <w:tcW w:w="7060" w:type="dxa"/>
            <w:vAlign w:val="bottom"/>
          </w:tcPr>
          <w:p>
            <w:pPr>
              <w:ind w:left="500"/>
              <w:spacing w:after="0"/>
              <w:rPr>
                <w:sz w:val="20"/>
                <w:szCs w:val="20"/>
                <w:color w:val="auto"/>
              </w:rPr>
            </w:pPr>
            <w:r>
              <w:rPr>
                <w:rFonts w:ascii="Arial" w:cs="Arial" w:eastAsia="Arial" w:hAnsi="Arial"/>
                <w:sz w:val="16"/>
                <w:szCs w:val="16"/>
                <w:color w:val="auto"/>
              </w:rPr>
              <w:t>Accounts payable</w:t>
            </w:r>
          </w:p>
        </w:tc>
        <w:tc>
          <w:tcPr>
            <w:tcW w:w="28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860" w:type="dxa"/>
            <w:vAlign w:val="bottom"/>
            <w:gridSpan w:val="2"/>
          </w:tcPr>
          <w:p>
            <w:pPr>
              <w:jc w:val="right"/>
              <w:ind w:right="200"/>
              <w:spacing w:after="0"/>
              <w:rPr>
                <w:sz w:val="20"/>
                <w:szCs w:val="20"/>
                <w:color w:val="auto"/>
              </w:rPr>
            </w:pPr>
            <w:r>
              <w:rPr>
                <w:rFonts w:ascii="Arial" w:cs="Arial" w:eastAsia="Arial" w:hAnsi="Arial"/>
                <w:sz w:val="16"/>
                <w:szCs w:val="16"/>
                <w:color w:val="auto"/>
              </w:rPr>
              <w:t>(2.6)</w:t>
            </w:r>
          </w:p>
        </w:tc>
        <w:tc>
          <w:tcPr>
            <w:tcW w:w="1160" w:type="dxa"/>
            <w:vAlign w:val="bottom"/>
          </w:tcPr>
          <w:p>
            <w:pPr>
              <w:spacing w:after="0"/>
              <w:rPr>
                <w:sz w:val="18"/>
                <w:szCs w:val="18"/>
                <w:color w:val="auto"/>
              </w:rPr>
            </w:pPr>
          </w:p>
        </w:tc>
        <w:tc>
          <w:tcPr>
            <w:tcW w:w="620" w:type="dxa"/>
            <w:vAlign w:val="bottom"/>
          </w:tcPr>
          <w:p>
            <w:pPr>
              <w:jc w:val="right"/>
              <w:spacing w:after="0"/>
              <w:rPr>
                <w:sz w:val="20"/>
                <w:szCs w:val="20"/>
                <w:color w:val="auto"/>
              </w:rPr>
            </w:pPr>
            <w:r>
              <w:rPr>
                <w:rFonts w:ascii="Arial" w:cs="Arial" w:eastAsia="Arial" w:hAnsi="Arial"/>
                <w:sz w:val="16"/>
                <w:szCs w:val="16"/>
                <w:color w:val="auto"/>
              </w:rPr>
              <w:t>6.4</w:t>
            </w: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9"/>
        </w:trPr>
        <w:tc>
          <w:tcPr>
            <w:tcW w:w="7060" w:type="dxa"/>
            <w:vAlign w:val="bottom"/>
            <w:shd w:val="clear" w:color="auto" w:fill="CFF0FC"/>
          </w:tcPr>
          <w:p>
            <w:pPr>
              <w:ind w:left="500"/>
              <w:spacing w:after="0"/>
              <w:rPr>
                <w:sz w:val="20"/>
                <w:szCs w:val="20"/>
                <w:color w:val="auto"/>
              </w:rPr>
            </w:pPr>
            <w:r>
              <w:rPr>
                <w:rFonts w:ascii="Arial" w:cs="Arial" w:eastAsia="Arial" w:hAnsi="Arial"/>
                <w:sz w:val="16"/>
                <w:szCs w:val="16"/>
                <w:color w:val="auto"/>
              </w:rPr>
              <w:t>Accrued expenses and other liabilities</w:t>
            </w:r>
          </w:p>
        </w:tc>
        <w:tc>
          <w:tcPr>
            <w:tcW w:w="280" w:type="dxa"/>
            <w:vAlign w:val="bottom"/>
            <w:shd w:val="clear" w:color="auto" w:fill="CFF0FC"/>
          </w:tcPr>
          <w:p>
            <w:pPr>
              <w:spacing w:after="0"/>
              <w:rPr>
                <w:sz w:val="19"/>
                <w:szCs w:val="19"/>
                <w:color w:val="auto"/>
              </w:rPr>
            </w:pPr>
          </w:p>
        </w:tc>
        <w:tc>
          <w:tcPr>
            <w:tcW w:w="1140" w:type="dxa"/>
            <w:vAlign w:val="bottom"/>
            <w:shd w:val="clear" w:color="auto" w:fill="CFF0FC"/>
          </w:tcPr>
          <w:p>
            <w:pPr>
              <w:spacing w:after="0"/>
              <w:rPr>
                <w:sz w:val="19"/>
                <w:szCs w:val="19"/>
                <w:color w:val="auto"/>
              </w:rPr>
            </w:pPr>
          </w:p>
        </w:tc>
        <w:tc>
          <w:tcPr>
            <w:tcW w:w="860" w:type="dxa"/>
            <w:vAlign w:val="bottom"/>
            <w:gridSpan w:val="2"/>
            <w:shd w:val="clear" w:color="auto" w:fill="CFF0FC"/>
          </w:tcPr>
          <w:p>
            <w:pPr>
              <w:jc w:val="right"/>
              <w:ind w:right="200"/>
              <w:spacing w:after="0"/>
              <w:rPr>
                <w:sz w:val="20"/>
                <w:szCs w:val="20"/>
                <w:color w:val="auto"/>
              </w:rPr>
            </w:pPr>
            <w:r>
              <w:rPr>
                <w:rFonts w:ascii="Arial" w:cs="Arial" w:eastAsia="Arial" w:hAnsi="Arial"/>
                <w:sz w:val="16"/>
                <w:szCs w:val="16"/>
                <w:color w:val="auto"/>
              </w:rPr>
              <w:t>(147.7)</w:t>
            </w:r>
          </w:p>
        </w:tc>
        <w:tc>
          <w:tcPr>
            <w:tcW w:w="1160" w:type="dxa"/>
            <w:vAlign w:val="bottom"/>
            <w:shd w:val="clear" w:color="auto" w:fill="CFF0FC"/>
          </w:tcPr>
          <w:p>
            <w:pPr>
              <w:spacing w:after="0"/>
              <w:rPr>
                <w:sz w:val="19"/>
                <w:szCs w:val="19"/>
                <w:color w:val="auto"/>
              </w:rPr>
            </w:pPr>
          </w:p>
        </w:tc>
        <w:tc>
          <w:tcPr>
            <w:tcW w:w="740" w:type="dxa"/>
            <w:vAlign w:val="bottom"/>
            <w:gridSpan w:val="2"/>
            <w:shd w:val="clear" w:color="auto" w:fill="CFF0FC"/>
          </w:tcPr>
          <w:p>
            <w:pPr>
              <w:jc w:val="right"/>
              <w:ind w:right="60"/>
              <w:spacing w:after="0"/>
              <w:rPr>
                <w:sz w:val="20"/>
                <w:szCs w:val="20"/>
                <w:color w:val="auto"/>
              </w:rPr>
            </w:pPr>
            <w:r>
              <w:rPr>
                <w:rFonts w:ascii="Arial" w:cs="Arial" w:eastAsia="Arial" w:hAnsi="Arial"/>
                <w:sz w:val="16"/>
                <w:szCs w:val="16"/>
                <w:color w:val="auto"/>
              </w:rPr>
              <w:t>(171.0)</w:t>
            </w:r>
          </w:p>
        </w:tc>
        <w:tc>
          <w:tcPr>
            <w:tcW w:w="0" w:type="dxa"/>
            <w:vAlign w:val="bottom"/>
          </w:tcPr>
          <w:p>
            <w:pPr>
              <w:spacing w:after="0"/>
              <w:rPr>
                <w:sz w:val="1"/>
                <w:szCs w:val="1"/>
                <w:color w:val="auto"/>
              </w:rPr>
            </w:pPr>
          </w:p>
        </w:tc>
      </w:tr>
      <w:tr>
        <w:trPr>
          <w:trHeight w:val="213"/>
        </w:trPr>
        <w:tc>
          <w:tcPr>
            <w:tcW w:w="7060" w:type="dxa"/>
            <w:vAlign w:val="bottom"/>
          </w:tcPr>
          <w:p>
            <w:pPr>
              <w:ind w:left="500"/>
              <w:spacing w:after="0"/>
              <w:rPr>
                <w:sz w:val="20"/>
                <w:szCs w:val="20"/>
                <w:color w:val="auto"/>
              </w:rPr>
            </w:pPr>
            <w:r>
              <w:rPr>
                <w:rFonts w:ascii="Arial" w:cs="Arial" w:eastAsia="Arial" w:hAnsi="Arial"/>
                <w:sz w:val="16"/>
                <w:szCs w:val="16"/>
                <w:color w:val="auto"/>
              </w:rPr>
              <w:t>Income taxes prepaid and payable</w:t>
            </w:r>
          </w:p>
        </w:tc>
        <w:tc>
          <w:tcPr>
            <w:tcW w:w="28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620" w:type="dxa"/>
            <w:vAlign w:val="bottom"/>
          </w:tcPr>
          <w:p>
            <w:pPr>
              <w:jc w:val="right"/>
              <w:spacing w:after="0"/>
              <w:rPr>
                <w:sz w:val="20"/>
                <w:szCs w:val="20"/>
                <w:color w:val="auto"/>
              </w:rPr>
            </w:pPr>
            <w:r>
              <w:rPr>
                <w:rFonts w:ascii="Arial" w:cs="Arial" w:eastAsia="Arial" w:hAnsi="Arial"/>
                <w:sz w:val="16"/>
                <w:szCs w:val="16"/>
                <w:color w:val="auto"/>
              </w:rPr>
              <w:t>47.2</w:t>
            </w:r>
          </w:p>
        </w:tc>
        <w:tc>
          <w:tcPr>
            <w:tcW w:w="24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620" w:type="dxa"/>
            <w:vAlign w:val="bottom"/>
          </w:tcPr>
          <w:p>
            <w:pPr>
              <w:jc w:val="right"/>
              <w:spacing w:after="0"/>
              <w:rPr>
                <w:sz w:val="20"/>
                <w:szCs w:val="20"/>
                <w:color w:val="auto"/>
              </w:rPr>
            </w:pPr>
            <w:r>
              <w:rPr>
                <w:rFonts w:ascii="Arial" w:cs="Arial" w:eastAsia="Arial" w:hAnsi="Arial"/>
                <w:sz w:val="16"/>
                <w:szCs w:val="16"/>
                <w:color w:val="auto"/>
              </w:rPr>
              <w:t>38.1</w:t>
            </w: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9"/>
        </w:trPr>
        <w:tc>
          <w:tcPr>
            <w:tcW w:w="7060" w:type="dxa"/>
            <w:vAlign w:val="bottom"/>
            <w:shd w:val="clear" w:color="auto" w:fill="CFF0FC"/>
          </w:tcPr>
          <w:p>
            <w:pPr>
              <w:ind w:left="500"/>
              <w:spacing w:after="0"/>
              <w:rPr>
                <w:sz w:val="20"/>
                <w:szCs w:val="20"/>
                <w:color w:val="auto"/>
              </w:rPr>
            </w:pPr>
            <w:r>
              <w:rPr>
                <w:rFonts w:ascii="Arial" w:cs="Arial" w:eastAsia="Arial" w:hAnsi="Arial"/>
                <w:sz w:val="16"/>
                <w:szCs w:val="16"/>
                <w:color w:val="auto"/>
              </w:rPr>
              <w:t>Deferred revenue</w:t>
            </w:r>
          </w:p>
        </w:tc>
        <w:tc>
          <w:tcPr>
            <w:tcW w:w="280" w:type="dxa"/>
            <w:vAlign w:val="bottom"/>
            <w:shd w:val="clear" w:color="auto" w:fill="CFF0FC"/>
          </w:tcPr>
          <w:p>
            <w:pPr>
              <w:spacing w:after="0"/>
              <w:rPr>
                <w:sz w:val="19"/>
                <w:szCs w:val="19"/>
                <w:color w:val="auto"/>
              </w:rPr>
            </w:pPr>
          </w:p>
        </w:tc>
        <w:tc>
          <w:tcPr>
            <w:tcW w:w="1140" w:type="dxa"/>
            <w:vAlign w:val="bottom"/>
            <w:tcBorders>
              <w:bottom w:val="single" w:sz="8" w:color="auto"/>
            </w:tcBorders>
            <w:shd w:val="clear" w:color="auto" w:fill="CFF0FC"/>
          </w:tcPr>
          <w:p>
            <w:pPr>
              <w:spacing w:after="0"/>
              <w:rPr>
                <w:sz w:val="19"/>
                <w:szCs w:val="19"/>
                <w:color w:val="auto"/>
              </w:rPr>
            </w:pPr>
          </w:p>
        </w:tc>
        <w:tc>
          <w:tcPr>
            <w:tcW w:w="6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6"/>
                <w:szCs w:val="16"/>
                <w:color w:val="auto"/>
              </w:rPr>
              <w:t>6.5</w:t>
            </w:r>
          </w:p>
        </w:tc>
        <w:tc>
          <w:tcPr>
            <w:tcW w:w="240" w:type="dxa"/>
            <w:vAlign w:val="bottom"/>
            <w:shd w:val="clear" w:color="auto" w:fill="CFF0FC"/>
          </w:tcPr>
          <w:p>
            <w:pPr>
              <w:spacing w:after="0"/>
              <w:rPr>
                <w:sz w:val="19"/>
                <w:szCs w:val="19"/>
                <w:color w:val="auto"/>
              </w:rPr>
            </w:pPr>
          </w:p>
        </w:tc>
        <w:tc>
          <w:tcPr>
            <w:tcW w:w="1160" w:type="dxa"/>
            <w:vAlign w:val="bottom"/>
            <w:tcBorders>
              <w:bottom w:val="single" w:sz="8" w:color="auto"/>
            </w:tcBorders>
            <w:shd w:val="clear" w:color="auto" w:fill="CFF0FC"/>
          </w:tcPr>
          <w:p>
            <w:pPr>
              <w:spacing w:after="0"/>
              <w:rPr>
                <w:sz w:val="19"/>
                <w:szCs w:val="19"/>
                <w:color w:val="auto"/>
              </w:rPr>
            </w:pPr>
          </w:p>
        </w:tc>
        <w:tc>
          <w:tcPr>
            <w:tcW w:w="6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6"/>
                <w:szCs w:val="16"/>
                <w:color w:val="auto"/>
              </w:rPr>
              <w:t>2.1</w:t>
            </w:r>
          </w:p>
        </w:tc>
        <w:tc>
          <w:tcPr>
            <w:tcW w:w="12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07"/>
        </w:trPr>
        <w:tc>
          <w:tcPr>
            <w:tcW w:w="7060" w:type="dxa"/>
            <w:vAlign w:val="bottom"/>
            <w:tcBorders>
              <w:bottom w:val="single" w:sz="8" w:color="CFF0FC"/>
            </w:tcBorders>
          </w:tcPr>
          <w:p>
            <w:pPr>
              <w:ind w:left="740"/>
              <w:spacing w:after="0"/>
              <w:rPr>
                <w:sz w:val="20"/>
                <w:szCs w:val="20"/>
                <w:color w:val="auto"/>
              </w:rPr>
            </w:pPr>
            <w:r>
              <w:rPr>
                <w:rFonts w:ascii="Arial" w:cs="Arial" w:eastAsia="Arial" w:hAnsi="Arial"/>
                <w:sz w:val="16"/>
                <w:szCs w:val="16"/>
                <w:color w:val="auto"/>
              </w:rPr>
              <w:t>Net cash provided by operating activities</w:t>
            </w:r>
          </w:p>
        </w:tc>
        <w:tc>
          <w:tcPr>
            <w:tcW w:w="280" w:type="dxa"/>
            <w:vAlign w:val="bottom"/>
            <w:tcBorders>
              <w:bottom w:val="single" w:sz="8" w:color="CFF0FC"/>
            </w:tcBorders>
          </w:tcPr>
          <w:p>
            <w:pPr>
              <w:spacing w:after="0"/>
              <w:rPr>
                <w:sz w:val="17"/>
                <w:szCs w:val="17"/>
                <w:color w:val="auto"/>
              </w:rPr>
            </w:pPr>
          </w:p>
        </w:tc>
        <w:tc>
          <w:tcPr>
            <w:tcW w:w="1140" w:type="dxa"/>
            <w:vAlign w:val="bottom"/>
            <w:tcBorders>
              <w:bottom w:val="single" w:sz="8" w:color="auto"/>
            </w:tcBorders>
          </w:tcPr>
          <w:p>
            <w:pPr>
              <w:spacing w:after="0"/>
              <w:rPr>
                <w:sz w:val="17"/>
                <w:szCs w:val="17"/>
                <w:color w:val="auto"/>
              </w:rPr>
            </w:pPr>
          </w:p>
        </w:tc>
        <w:tc>
          <w:tcPr>
            <w:tcW w:w="6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185.7</w:t>
            </w:r>
          </w:p>
        </w:tc>
        <w:tc>
          <w:tcPr>
            <w:tcW w:w="240" w:type="dxa"/>
            <w:vAlign w:val="bottom"/>
            <w:tcBorders>
              <w:bottom w:val="single" w:sz="8" w:color="CFF0FC"/>
            </w:tcBorders>
          </w:tcPr>
          <w:p>
            <w:pPr>
              <w:spacing w:after="0"/>
              <w:rPr>
                <w:sz w:val="17"/>
                <w:szCs w:val="17"/>
                <w:color w:val="auto"/>
              </w:rPr>
            </w:pPr>
          </w:p>
        </w:tc>
        <w:tc>
          <w:tcPr>
            <w:tcW w:w="1160" w:type="dxa"/>
            <w:vAlign w:val="bottom"/>
            <w:tcBorders>
              <w:bottom w:val="single" w:sz="8" w:color="auto"/>
            </w:tcBorders>
          </w:tcPr>
          <w:p>
            <w:pPr>
              <w:spacing w:after="0"/>
              <w:rPr>
                <w:sz w:val="17"/>
                <w:szCs w:val="17"/>
                <w:color w:val="auto"/>
              </w:rPr>
            </w:pPr>
          </w:p>
        </w:tc>
        <w:tc>
          <w:tcPr>
            <w:tcW w:w="6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147.7</w:t>
            </w:r>
          </w:p>
        </w:tc>
        <w:tc>
          <w:tcPr>
            <w:tcW w:w="120" w:type="dxa"/>
            <w:vAlign w:val="bottom"/>
            <w:tcBorders>
              <w:bottom w:val="single" w:sz="8" w:color="CFF0FC"/>
            </w:tcBorders>
          </w:tcPr>
          <w:p>
            <w:pPr>
              <w:spacing w:after="0"/>
              <w:rPr>
                <w:sz w:val="17"/>
                <w:szCs w:val="17"/>
                <w:color w:val="auto"/>
              </w:rPr>
            </w:pPr>
          </w:p>
        </w:tc>
        <w:tc>
          <w:tcPr>
            <w:tcW w:w="0" w:type="dxa"/>
            <w:vAlign w:val="bottom"/>
          </w:tcPr>
          <w:p>
            <w:pPr>
              <w:spacing w:after="0"/>
              <w:rPr>
                <w:sz w:val="1"/>
                <w:szCs w:val="1"/>
                <w:color w:val="auto"/>
              </w:rPr>
            </w:pPr>
          </w:p>
        </w:tc>
      </w:tr>
      <w:tr>
        <w:trPr>
          <w:trHeight w:val="212"/>
        </w:trPr>
        <w:tc>
          <w:tcPr>
            <w:tcW w:w="7060" w:type="dxa"/>
            <w:vAlign w:val="bottom"/>
            <w:shd w:val="clear" w:color="auto" w:fill="CFF0FC"/>
          </w:tcPr>
          <w:p>
            <w:pPr>
              <w:spacing w:after="0"/>
              <w:rPr>
                <w:sz w:val="20"/>
                <w:szCs w:val="20"/>
                <w:color w:val="auto"/>
              </w:rPr>
            </w:pPr>
            <w:r>
              <w:rPr>
                <w:rFonts w:ascii="Arial" w:cs="Arial" w:eastAsia="Arial" w:hAnsi="Arial"/>
                <w:sz w:val="16"/>
                <w:szCs w:val="16"/>
                <w:b w:val="1"/>
                <w:bCs w:val="1"/>
                <w:color w:val="auto"/>
              </w:rPr>
              <w:t>Cash flow from investing activities:</w:t>
            </w:r>
          </w:p>
        </w:tc>
        <w:tc>
          <w:tcPr>
            <w:tcW w:w="280" w:type="dxa"/>
            <w:vAlign w:val="bottom"/>
            <w:shd w:val="clear" w:color="auto" w:fill="CFF0FC"/>
          </w:tcPr>
          <w:p>
            <w:pPr>
              <w:spacing w:after="0"/>
              <w:rPr>
                <w:sz w:val="18"/>
                <w:szCs w:val="18"/>
                <w:color w:val="auto"/>
              </w:rPr>
            </w:pPr>
          </w:p>
        </w:tc>
        <w:tc>
          <w:tcPr>
            <w:tcW w:w="1140" w:type="dxa"/>
            <w:vAlign w:val="bottom"/>
            <w:shd w:val="clear" w:color="auto" w:fill="CFF0FC"/>
          </w:tcPr>
          <w:p>
            <w:pPr>
              <w:spacing w:after="0"/>
              <w:rPr>
                <w:sz w:val="18"/>
                <w:szCs w:val="18"/>
                <w:color w:val="auto"/>
              </w:rPr>
            </w:pPr>
          </w:p>
        </w:tc>
        <w:tc>
          <w:tcPr>
            <w:tcW w:w="620" w:type="dxa"/>
            <w:vAlign w:val="bottom"/>
            <w:shd w:val="clear" w:color="auto" w:fill="CFF0FC"/>
          </w:tcPr>
          <w:p>
            <w:pPr>
              <w:spacing w:after="0"/>
              <w:rPr>
                <w:sz w:val="18"/>
                <w:szCs w:val="18"/>
                <w:color w:val="auto"/>
              </w:rPr>
            </w:pPr>
          </w:p>
        </w:tc>
        <w:tc>
          <w:tcPr>
            <w:tcW w:w="240" w:type="dxa"/>
            <w:vAlign w:val="bottom"/>
            <w:shd w:val="clear" w:color="auto" w:fill="CFF0FC"/>
          </w:tcPr>
          <w:p>
            <w:pPr>
              <w:spacing w:after="0"/>
              <w:rPr>
                <w:sz w:val="18"/>
                <w:szCs w:val="18"/>
                <w:color w:val="auto"/>
              </w:rPr>
            </w:pPr>
          </w:p>
        </w:tc>
        <w:tc>
          <w:tcPr>
            <w:tcW w:w="1160" w:type="dxa"/>
            <w:vAlign w:val="bottom"/>
            <w:shd w:val="clear" w:color="auto" w:fill="CFF0FC"/>
          </w:tcPr>
          <w:p>
            <w:pPr>
              <w:spacing w:after="0"/>
              <w:rPr>
                <w:sz w:val="18"/>
                <w:szCs w:val="18"/>
                <w:color w:val="auto"/>
              </w:rPr>
            </w:pPr>
          </w:p>
        </w:tc>
        <w:tc>
          <w:tcPr>
            <w:tcW w:w="62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3"/>
        </w:trPr>
        <w:tc>
          <w:tcPr>
            <w:tcW w:w="7060" w:type="dxa"/>
            <w:vAlign w:val="bottom"/>
          </w:tcPr>
          <w:p>
            <w:pPr>
              <w:ind w:left="500"/>
              <w:spacing w:after="0"/>
              <w:rPr>
                <w:sz w:val="20"/>
                <w:szCs w:val="20"/>
                <w:color w:val="auto"/>
              </w:rPr>
            </w:pPr>
            <w:r>
              <w:rPr>
                <w:rFonts w:ascii="Arial" w:cs="Arial" w:eastAsia="Arial" w:hAnsi="Arial"/>
                <w:sz w:val="16"/>
                <w:szCs w:val="16"/>
                <w:color w:val="auto"/>
              </w:rPr>
              <w:t>Cash paid for business acquisitions, net of cash acquired</w:t>
            </w:r>
          </w:p>
        </w:tc>
        <w:tc>
          <w:tcPr>
            <w:tcW w:w="28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620" w:type="dxa"/>
            <w:vAlign w:val="bottom"/>
          </w:tcPr>
          <w:p>
            <w:pPr>
              <w:jc w:val="right"/>
              <w:spacing w:after="0"/>
              <w:rPr>
                <w:sz w:val="20"/>
                <w:szCs w:val="20"/>
                <w:color w:val="auto"/>
              </w:rPr>
            </w:pPr>
            <w:r>
              <w:rPr>
                <w:rFonts w:ascii="Arial" w:cs="Arial" w:eastAsia="Arial" w:hAnsi="Arial"/>
                <w:sz w:val="16"/>
                <w:szCs w:val="16"/>
                <w:color w:val="auto"/>
              </w:rPr>
              <w:t>7.3</w:t>
            </w:r>
          </w:p>
        </w:tc>
        <w:tc>
          <w:tcPr>
            <w:tcW w:w="24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740" w:type="dxa"/>
            <w:vAlign w:val="bottom"/>
            <w:gridSpan w:val="2"/>
          </w:tcPr>
          <w:p>
            <w:pPr>
              <w:jc w:val="right"/>
              <w:ind w:right="60"/>
              <w:spacing w:after="0"/>
              <w:rPr>
                <w:sz w:val="20"/>
                <w:szCs w:val="20"/>
                <w:color w:val="auto"/>
              </w:rPr>
            </w:pPr>
            <w:r>
              <w:rPr>
                <w:rFonts w:ascii="Arial" w:cs="Arial" w:eastAsia="Arial" w:hAnsi="Arial"/>
                <w:sz w:val="16"/>
                <w:szCs w:val="16"/>
                <w:color w:val="auto"/>
              </w:rPr>
              <w:t>(16.3)</w:t>
            </w:r>
          </w:p>
        </w:tc>
        <w:tc>
          <w:tcPr>
            <w:tcW w:w="0" w:type="dxa"/>
            <w:vAlign w:val="bottom"/>
          </w:tcPr>
          <w:p>
            <w:pPr>
              <w:spacing w:after="0"/>
              <w:rPr>
                <w:sz w:val="1"/>
                <w:szCs w:val="1"/>
                <w:color w:val="auto"/>
              </w:rPr>
            </w:pPr>
          </w:p>
        </w:tc>
      </w:tr>
      <w:tr>
        <w:trPr>
          <w:trHeight w:val="219"/>
        </w:trPr>
        <w:tc>
          <w:tcPr>
            <w:tcW w:w="7060" w:type="dxa"/>
            <w:vAlign w:val="bottom"/>
            <w:shd w:val="clear" w:color="auto" w:fill="CFF0FC"/>
          </w:tcPr>
          <w:p>
            <w:pPr>
              <w:ind w:left="500"/>
              <w:spacing w:after="0"/>
              <w:rPr>
                <w:sz w:val="20"/>
                <w:szCs w:val="20"/>
                <w:color w:val="auto"/>
              </w:rPr>
            </w:pPr>
            <w:r>
              <w:rPr>
                <w:rFonts w:ascii="Arial" w:cs="Arial" w:eastAsia="Arial" w:hAnsi="Arial"/>
                <w:sz w:val="16"/>
                <w:szCs w:val="16"/>
                <w:color w:val="auto"/>
              </w:rPr>
              <w:t>Additions to property and equipment</w:t>
            </w:r>
          </w:p>
        </w:tc>
        <w:tc>
          <w:tcPr>
            <w:tcW w:w="280" w:type="dxa"/>
            <w:vAlign w:val="bottom"/>
            <w:shd w:val="clear" w:color="auto" w:fill="CFF0FC"/>
          </w:tcPr>
          <w:p>
            <w:pPr>
              <w:spacing w:after="0"/>
              <w:rPr>
                <w:sz w:val="19"/>
                <w:szCs w:val="19"/>
                <w:color w:val="auto"/>
              </w:rPr>
            </w:pPr>
          </w:p>
        </w:tc>
        <w:tc>
          <w:tcPr>
            <w:tcW w:w="1140" w:type="dxa"/>
            <w:vAlign w:val="bottom"/>
            <w:shd w:val="clear" w:color="auto" w:fill="CFF0FC"/>
          </w:tcPr>
          <w:p>
            <w:pPr>
              <w:spacing w:after="0"/>
              <w:rPr>
                <w:sz w:val="19"/>
                <w:szCs w:val="19"/>
                <w:color w:val="auto"/>
              </w:rPr>
            </w:pPr>
          </w:p>
        </w:tc>
        <w:tc>
          <w:tcPr>
            <w:tcW w:w="860" w:type="dxa"/>
            <w:vAlign w:val="bottom"/>
            <w:gridSpan w:val="2"/>
            <w:shd w:val="clear" w:color="auto" w:fill="CFF0FC"/>
          </w:tcPr>
          <w:p>
            <w:pPr>
              <w:jc w:val="right"/>
              <w:ind w:right="200"/>
              <w:spacing w:after="0"/>
              <w:rPr>
                <w:sz w:val="20"/>
                <w:szCs w:val="20"/>
                <w:color w:val="auto"/>
              </w:rPr>
            </w:pPr>
            <w:r>
              <w:rPr>
                <w:rFonts w:ascii="Arial" w:cs="Arial" w:eastAsia="Arial" w:hAnsi="Arial"/>
                <w:sz w:val="16"/>
                <w:szCs w:val="16"/>
                <w:color w:val="auto"/>
              </w:rPr>
              <w:t>(9.1)</w:t>
            </w:r>
          </w:p>
        </w:tc>
        <w:tc>
          <w:tcPr>
            <w:tcW w:w="1160" w:type="dxa"/>
            <w:vAlign w:val="bottom"/>
            <w:shd w:val="clear" w:color="auto" w:fill="CFF0FC"/>
          </w:tcPr>
          <w:p>
            <w:pPr>
              <w:spacing w:after="0"/>
              <w:rPr>
                <w:sz w:val="19"/>
                <w:szCs w:val="19"/>
                <w:color w:val="auto"/>
              </w:rPr>
            </w:pPr>
          </w:p>
        </w:tc>
        <w:tc>
          <w:tcPr>
            <w:tcW w:w="740" w:type="dxa"/>
            <w:vAlign w:val="bottom"/>
            <w:gridSpan w:val="2"/>
            <w:shd w:val="clear" w:color="auto" w:fill="CFF0FC"/>
          </w:tcPr>
          <w:p>
            <w:pPr>
              <w:jc w:val="right"/>
              <w:ind w:right="60"/>
              <w:spacing w:after="0"/>
              <w:rPr>
                <w:sz w:val="20"/>
                <w:szCs w:val="20"/>
                <w:color w:val="auto"/>
              </w:rPr>
            </w:pPr>
            <w:r>
              <w:rPr>
                <w:rFonts w:ascii="Arial" w:cs="Arial" w:eastAsia="Arial" w:hAnsi="Arial"/>
                <w:sz w:val="16"/>
                <w:szCs w:val="16"/>
                <w:color w:val="auto"/>
              </w:rPr>
              <w:t>(8.5)</w:t>
            </w:r>
          </w:p>
        </w:tc>
        <w:tc>
          <w:tcPr>
            <w:tcW w:w="0" w:type="dxa"/>
            <w:vAlign w:val="bottom"/>
          </w:tcPr>
          <w:p>
            <w:pPr>
              <w:spacing w:after="0"/>
              <w:rPr>
                <w:sz w:val="1"/>
                <w:szCs w:val="1"/>
                <w:color w:val="auto"/>
              </w:rPr>
            </w:pPr>
          </w:p>
        </w:tc>
      </w:tr>
      <w:tr>
        <w:trPr>
          <w:trHeight w:val="213"/>
        </w:trPr>
        <w:tc>
          <w:tcPr>
            <w:tcW w:w="7060" w:type="dxa"/>
            <w:vAlign w:val="bottom"/>
          </w:tcPr>
          <w:p>
            <w:pPr>
              <w:ind w:left="500"/>
              <w:spacing w:after="0"/>
              <w:rPr>
                <w:sz w:val="20"/>
                <w:szCs w:val="20"/>
                <w:color w:val="auto"/>
              </w:rPr>
            </w:pPr>
            <w:r>
              <w:rPr>
                <w:rFonts w:ascii="Arial" w:cs="Arial" w:eastAsia="Arial" w:hAnsi="Arial"/>
                <w:sz w:val="16"/>
                <w:szCs w:val="16"/>
                <w:color w:val="auto"/>
              </w:rPr>
              <w:t>Additions to capitalized software</w:t>
            </w:r>
          </w:p>
        </w:tc>
        <w:tc>
          <w:tcPr>
            <w:tcW w:w="28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860" w:type="dxa"/>
            <w:vAlign w:val="bottom"/>
            <w:gridSpan w:val="2"/>
          </w:tcPr>
          <w:p>
            <w:pPr>
              <w:jc w:val="right"/>
              <w:ind w:right="200"/>
              <w:spacing w:after="0"/>
              <w:rPr>
                <w:sz w:val="20"/>
                <w:szCs w:val="20"/>
                <w:color w:val="auto"/>
              </w:rPr>
            </w:pPr>
            <w:r>
              <w:rPr>
                <w:rFonts w:ascii="Arial" w:cs="Arial" w:eastAsia="Arial" w:hAnsi="Arial"/>
                <w:sz w:val="16"/>
                <w:szCs w:val="16"/>
                <w:color w:val="auto"/>
              </w:rPr>
              <w:t>(22.3)</w:t>
            </w:r>
          </w:p>
        </w:tc>
        <w:tc>
          <w:tcPr>
            <w:tcW w:w="1160" w:type="dxa"/>
            <w:vAlign w:val="bottom"/>
          </w:tcPr>
          <w:p>
            <w:pPr>
              <w:spacing w:after="0"/>
              <w:rPr>
                <w:sz w:val="18"/>
                <w:szCs w:val="18"/>
                <w:color w:val="auto"/>
              </w:rPr>
            </w:pPr>
          </w:p>
        </w:tc>
        <w:tc>
          <w:tcPr>
            <w:tcW w:w="740" w:type="dxa"/>
            <w:vAlign w:val="bottom"/>
            <w:gridSpan w:val="2"/>
          </w:tcPr>
          <w:p>
            <w:pPr>
              <w:jc w:val="right"/>
              <w:ind w:right="60"/>
              <w:spacing w:after="0"/>
              <w:rPr>
                <w:sz w:val="20"/>
                <w:szCs w:val="20"/>
                <w:color w:val="auto"/>
              </w:rPr>
            </w:pPr>
            <w:r>
              <w:rPr>
                <w:rFonts w:ascii="Arial" w:cs="Arial" w:eastAsia="Arial" w:hAnsi="Arial"/>
                <w:sz w:val="16"/>
                <w:szCs w:val="16"/>
                <w:color w:val="auto"/>
              </w:rPr>
              <w:t>(18.0)</w:t>
            </w:r>
          </w:p>
        </w:tc>
        <w:tc>
          <w:tcPr>
            <w:tcW w:w="0" w:type="dxa"/>
            <w:vAlign w:val="bottom"/>
          </w:tcPr>
          <w:p>
            <w:pPr>
              <w:spacing w:after="0"/>
              <w:rPr>
                <w:sz w:val="1"/>
                <w:szCs w:val="1"/>
                <w:color w:val="auto"/>
              </w:rPr>
            </w:pPr>
          </w:p>
        </w:tc>
      </w:tr>
      <w:tr>
        <w:trPr>
          <w:trHeight w:val="219"/>
        </w:trPr>
        <w:tc>
          <w:tcPr>
            <w:tcW w:w="7060" w:type="dxa"/>
            <w:vAlign w:val="bottom"/>
            <w:shd w:val="clear" w:color="auto" w:fill="CFF0FC"/>
          </w:tcPr>
          <w:p>
            <w:pPr>
              <w:ind w:left="500"/>
              <w:spacing w:after="0"/>
              <w:rPr>
                <w:sz w:val="20"/>
                <w:szCs w:val="20"/>
                <w:color w:val="auto"/>
              </w:rPr>
            </w:pPr>
            <w:r>
              <w:rPr>
                <w:rFonts w:ascii="Arial" w:cs="Arial" w:eastAsia="Arial" w:hAnsi="Arial"/>
                <w:sz w:val="16"/>
                <w:szCs w:val="16"/>
                <w:color w:val="auto"/>
              </w:rPr>
              <w:t>Investments in securities</w:t>
            </w:r>
          </w:p>
        </w:tc>
        <w:tc>
          <w:tcPr>
            <w:tcW w:w="280" w:type="dxa"/>
            <w:vAlign w:val="bottom"/>
            <w:shd w:val="clear" w:color="auto" w:fill="CFF0FC"/>
          </w:tcPr>
          <w:p>
            <w:pPr>
              <w:spacing w:after="0"/>
              <w:rPr>
                <w:sz w:val="19"/>
                <w:szCs w:val="19"/>
                <w:color w:val="auto"/>
              </w:rPr>
            </w:pPr>
          </w:p>
        </w:tc>
        <w:tc>
          <w:tcPr>
            <w:tcW w:w="1140" w:type="dxa"/>
            <w:vAlign w:val="bottom"/>
            <w:shd w:val="clear" w:color="auto" w:fill="CFF0FC"/>
          </w:tcPr>
          <w:p>
            <w:pPr>
              <w:spacing w:after="0"/>
              <w:rPr>
                <w:sz w:val="19"/>
                <w:szCs w:val="19"/>
                <w:color w:val="auto"/>
              </w:rPr>
            </w:pPr>
          </w:p>
        </w:tc>
        <w:tc>
          <w:tcPr>
            <w:tcW w:w="860" w:type="dxa"/>
            <w:vAlign w:val="bottom"/>
            <w:gridSpan w:val="2"/>
            <w:shd w:val="clear" w:color="auto" w:fill="CFF0FC"/>
          </w:tcPr>
          <w:p>
            <w:pPr>
              <w:jc w:val="right"/>
              <w:ind w:right="200"/>
              <w:spacing w:after="0"/>
              <w:rPr>
                <w:sz w:val="20"/>
                <w:szCs w:val="20"/>
                <w:color w:val="auto"/>
              </w:rPr>
            </w:pPr>
            <w:r>
              <w:rPr>
                <w:rFonts w:ascii="Arial" w:cs="Arial" w:eastAsia="Arial" w:hAnsi="Arial"/>
                <w:sz w:val="16"/>
                <w:szCs w:val="16"/>
                <w:color w:val="auto"/>
              </w:rPr>
              <w:t>(10.0)</w:t>
            </w:r>
          </w:p>
        </w:tc>
        <w:tc>
          <w:tcPr>
            <w:tcW w:w="1160" w:type="dxa"/>
            <w:vAlign w:val="bottom"/>
            <w:shd w:val="clear" w:color="auto" w:fill="CFF0FC"/>
          </w:tcPr>
          <w:p>
            <w:pPr>
              <w:spacing w:after="0"/>
              <w:rPr>
                <w:sz w:val="19"/>
                <w:szCs w:val="19"/>
                <w:color w:val="auto"/>
              </w:rPr>
            </w:pPr>
          </w:p>
        </w:tc>
        <w:tc>
          <w:tcPr>
            <w:tcW w:w="740" w:type="dxa"/>
            <w:vAlign w:val="bottom"/>
            <w:gridSpan w:val="2"/>
            <w:shd w:val="clear" w:color="auto" w:fill="CFF0FC"/>
          </w:tcPr>
          <w:p>
            <w:pPr>
              <w:jc w:val="right"/>
              <w:ind w:right="60"/>
              <w:spacing w:after="0"/>
              <w:rPr>
                <w:sz w:val="20"/>
                <w:szCs w:val="20"/>
                <w:color w:val="auto"/>
              </w:rPr>
            </w:pPr>
            <w:r>
              <w:rPr>
                <w:rFonts w:ascii="Arial" w:cs="Arial" w:eastAsia="Arial" w:hAnsi="Arial"/>
                <w:sz w:val="16"/>
                <w:szCs w:val="16"/>
                <w:color w:val="auto"/>
              </w:rPr>
              <w:t>(40.0)</w:t>
            </w:r>
          </w:p>
        </w:tc>
        <w:tc>
          <w:tcPr>
            <w:tcW w:w="0" w:type="dxa"/>
            <w:vAlign w:val="bottom"/>
          </w:tcPr>
          <w:p>
            <w:pPr>
              <w:spacing w:after="0"/>
              <w:rPr>
                <w:sz w:val="1"/>
                <w:szCs w:val="1"/>
                <w:color w:val="auto"/>
              </w:rPr>
            </w:pPr>
          </w:p>
        </w:tc>
      </w:tr>
      <w:tr>
        <w:trPr>
          <w:trHeight w:val="213"/>
        </w:trPr>
        <w:tc>
          <w:tcPr>
            <w:tcW w:w="7060" w:type="dxa"/>
            <w:vAlign w:val="bottom"/>
          </w:tcPr>
          <w:p>
            <w:pPr>
              <w:ind w:left="500"/>
              <w:spacing w:after="0"/>
              <w:rPr>
                <w:sz w:val="20"/>
                <w:szCs w:val="20"/>
                <w:color w:val="auto"/>
              </w:rPr>
            </w:pPr>
            <w:r>
              <w:rPr>
                <w:rFonts w:ascii="Arial" w:cs="Arial" w:eastAsia="Arial" w:hAnsi="Arial"/>
                <w:sz w:val="16"/>
                <w:szCs w:val="16"/>
                <w:color w:val="auto"/>
              </w:rPr>
              <w:t>Proceeds from sales / maturities of investments</w:t>
            </w:r>
          </w:p>
        </w:tc>
        <w:tc>
          <w:tcPr>
            <w:tcW w:w="28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620" w:type="dxa"/>
            <w:vAlign w:val="bottom"/>
          </w:tcPr>
          <w:p>
            <w:pPr>
              <w:jc w:val="right"/>
              <w:spacing w:after="0"/>
              <w:rPr>
                <w:sz w:val="20"/>
                <w:szCs w:val="20"/>
                <w:color w:val="auto"/>
              </w:rPr>
            </w:pPr>
            <w:r>
              <w:rPr>
                <w:rFonts w:ascii="Arial" w:cs="Arial" w:eastAsia="Arial" w:hAnsi="Arial"/>
                <w:sz w:val="16"/>
                <w:szCs w:val="16"/>
                <w:color w:val="auto"/>
              </w:rPr>
              <w:t>13.4</w:t>
            </w:r>
          </w:p>
        </w:tc>
        <w:tc>
          <w:tcPr>
            <w:tcW w:w="24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620" w:type="dxa"/>
            <w:vAlign w:val="bottom"/>
          </w:tcPr>
          <w:p>
            <w:pPr>
              <w:jc w:val="right"/>
              <w:spacing w:after="0"/>
              <w:rPr>
                <w:sz w:val="20"/>
                <w:szCs w:val="20"/>
                <w:color w:val="auto"/>
              </w:rPr>
            </w:pPr>
            <w:r>
              <w:rPr>
                <w:rFonts w:ascii="Arial" w:cs="Arial" w:eastAsia="Arial" w:hAnsi="Arial"/>
                <w:sz w:val="16"/>
                <w:szCs w:val="16"/>
                <w:color w:val="auto"/>
              </w:rPr>
              <w:t>6.9</w:t>
            </w: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9"/>
        </w:trPr>
        <w:tc>
          <w:tcPr>
            <w:tcW w:w="7060" w:type="dxa"/>
            <w:vAlign w:val="bottom"/>
            <w:shd w:val="clear" w:color="auto" w:fill="CFF0FC"/>
          </w:tcPr>
          <w:p>
            <w:pPr>
              <w:ind w:left="500"/>
              <w:spacing w:after="0"/>
              <w:rPr>
                <w:sz w:val="20"/>
                <w:szCs w:val="20"/>
                <w:color w:val="auto"/>
              </w:rPr>
            </w:pPr>
            <w:r>
              <w:rPr>
                <w:rFonts w:ascii="Arial" w:cs="Arial" w:eastAsia="Arial" w:hAnsi="Arial"/>
                <w:sz w:val="16"/>
                <w:szCs w:val="16"/>
                <w:color w:val="auto"/>
              </w:rPr>
              <w:t>Collection of other non-current receivables</w:t>
            </w:r>
          </w:p>
        </w:tc>
        <w:tc>
          <w:tcPr>
            <w:tcW w:w="280" w:type="dxa"/>
            <w:vAlign w:val="bottom"/>
            <w:shd w:val="clear" w:color="auto" w:fill="CFF0FC"/>
          </w:tcPr>
          <w:p>
            <w:pPr>
              <w:spacing w:after="0"/>
              <w:rPr>
                <w:sz w:val="19"/>
                <w:szCs w:val="19"/>
                <w:color w:val="auto"/>
              </w:rPr>
            </w:pPr>
          </w:p>
        </w:tc>
        <w:tc>
          <w:tcPr>
            <w:tcW w:w="1140" w:type="dxa"/>
            <w:vAlign w:val="bottom"/>
            <w:tcBorders>
              <w:bottom w:val="single" w:sz="8" w:color="auto"/>
            </w:tcBorders>
            <w:shd w:val="clear" w:color="auto" w:fill="CFF0FC"/>
          </w:tcPr>
          <w:p>
            <w:pPr>
              <w:spacing w:after="0"/>
              <w:rPr>
                <w:sz w:val="19"/>
                <w:szCs w:val="19"/>
                <w:color w:val="auto"/>
              </w:rPr>
            </w:pPr>
          </w:p>
        </w:tc>
        <w:tc>
          <w:tcPr>
            <w:tcW w:w="6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6"/>
                <w:szCs w:val="16"/>
                <w:color w:val="auto"/>
              </w:rPr>
              <w:t>2.8</w:t>
            </w:r>
          </w:p>
        </w:tc>
        <w:tc>
          <w:tcPr>
            <w:tcW w:w="240" w:type="dxa"/>
            <w:vAlign w:val="bottom"/>
            <w:shd w:val="clear" w:color="auto" w:fill="CFF0FC"/>
          </w:tcPr>
          <w:p>
            <w:pPr>
              <w:spacing w:after="0"/>
              <w:rPr>
                <w:sz w:val="19"/>
                <w:szCs w:val="19"/>
                <w:color w:val="auto"/>
              </w:rPr>
            </w:pPr>
          </w:p>
        </w:tc>
        <w:tc>
          <w:tcPr>
            <w:tcW w:w="1160" w:type="dxa"/>
            <w:vAlign w:val="bottom"/>
            <w:tcBorders>
              <w:bottom w:val="single" w:sz="8" w:color="auto"/>
            </w:tcBorders>
            <w:shd w:val="clear" w:color="auto" w:fill="CFF0FC"/>
          </w:tcPr>
          <w:p>
            <w:pPr>
              <w:spacing w:after="0"/>
              <w:rPr>
                <w:sz w:val="19"/>
                <w:szCs w:val="19"/>
                <w:color w:val="auto"/>
              </w:rPr>
            </w:pPr>
          </w:p>
        </w:tc>
        <w:tc>
          <w:tcPr>
            <w:tcW w:w="6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6"/>
                <w:szCs w:val="16"/>
                <w:color w:val="auto"/>
              </w:rPr>
              <w:t>2.6</w:t>
            </w:r>
          </w:p>
        </w:tc>
        <w:tc>
          <w:tcPr>
            <w:tcW w:w="12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07"/>
        </w:trPr>
        <w:tc>
          <w:tcPr>
            <w:tcW w:w="7060" w:type="dxa"/>
            <w:vAlign w:val="bottom"/>
          </w:tcPr>
          <w:p>
            <w:pPr>
              <w:ind w:left="740"/>
              <w:spacing w:after="0"/>
              <w:rPr>
                <w:sz w:val="20"/>
                <w:szCs w:val="20"/>
                <w:color w:val="auto"/>
              </w:rPr>
            </w:pPr>
            <w:r>
              <w:rPr>
                <w:rFonts w:ascii="Arial" w:cs="Arial" w:eastAsia="Arial" w:hAnsi="Arial"/>
                <w:sz w:val="16"/>
                <w:szCs w:val="16"/>
                <w:color w:val="auto"/>
              </w:rPr>
              <w:t>Net cash used in investing activities</w:t>
            </w:r>
          </w:p>
        </w:tc>
        <w:tc>
          <w:tcPr>
            <w:tcW w:w="280" w:type="dxa"/>
            <w:vAlign w:val="bottom"/>
          </w:tcPr>
          <w:p>
            <w:pPr>
              <w:spacing w:after="0"/>
              <w:rPr>
                <w:sz w:val="17"/>
                <w:szCs w:val="17"/>
                <w:color w:val="auto"/>
              </w:rPr>
            </w:pPr>
          </w:p>
        </w:tc>
        <w:tc>
          <w:tcPr>
            <w:tcW w:w="1140" w:type="dxa"/>
            <w:vAlign w:val="bottom"/>
          </w:tcPr>
          <w:p>
            <w:pPr>
              <w:spacing w:after="0"/>
              <w:rPr>
                <w:sz w:val="17"/>
                <w:szCs w:val="17"/>
                <w:color w:val="auto"/>
              </w:rPr>
            </w:pPr>
          </w:p>
        </w:tc>
        <w:tc>
          <w:tcPr>
            <w:tcW w:w="860" w:type="dxa"/>
            <w:vAlign w:val="bottom"/>
            <w:gridSpan w:val="2"/>
          </w:tcPr>
          <w:p>
            <w:pPr>
              <w:jc w:val="right"/>
              <w:ind w:right="200"/>
              <w:spacing w:after="0"/>
              <w:rPr>
                <w:sz w:val="20"/>
                <w:szCs w:val="20"/>
                <w:color w:val="auto"/>
              </w:rPr>
            </w:pPr>
            <w:r>
              <w:rPr>
                <w:rFonts w:ascii="Arial" w:cs="Arial" w:eastAsia="Arial" w:hAnsi="Arial"/>
                <w:sz w:val="16"/>
                <w:szCs w:val="16"/>
                <w:color w:val="auto"/>
              </w:rPr>
              <w:t>(17.9)</w:t>
            </w:r>
          </w:p>
        </w:tc>
        <w:tc>
          <w:tcPr>
            <w:tcW w:w="1160" w:type="dxa"/>
            <w:vAlign w:val="bottom"/>
          </w:tcPr>
          <w:p>
            <w:pPr>
              <w:spacing w:after="0"/>
              <w:rPr>
                <w:sz w:val="17"/>
                <w:szCs w:val="17"/>
                <w:color w:val="auto"/>
              </w:rPr>
            </w:pPr>
          </w:p>
        </w:tc>
        <w:tc>
          <w:tcPr>
            <w:tcW w:w="740" w:type="dxa"/>
            <w:vAlign w:val="bottom"/>
            <w:gridSpan w:val="2"/>
          </w:tcPr>
          <w:p>
            <w:pPr>
              <w:jc w:val="right"/>
              <w:ind w:right="60"/>
              <w:spacing w:after="0"/>
              <w:rPr>
                <w:sz w:val="20"/>
                <w:szCs w:val="20"/>
                <w:color w:val="auto"/>
              </w:rPr>
            </w:pPr>
            <w:r>
              <w:rPr>
                <w:rFonts w:ascii="Arial" w:cs="Arial" w:eastAsia="Arial" w:hAnsi="Arial"/>
                <w:sz w:val="16"/>
                <w:szCs w:val="16"/>
                <w:color w:val="auto"/>
              </w:rPr>
              <w:t>(73.3)</w:t>
            </w:r>
          </w:p>
        </w:tc>
        <w:tc>
          <w:tcPr>
            <w:tcW w:w="0" w:type="dxa"/>
            <w:vAlign w:val="bottom"/>
          </w:tcPr>
          <w:p>
            <w:pPr>
              <w:spacing w:after="0"/>
              <w:rPr>
                <w:sz w:val="1"/>
                <w:szCs w:val="1"/>
                <w:color w:val="auto"/>
              </w:rPr>
            </w:pPr>
          </w:p>
        </w:tc>
      </w:tr>
      <w:tr>
        <w:trPr>
          <w:trHeight w:val="213"/>
        </w:trPr>
        <w:tc>
          <w:tcPr>
            <w:tcW w:w="7060" w:type="dxa"/>
            <w:vAlign w:val="bottom"/>
            <w:tcBorders>
              <w:top w:val="single" w:sz="8" w:color="CFF0FC"/>
            </w:tcBorders>
            <w:shd w:val="clear" w:color="auto" w:fill="CFF0FC"/>
          </w:tcPr>
          <w:p>
            <w:pPr>
              <w:spacing w:after="0"/>
              <w:rPr>
                <w:sz w:val="20"/>
                <w:szCs w:val="20"/>
                <w:color w:val="auto"/>
              </w:rPr>
            </w:pPr>
            <w:r>
              <w:rPr>
                <w:rFonts w:ascii="Arial" w:cs="Arial" w:eastAsia="Arial" w:hAnsi="Arial"/>
                <w:sz w:val="16"/>
                <w:szCs w:val="16"/>
                <w:b w:val="1"/>
                <w:bCs w:val="1"/>
                <w:color w:val="auto"/>
              </w:rPr>
              <w:t>Cash flow from financing activities:</w:t>
            </w:r>
          </w:p>
        </w:tc>
        <w:tc>
          <w:tcPr>
            <w:tcW w:w="280" w:type="dxa"/>
            <w:vAlign w:val="bottom"/>
            <w:tcBorders>
              <w:top w:val="single" w:sz="8" w:color="CFF0FC"/>
            </w:tcBorders>
            <w:shd w:val="clear" w:color="auto" w:fill="CFF0FC"/>
          </w:tcPr>
          <w:p>
            <w:pPr>
              <w:spacing w:after="0"/>
              <w:rPr>
                <w:sz w:val="18"/>
                <w:szCs w:val="18"/>
                <w:color w:val="auto"/>
              </w:rPr>
            </w:pPr>
          </w:p>
        </w:tc>
        <w:tc>
          <w:tcPr>
            <w:tcW w:w="1140" w:type="dxa"/>
            <w:vAlign w:val="bottom"/>
            <w:tcBorders>
              <w:top w:val="single" w:sz="8" w:color="auto"/>
            </w:tcBorders>
            <w:shd w:val="clear" w:color="auto" w:fill="CFF0FC"/>
          </w:tcPr>
          <w:p>
            <w:pPr>
              <w:spacing w:after="0"/>
              <w:rPr>
                <w:sz w:val="18"/>
                <w:szCs w:val="18"/>
                <w:color w:val="auto"/>
              </w:rPr>
            </w:pPr>
          </w:p>
        </w:tc>
        <w:tc>
          <w:tcPr>
            <w:tcW w:w="620" w:type="dxa"/>
            <w:vAlign w:val="bottom"/>
            <w:tcBorders>
              <w:top w:val="single" w:sz="8" w:color="auto"/>
            </w:tcBorders>
            <w:shd w:val="clear" w:color="auto" w:fill="CFF0FC"/>
          </w:tcPr>
          <w:p>
            <w:pPr>
              <w:spacing w:after="0"/>
              <w:rPr>
                <w:sz w:val="18"/>
                <w:szCs w:val="18"/>
                <w:color w:val="auto"/>
              </w:rPr>
            </w:pPr>
          </w:p>
        </w:tc>
        <w:tc>
          <w:tcPr>
            <w:tcW w:w="240" w:type="dxa"/>
            <w:vAlign w:val="bottom"/>
            <w:tcBorders>
              <w:top w:val="single" w:sz="8" w:color="CFF0FC"/>
            </w:tcBorders>
            <w:shd w:val="clear" w:color="auto" w:fill="CFF0FC"/>
          </w:tcPr>
          <w:p>
            <w:pPr>
              <w:spacing w:after="0"/>
              <w:rPr>
                <w:sz w:val="18"/>
                <w:szCs w:val="18"/>
                <w:color w:val="auto"/>
              </w:rPr>
            </w:pPr>
          </w:p>
        </w:tc>
        <w:tc>
          <w:tcPr>
            <w:tcW w:w="1160" w:type="dxa"/>
            <w:vAlign w:val="bottom"/>
            <w:tcBorders>
              <w:top w:val="single" w:sz="8" w:color="auto"/>
            </w:tcBorders>
            <w:shd w:val="clear" w:color="auto" w:fill="CFF0FC"/>
          </w:tcPr>
          <w:p>
            <w:pPr>
              <w:spacing w:after="0"/>
              <w:rPr>
                <w:sz w:val="18"/>
                <w:szCs w:val="18"/>
                <w:color w:val="auto"/>
              </w:rPr>
            </w:pPr>
          </w:p>
        </w:tc>
        <w:tc>
          <w:tcPr>
            <w:tcW w:w="620" w:type="dxa"/>
            <w:vAlign w:val="bottom"/>
            <w:tcBorders>
              <w:top w:val="single" w:sz="8" w:color="auto"/>
            </w:tcBorders>
            <w:shd w:val="clear" w:color="auto" w:fill="CFF0FC"/>
          </w:tcPr>
          <w:p>
            <w:pPr>
              <w:spacing w:after="0"/>
              <w:rPr>
                <w:sz w:val="18"/>
                <w:szCs w:val="18"/>
                <w:color w:val="auto"/>
              </w:rPr>
            </w:pPr>
          </w:p>
        </w:tc>
        <w:tc>
          <w:tcPr>
            <w:tcW w:w="120" w:type="dxa"/>
            <w:vAlign w:val="bottom"/>
            <w:tcBorders>
              <w:top w:val="single" w:sz="8" w:color="CFF0FC"/>
            </w:tcBorders>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3"/>
        </w:trPr>
        <w:tc>
          <w:tcPr>
            <w:tcW w:w="7060" w:type="dxa"/>
            <w:vAlign w:val="bottom"/>
          </w:tcPr>
          <w:p>
            <w:pPr>
              <w:ind w:left="500"/>
              <w:spacing w:after="0"/>
              <w:rPr>
                <w:sz w:val="20"/>
                <w:szCs w:val="20"/>
                <w:color w:val="auto"/>
              </w:rPr>
            </w:pPr>
            <w:r>
              <w:rPr>
                <w:rFonts w:ascii="Arial" w:cs="Arial" w:eastAsia="Arial" w:hAnsi="Arial"/>
                <w:sz w:val="16"/>
                <w:szCs w:val="16"/>
                <w:color w:val="auto"/>
              </w:rPr>
              <w:t>Cash received from debt borrowings</w:t>
            </w:r>
          </w:p>
        </w:tc>
        <w:tc>
          <w:tcPr>
            <w:tcW w:w="28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620" w:type="dxa"/>
            <w:vAlign w:val="bottom"/>
          </w:tcPr>
          <w:p>
            <w:pPr>
              <w:jc w:val="right"/>
              <w:spacing w:after="0"/>
              <w:rPr>
                <w:sz w:val="20"/>
                <w:szCs w:val="20"/>
                <w:color w:val="auto"/>
              </w:rPr>
            </w:pPr>
            <w:r>
              <w:rPr>
                <w:rFonts w:ascii="Arial" w:cs="Arial" w:eastAsia="Arial" w:hAnsi="Arial"/>
                <w:sz w:val="16"/>
                <w:szCs w:val="16"/>
                <w:color w:val="auto"/>
              </w:rPr>
              <w:t>170.0</w:t>
            </w:r>
          </w:p>
        </w:tc>
        <w:tc>
          <w:tcPr>
            <w:tcW w:w="24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620" w:type="dxa"/>
            <w:vAlign w:val="bottom"/>
          </w:tcPr>
          <w:p>
            <w:pPr>
              <w:jc w:val="right"/>
              <w:spacing w:after="0"/>
              <w:rPr>
                <w:sz w:val="20"/>
                <w:szCs w:val="20"/>
                <w:color w:val="auto"/>
              </w:rPr>
            </w:pPr>
            <w:r>
              <w:rPr>
                <w:rFonts w:ascii="Arial" w:cs="Arial" w:eastAsia="Arial" w:hAnsi="Arial"/>
                <w:sz w:val="16"/>
                <w:szCs w:val="16"/>
                <w:color w:val="auto"/>
              </w:rPr>
              <w:t>246.0</w:t>
            </w: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9"/>
        </w:trPr>
        <w:tc>
          <w:tcPr>
            <w:tcW w:w="7060" w:type="dxa"/>
            <w:vAlign w:val="bottom"/>
            <w:shd w:val="clear" w:color="auto" w:fill="CFF0FC"/>
          </w:tcPr>
          <w:p>
            <w:pPr>
              <w:ind w:left="500"/>
              <w:spacing w:after="0"/>
              <w:rPr>
                <w:sz w:val="20"/>
                <w:szCs w:val="20"/>
                <w:color w:val="auto"/>
              </w:rPr>
            </w:pPr>
            <w:r>
              <w:rPr>
                <w:rFonts w:ascii="Arial" w:cs="Arial" w:eastAsia="Arial" w:hAnsi="Arial"/>
                <w:sz w:val="16"/>
                <w:szCs w:val="16"/>
                <w:color w:val="auto"/>
              </w:rPr>
              <w:t>Repayments of debt</w:t>
            </w:r>
          </w:p>
        </w:tc>
        <w:tc>
          <w:tcPr>
            <w:tcW w:w="280" w:type="dxa"/>
            <w:vAlign w:val="bottom"/>
            <w:shd w:val="clear" w:color="auto" w:fill="CFF0FC"/>
          </w:tcPr>
          <w:p>
            <w:pPr>
              <w:spacing w:after="0"/>
              <w:rPr>
                <w:sz w:val="19"/>
                <w:szCs w:val="19"/>
                <w:color w:val="auto"/>
              </w:rPr>
            </w:pPr>
          </w:p>
        </w:tc>
        <w:tc>
          <w:tcPr>
            <w:tcW w:w="1140" w:type="dxa"/>
            <w:vAlign w:val="bottom"/>
            <w:shd w:val="clear" w:color="auto" w:fill="CFF0FC"/>
          </w:tcPr>
          <w:p>
            <w:pPr>
              <w:spacing w:after="0"/>
              <w:rPr>
                <w:sz w:val="19"/>
                <w:szCs w:val="19"/>
                <w:color w:val="auto"/>
              </w:rPr>
            </w:pPr>
          </w:p>
        </w:tc>
        <w:tc>
          <w:tcPr>
            <w:tcW w:w="860" w:type="dxa"/>
            <w:vAlign w:val="bottom"/>
            <w:gridSpan w:val="2"/>
            <w:shd w:val="clear" w:color="auto" w:fill="CFF0FC"/>
          </w:tcPr>
          <w:p>
            <w:pPr>
              <w:jc w:val="right"/>
              <w:ind w:right="200"/>
              <w:spacing w:after="0"/>
              <w:rPr>
                <w:sz w:val="20"/>
                <w:szCs w:val="20"/>
                <w:color w:val="auto"/>
              </w:rPr>
            </w:pPr>
            <w:r>
              <w:rPr>
                <w:rFonts w:ascii="Arial" w:cs="Arial" w:eastAsia="Arial" w:hAnsi="Arial"/>
                <w:sz w:val="16"/>
                <w:szCs w:val="16"/>
                <w:color w:val="auto"/>
              </w:rPr>
              <w:t>(99.4)</w:t>
            </w:r>
          </w:p>
        </w:tc>
        <w:tc>
          <w:tcPr>
            <w:tcW w:w="1160" w:type="dxa"/>
            <w:vAlign w:val="bottom"/>
            <w:shd w:val="clear" w:color="auto" w:fill="CFF0FC"/>
          </w:tcPr>
          <w:p>
            <w:pPr>
              <w:spacing w:after="0"/>
              <w:rPr>
                <w:sz w:val="19"/>
                <w:szCs w:val="19"/>
                <w:color w:val="auto"/>
              </w:rPr>
            </w:pPr>
          </w:p>
        </w:tc>
        <w:tc>
          <w:tcPr>
            <w:tcW w:w="740" w:type="dxa"/>
            <w:vAlign w:val="bottom"/>
            <w:gridSpan w:val="2"/>
            <w:shd w:val="clear" w:color="auto" w:fill="CFF0FC"/>
          </w:tcPr>
          <w:p>
            <w:pPr>
              <w:jc w:val="right"/>
              <w:ind w:right="60"/>
              <w:spacing w:after="0"/>
              <w:rPr>
                <w:sz w:val="20"/>
                <w:szCs w:val="20"/>
                <w:color w:val="auto"/>
              </w:rPr>
            </w:pPr>
            <w:r>
              <w:rPr>
                <w:rFonts w:ascii="Arial" w:cs="Arial" w:eastAsia="Arial" w:hAnsi="Arial"/>
                <w:sz w:val="16"/>
                <w:szCs w:val="16"/>
                <w:color w:val="auto"/>
              </w:rPr>
              <w:t>(95.9)</w:t>
            </w:r>
          </w:p>
        </w:tc>
        <w:tc>
          <w:tcPr>
            <w:tcW w:w="0" w:type="dxa"/>
            <w:vAlign w:val="bottom"/>
          </w:tcPr>
          <w:p>
            <w:pPr>
              <w:spacing w:after="0"/>
              <w:rPr>
                <w:sz w:val="1"/>
                <w:szCs w:val="1"/>
                <w:color w:val="auto"/>
              </w:rPr>
            </w:pPr>
          </w:p>
        </w:tc>
      </w:tr>
      <w:tr>
        <w:trPr>
          <w:trHeight w:val="213"/>
        </w:trPr>
        <w:tc>
          <w:tcPr>
            <w:tcW w:w="7060" w:type="dxa"/>
            <w:vAlign w:val="bottom"/>
          </w:tcPr>
          <w:p>
            <w:pPr>
              <w:ind w:left="500"/>
              <w:spacing w:after="0"/>
              <w:rPr>
                <w:sz w:val="20"/>
                <w:szCs w:val="20"/>
                <w:color w:val="auto"/>
              </w:rPr>
            </w:pPr>
            <w:r>
              <w:rPr>
                <w:rFonts w:ascii="Arial" w:cs="Arial" w:eastAsia="Arial" w:hAnsi="Arial"/>
                <w:sz w:val="16"/>
                <w:szCs w:val="16"/>
                <w:color w:val="auto"/>
              </w:rPr>
              <w:t>Net increase (decrease) in client funds obligations</w:t>
            </w:r>
          </w:p>
        </w:tc>
        <w:tc>
          <w:tcPr>
            <w:tcW w:w="28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620" w:type="dxa"/>
            <w:vAlign w:val="bottom"/>
          </w:tcPr>
          <w:p>
            <w:pPr>
              <w:jc w:val="right"/>
              <w:spacing w:after="0"/>
              <w:rPr>
                <w:sz w:val="20"/>
                <w:szCs w:val="20"/>
                <w:color w:val="auto"/>
              </w:rPr>
            </w:pPr>
            <w:r>
              <w:rPr>
                <w:rFonts w:ascii="Arial" w:cs="Arial" w:eastAsia="Arial" w:hAnsi="Arial"/>
                <w:sz w:val="16"/>
                <w:szCs w:val="16"/>
                <w:color w:val="auto"/>
              </w:rPr>
              <w:t>777.0</w:t>
            </w:r>
          </w:p>
        </w:tc>
        <w:tc>
          <w:tcPr>
            <w:tcW w:w="24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740" w:type="dxa"/>
            <w:vAlign w:val="bottom"/>
            <w:gridSpan w:val="2"/>
          </w:tcPr>
          <w:p>
            <w:pPr>
              <w:jc w:val="right"/>
              <w:ind w:right="60"/>
              <w:spacing w:after="0"/>
              <w:rPr>
                <w:sz w:val="20"/>
                <w:szCs w:val="20"/>
                <w:color w:val="auto"/>
              </w:rPr>
            </w:pPr>
            <w:r>
              <w:rPr>
                <w:rFonts w:ascii="Arial" w:cs="Arial" w:eastAsia="Arial" w:hAnsi="Arial"/>
                <w:sz w:val="16"/>
                <w:szCs w:val="16"/>
                <w:color w:val="auto"/>
              </w:rPr>
              <w:t>(670.7)</w:t>
            </w:r>
          </w:p>
        </w:tc>
        <w:tc>
          <w:tcPr>
            <w:tcW w:w="0" w:type="dxa"/>
            <w:vAlign w:val="bottom"/>
          </w:tcPr>
          <w:p>
            <w:pPr>
              <w:spacing w:after="0"/>
              <w:rPr>
                <w:sz w:val="1"/>
                <w:szCs w:val="1"/>
                <w:color w:val="auto"/>
              </w:rPr>
            </w:pPr>
          </w:p>
        </w:tc>
      </w:tr>
      <w:tr>
        <w:trPr>
          <w:trHeight w:val="219"/>
        </w:trPr>
        <w:tc>
          <w:tcPr>
            <w:tcW w:w="7060" w:type="dxa"/>
            <w:vAlign w:val="bottom"/>
            <w:shd w:val="clear" w:color="auto" w:fill="CFF0FC"/>
          </w:tcPr>
          <w:p>
            <w:pPr>
              <w:ind w:left="500"/>
              <w:spacing w:after="0"/>
              <w:rPr>
                <w:sz w:val="20"/>
                <w:szCs w:val="20"/>
                <w:color w:val="auto"/>
              </w:rPr>
            </w:pPr>
            <w:r>
              <w:rPr>
                <w:rFonts w:ascii="Arial" w:cs="Arial" w:eastAsia="Arial" w:hAnsi="Arial"/>
                <w:sz w:val="16"/>
                <w:szCs w:val="16"/>
                <w:color w:val="auto"/>
              </w:rPr>
              <w:t>Proceeds from exercise of stock options</w:t>
            </w:r>
          </w:p>
        </w:tc>
        <w:tc>
          <w:tcPr>
            <w:tcW w:w="280" w:type="dxa"/>
            <w:vAlign w:val="bottom"/>
            <w:shd w:val="clear" w:color="auto" w:fill="CFF0FC"/>
          </w:tcPr>
          <w:p>
            <w:pPr>
              <w:spacing w:after="0"/>
              <w:rPr>
                <w:sz w:val="19"/>
                <w:szCs w:val="19"/>
                <w:color w:val="auto"/>
              </w:rPr>
            </w:pPr>
          </w:p>
        </w:tc>
        <w:tc>
          <w:tcPr>
            <w:tcW w:w="1140" w:type="dxa"/>
            <w:vAlign w:val="bottom"/>
            <w:shd w:val="clear" w:color="auto" w:fill="CFF0FC"/>
          </w:tcPr>
          <w:p>
            <w:pPr>
              <w:spacing w:after="0"/>
              <w:rPr>
                <w:sz w:val="19"/>
                <w:szCs w:val="19"/>
                <w:color w:val="auto"/>
              </w:rPr>
            </w:pPr>
          </w:p>
        </w:tc>
        <w:tc>
          <w:tcPr>
            <w:tcW w:w="620" w:type="dxa"/>
            <w:vAlign w:val="bottom"/>
            <w:shd w:val="clear" w:color="auto" w:fill="CFF0FC"/>
          </w:tcPr>
          <w:p>
            <w:pPr>
              <w:jc w:val="right"/>
              <w:spacing w:after="0"/>
              <w:rPr>
                <w:sz w:val="20"/>
                <w:szCs w:val="20"/>
                <w:color w:val="auto"/>
              </w:rPr>
            </w:pPr>
            <w:r>
              <w:rPr>
                <w:rFonts w:ascii="Arial" w:cs="Arial" w:eastAsia="Arial" w:hAnsi="Arial"/>
                <w:sz w:val="16"/>
                <w:szCs w:val="16"/>
                <w:color w:val="auto"/>
              </w:rPr>
              <w:t>30.6</w:t>
            </w:r>
          </w:p>
        </w:tc>
        <w:tc>
          <w:tcPr>
            <w:tcW w:w="240" w:type="dxa"/>
            <w:vAlign w:val="bottom"/>
            <w:shd w:val="clear" w:color="auto" w:fill="CFF0FC"/>
          </w:tcPr>
          <w:p>
            <w:pPr>
              <w:spacing w:after="0"/>
              <w:rPr>
                <w:sz w:val="19"/>
                <w:szCs w:val="19"/>
                <w:color w:val="auto"/>
              </w:rPr>
            </w:pPr>
          </w:p>
        </w:tc>
        <w:tc>
          <w:tcPr>
            <w:tcW w:w="1160" w:type="dxa"/>
            <w:vAlign w:val="bottom"/>
            <w:shd w:val="clear" w:color="auto" w:fill="CFF0FC"/>
          </w:tcPr>
          <w:p>
            <w:pPr>
              <w:spacing w:after="0"/>
              <w:rPr>
                <w:sz w:val="19"/>
                <w:szCs w:val="19"/>
                <w:color w:val="auto"/>
              </w:rPr>
            </w:pPr>
          </w:p>
        </w:tc>
        <w:tc>
          <w:tcPr>
            <w:tcW w:w="620" w:type="dxa"/>
            <w:vAlign w:val="bottom"/>
            <w:shd w:val="clear" w:color="auto" w:fill="CFF0FC"/>
          </w:tcPr>
          <w:p>
            <w:pPr>
              <w:jc w:val="right"/>
              <w:spacing w:after="0"/>
              <w:rPr>
                <w:sz w:val="20"/>
                <w:szCs w:val="20"/>
                <w:color w:val="auto"/>
              </w:rPr>
            </w:pPr>
            <w:r>
              <w:rPr>
                <w:rFonts w:ascii="Arial" w:cs="Arial" w:eastAsia="Arial" w:hAnsi="Arial"/>
                <w:sz w:val="16"/>
                <w:szCs w:val="16"/>
                <w:color w:val="auto"/>
              </w:rPr>
              <w:t>38.1</w:t>
            </w:r>
          </w:p>
        </w:tc>
        <w:tc>
          <w:tcPr>
            <w:tcW w:w="12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13"/>
        </w:trPr>
        <w:tc>
          <w:tcPr>
            <w:tcW w:w="7060" w:type="dxa"/>
            <w:vAlign w:val="bottom"/>
          </w:tcPr>
          <w:p>
            <w:pPr>
              <w:ind w:left="500"/>
              <w:spacing w:after="0"/>
              <w:rPr>
                <w:sz w:val="20"/>
                <w:szCs w:val="20"/>
                <w:color w:val="auto"/>
              </w:rPr>
            </w:pPr>
            <w:r>
              <w:rPr>
                <w:rFonts w:ascii="Arial" w:cs="Arial" w:eastAsia="Arial" w:hAnsi="Arial"/>
                <w:sz w:val="16"/>
                <w:szCs w:val="16"/>
                <w:color w:val="auto"/>
              </w:rPr>
              <w:t>Withholding taxes paid related to equity award net share settlement</w:t>
            </w:r>
          </w:p>
        </w:tc>
        <w:tc>
          <w:tcPr>
            <w:tcW w:w="28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860" w:type="dxa"/>
            <w:vAlign w:val="bottom"/>
            <w:gridSpan w:val="2"/>
          </w:tcPr>
          <w:p>
            <w:pPr>
              <w:jc w:val="right"/>
              <w:ind w:right="200"/>
              <w:spacing w:after="0"/>
              <w:rPr>
                <w:sz w:val="20"/>
                <w:szCs w:val="20"/>
                <w:color w:val="auto"/>
              </w:rPr>
            </w:pPr>
            <w:r>
              <w:rPr>
                <w:rFonts w:ascii="Arial" w:cs="Arial" w:eastAsia="Arial" w:hAnsi="Arial"/>
                <w:sz w:val="16"/>
                <w:szCs w:val="16"/>
                <w:color w:val="auto"/>
              </w:rPr>
              <w:t>(1.9)</w:t>
            </w:r>
          </w:p>
        </w:tc>
        <w:tc>
          <w:tcPr>
            <w:tcW w:w="1160" w:type="dxa"/>
            <w:vAlign w:val="bottom"/>
          </w:tcPr>
          <w:p>
            <w:pPr>
              <w:spacing w:after="0"/>
              <w:rPr>
                <w:sz w:val="18"/>
                <w:szCs w:val="18"/>
                <w:color w:val="auto"/>
              </w:rPr>
            </w:pPr>
          </w:p>
        </w:tc>
        <w:tc>
          <w:tcPr>
            <w:tcW w:w="740" w:type="dxa"/>
            <w:vAlign w:val="bottom"/>
            <w:gridSpan w:val="2"/>
          </w:tcPr>
          <w:p>
            <w:pPr>
              <w:jc w:val="right"/>
              <w:ind w:right="60"/>
              <w:spacing w:after="0"/>
              <w:rPr>
                <w:sz w:val="20"/>
                <w:szCs w:val="20"/>
                <w:color w:val="auto"/>
              </w:rPr>
            </w:pPr>
            <w:r>
              <w:rPr>
                <w:rFonts w:ascii="Arial" w:cs="Arial" w:eastAsia="Arial" w:hAnsi="Arial"/>
                <w:sz w:val="16"/>
                <w:szCs w:val="16"/>
                <w:color w:val="auto"/>
              </w:rPr>
              <w:t>(3.3)</w:t>
            </w:r>
          </w:p>
        </w:tc>
        <w:tc>
          <w:tcPr>
            <w:tcW w:w="0" w:type="dxa"/>
            <w:vAlign w:val="bottom"/>
          </w:tcPr>
          <w:p>
            <w:pPr>
              <w:spacing w:after="0"/>
              <w:rPr>
                <w:sz w:val="1"/>
                <w:szCs w:val="1"/>
                <w:color w:val="auto"/>
              </w:rPr>
            </w:pPr>
          </w:p>
        </w:tc>
      </w:tr>
      <w:tr>
        <w:trPr>
          <w:trHeight w:val="219"/>
        </w:trPr>
        <w:tc>
          <w:tcPr>
            <w:tcW w:w="7060" w:type="dxa"/>
            <w:vAlign w:val="bottom"/>
            <w:shd w:val="clear" w:color="auto" w:fill="CFF0FC"/>
          </w:tcPr>
          <w:p>
            <w:pPr>
              <w:ind w:left="500"/>
              <w:spacing w:after="0"/>
              <w:rPr>
                <w:sz w:val="20"/>
                <w:szCs w:val="20"/>
                <w:color w:val="auto"/>
              </w:rPr>
            </w:pPr>
            <w:r>
              <w:rPr>
                <w:rFonts w:ascii="Arial" w:cs="Arial" w:eastAsia="Arial" w:hAnsi="Arial"/>
                <w:sz w:val="16"/>
                <w:szCs w:val="16"/>
                <w:color w:val="auto"/>
              </w:rPr>
              <w:t>Purchases of common stock for treasury</w:t>
            </w:r>
          </w:p>
        </w:tc>
        <w:tc>
          <w:tcPr>
            <w:tcW w:w="280" w:type="dxa"/>
            <w:vAlign w:val="bottom"/>
            <w:shd w:val="clear" w:color="auto" w:fill="CFF0FC"/>
          </w:tcPr>
          <w:p>
            <w:pPr>
              <w:spacing w:after="0"/>
              <w:rPr>
                <w:sz w:val="19"/>
                <w:szCs w:val="19"/>
                <w:color w:val="auto"/>
              </w:rPr>
            </w:pPr>
          </w:p>
        </w:tc>
        <w:tc>
          <w:tcPr>
            <w:tcW w:w="1140" w:type="dxa"/>
            <w:vAlign w:val="bottom"/>
            <w:shd w:val="clear" w:color="auto" w:fill="CFF0FC"/>
          </w:tcPr>
          <w:p>
            <w:pPr>
              <w:spacing w:after="0"/>
              <w:rPr>
                <w:sz w:val="19"/>
                <w:szCs w:val="19"/>
                <w:color w:val="auto"/>
              </w:rPr>
            </w:pPr>
          </w:p>
        </w:tc>
        <w:tc>
          <w:tcPr>
            <w:tcW w:w="860" w:type="dxa"/>
            <w:vAlign w:val="bottom"/>
            <w:gridSpan w:val="2"/>
            <w:shd w:val="clear" w:color="auto" w:fill="CFF0FC"/>
          </w:tcPr>
          <w:p>
            <w:pPr>
              <w:jc w:val="right"/>
              <w:ind w:right="200"/>
              <w:spacing w:after="0"/>
              <w:rPr>
                <w:sz w:val="20"/>
                <w:szCs w:val="20"/>
                <w:color w:val="auto"/>
              </w:rPr>
            </w:pPr>
            <w:r>
              <w:rPr>
                <w:rFonts w:ascii="Arial" w:cs="Arial" w:eastAsia="Arial" w:hAnsi="Arial"/>
                <w:sz w:val="16"/>
                <w:szCs w:val="16"/>
                <w:color w:val="auto"/>
              </w:rPr>
              <w:t>(181.4)</w:t>
            </w:r>
          </w:p>
        </w:tc>
        <w:tc>
          <w:tcPr>
            <w:tcW w:w="1160" w:type="dxa"/>
            <w:vAlign w:val="bottom"/>
            <w:shd w:val="clear" w:color="auto" w:fill="CFF0FC"/>
          </w:tcPr>
          <w:p>
            <w:pPr>
              <w:spacing w:after="0"/>
              <w:rPr>
                <w:sz w:val="19"/>
                <w:szCs w:val="19"/>
                <w:color w:val="auto"/>
              </w:rPr>
            </w:pPr>
          </w:p>
        </w:tc>
        <w:tc>
          <w:tcPr>
            <w:tcW w:w="740" w:type="dxa"/>
            <w:vAlign w:val="bottom"/>
            <w:gridSpan w:val="2"/>
            <w:shd w:val="clear" w:color="auto" w:fill="CFF0FC"/>
          </w:tcPr>
          <w:p>
            <w:pPr>
              <w:jc w:val="right"/>
              <w:ind w:right="140"/>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13"/>
        </w:trPr>
        <w:tc>
          <w:tcPr>
            <w:tcW w:w="7060" w:type="dxa"/>
            <w:vAlign w:val="bottom"/>
          </w:tcPr>
          <w:p>
            <w:pPr>
              <w:ind w:left="500"/>
              <w:spacing w:after="0"/>
              <w:rPr>
                <w:sz w:val="20"/>
                <w:szCs w:val="20"/>
                <w:color w:val="auto"/>
              </w:rPr>
            </w:pPr>
            <w:r>
              <w:rPr>
                <w:rFonts w:ascii="Arial" w:cs="Arial" w:eastAsia="Arial" w:hAnsi="Arial"/>
                <w:sz w:val="16"/>
                <w:szCs w:val="16"/>
                <w:color w:val="auto"/>
              </w:rPr>
              <w:t>Dividends paid on common stock</w:t>
            </w:r>
          </w:p>
        </w:tc>
        <w:tc>
          <w:tcPr>
            <w:tcW w:w="28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860" w:type="dxa"/>
            <w:vAlign w:val="bottom"/>
            <w:gridSpan w:val="2"/>
          </w:tcPr>
          <w:p>
            <w:pPr>
              <w:jc w:val="right"/>
              <w:ind w:right="200"/>
              <w:spacing w:after="0"/>
              <w:rPr>
                <w:sz w:val="20"/>
                <w:szCs w:val="20"/>
                <w:color w:val="auto"/>
              </w:rPr>
            </w:pPr>
            <w:r>
              <w:rPr>
                <w:rFonts w:ascii="Arial" w:cs="Arial" w:eastAsia="Arial" w:hAnsi="Arial"/>
                <w:sz w:val="16"/>
                <w:szCs w:val="16"/>
                <w:color w:val="auto"/>
              </w:rPr>
              <w:t>(41.2)</w:t>
            </w:r>
          </w:p>
        </w:tc>
        <w:tc>
          <w:tcPr>
            <w:tcW w:w="1160" w:type="dxa"/>
            <w:vAlign w:val="bottom"/>
          </w:tcPr>
          <w:p>
            <w:pPr>
              <w:spacing w:after="0"/>
              <w:rPr>
                <w:sz w:val="18"/>
                <w:szCs w:val="18"/>
                <w:color w:val="auto"/>
              </w:rPr>
            </w:pPr>
          </w:p>
        </w:tc>
        <w:tc>
          <w:tcPr>
            <w:tcW w:w="740" w:type="dxa"/>
            <w:vAlign w:val="bottom"/>
            <w:gridSpan w:val="2"/>
          </w:tcPr>
          <w:p>
            <w:pPr>
              <w:jc w:val="right"/>
              <w:ind w:right="60"/>
              <w:spacing w:after="0"/>
              <w:rPr>
                <w:sz w:val="20"/>
                <w:szCs w:val="20"/>
                <w:color w:val="auto"/>
              </w:rPr>
            </w:pPr>
            <w:r>
              <w:rPr>
                <w:rFonts w:ascii="Arial" w:cs="Arial" w:eastAsia="Arial" w:hAnsi="Arial"/>
                <w:sz w:val="16"/>
                <w:szCs w:val="16"/>
                <w:color w:val="auto"/>
              </w:rPr>
              <w:t>(31.9)</w:t>
            </w:r>
          </w:p>
        </w:tc>
        <w:tc>
          <w:tcPr>
            <w:tcW w:w="0" w:type="dxa"/>
            <w:vAlign w:val="bottom"/>
          </w:tcPr>
          <w:p>
            <w:pPr>
              <w:spacing w:after="0"/>
              <w:rPr>
                <w:sz w:val="1"/>
                <w:szCs w:val="1"/>
                <w:color w:val="auto"/>
              </w:rPr>
            </w:pPr>
          </w:p>
        </w:tc>
      </w:tr>
      <w:tr>
        <w:trPr>
          <w:trHeight w:val="20"/>
        </w:trPr>
        <w:tc>
          <w:tcPr>
            <w:tcW w:w="7060" w:type="dxa"/>
            <w:vAlign w:val="bottom"/>
            <w:vMerge w:val="restart"/>
            <w:shd w:val="clear" w:color="auto" w:fill="CFF0FC"/>
          </w:tcPr>
          <w:p>
            <w:pPr>
              <w:ind w:left="740"/>
              <w:spacing w:after="0"/>
              <w:rPr>
                <w:sz w:val="20"/>
                <w:szCs w:val="20"/>
                <w:color w:val="auto"/>
              </w:rPr>
            </w:pPr>
            <w:r>
              <w:rPr>
                <w:rFonts w:ascii="Arial" w:cs="Arial" w:eastAsia="Arial" w:hAnsi="Arial"/>
                <w:sz w:val="16"/>
                <w:szCs w:val="16"/>
                <w:color w:val="auto"/>
              </w:rPr>
              <w:t>Net cash provided by (used in) financing activities</w:t>
            </w:r>
          </w:p>
        </w:tc>
        <w:tc>
          <w:tcPr>
            <w:tcW w:w="280" w:type="dxa"/>
            <w:vAlign w:val="bottom"/>
            <w:shd w:val="clear" w:color="auto" w:fill="CFF0FC"/>
          </w:tcPr>
          <w:p>
            <w:pPr>
              <w:spacing w:after="0" w:line="20" w:lineRule="exact"/>
              <w:rPr>
                <w:sz w:val="1"/>
                <w:szCs w:val="1"/>
                <w:color w:val="auto"/>
              </w:rPr>
            </w:pPr>
          </w:p>
        </w:tc>
        <w:tc>
          <w:tcPr>
            <w:tcW w:w="1140" w:type="dxa"/>
            <w:vAlign w:val="bottom"/>
            <w:shd w:val="clear" w:color="auto" w:fill="000000"/>
          </w:tcPr>
          <w:p>
            <w:pPr>
              <w:spacing w:after="0" w:line="20" w:lineRule="exact"/>
              <w:rPr>
                <w:sz w:val="1"/>
                <w:szCs w:val="1"/>
                <w:color w:val="auto"/>
              </w:rPr>
            </w:pPr>
          </w:p>
        </w:tc>
        <w:tc>
          <w:tcPr>
            <w:tcW w:w="620" w:type="dxa"/>
            <w:vAlign w:val="bottom"/>
            <w:shd w:val="clear" w:color="auto" w:fill="000000"/>
          </w:tcPr>
          <w:p>
            <w:pPr>
              <w:spacing w:after="0" w:line="20" w:lineRule="exact"/>
              <w:rPr>
                <w:sz w:val="1"/>
                <w:szCs w:val="1"/>
                <w:color w:val="auto"/>
              </w:rPr>
            </w:pPr>
          </w:p>
        </w:tc>
        <w:tc>
          <w:tcPr>
            <w:tcW w:w="240" w:type="dxa"/>
            <w:vAlign w:val="bottom"/>
            <w:shd w:val="clear" w:color="auto" w:fill="CFF0FC"/>
          </w:tcPr>
          <w:p>
            <w:pPr>
              <w:spacing w:after="0" w:line="20" w:lineRule="exact"/>
              <w:rPr>
                <w:sz w:val="1"/>
                <w:szCs w:val="1"/>
                <w:color w:val="auto"/>
              </w:rPr>
            </w:pPr>
          </w:p>
        </w:tc>
        <w:tc>
          <w:tcPr>
            <w:tcW w:w="1160" w:type="dxa"/>
            <w:vAlign w:val="bottom"/>
            <w:shd w:val="clear" w:color="auto" w:fill="000000"/>
          </w:tcPr>
          <w:p>
            <w:pPr>
              <w:spacing w:after="0" w:line="20" w:lineRule="exact"/>
              <w:rPr>
                <w:sz w:val="1"/>
                <w:szCs w:val="1"/>
                <w:color w:val="auto"/>
              </w:rPr>
            </w:pPr>
          </w:p>
        </w:tc>
        <w:tc>
          <w:tcPr>
            <w:tcW w:w="620" w:type="dxa"/>
            <w:vAlign w:val="bottom"/>
            <w:shd w:val="clear" w:color="auto" w:fill="000000"/>
          </w:tcPr>
          <w:p>
            <w:pPr>
              <w:spacing w:after="0" w:line="20" w:lineRule="exact"/>
              <w:rPr>
                <w:sz w:val="1"/>
                <w:szCs w:val="1"/>
                <w:color w:val="auto"/>
              </w:rPr>
            </w:pPr>
          </w:p>
        </w:tc>
        <w:tc>
          <w:tcPr>
            <w:tcW w:w="120" w:type="dxa"/>
            <w:vAlign w:val="bottom"/>
            <w:shd w:val="clear" w:color="auto" w:fill="CFF0FC"/>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3"/>
        </w:trPr>
        <w:tc>
          <w:tcPr>
            <w:tcW w:w="7060" w:type="dxa"/>
            <w:vAlign w:val="bottom"/>
            <w:vMerge w:val="continue"/>
            <w:shd w:val="clear" w:color="auto" w:fill="CFF0FC"/>
          </w:tcPr>
          <w:p>
            <w:pPr>
              <w:spacing w:after="0"/>
              <w:rPr>
                <w:sz w:val="18"/>
                <w:szCs w:val="18"/>
                <w:color w:val="auto"/>
              </w:rPr>
            </w:pPr>
          </w:p>
        </w:tc>
        <w:tc>
          <w:tcPr>
            <w:tcW w:w="280" w:type="dxa"/>
            <w:vAlign w:val="bottom"/>
            <w:shd w:val="clear" w:color="auto" w:fill="CFF0FC"/>
          </w:tcPr>
          <w:p>
            <w:pPr>
              <w:spacing w:after="0"/>
              <w:rPr>
                <w:sz w:val="18"/>
                <w:szCs w:val="18"/>
                <w:color w:val="auto"/>
              </w:rPr>
            </w:pPr>
          </w:p>
        </w:tc>
        <w:tc>
          <w:tcPr>
            <w:tcW w:w="1140" w:type="dxa"/>
            <w:vAlign w:val="bottom"/>
            <w:shd w:val="clear" w:color="auto" w:fill="CFF0FC"/>
          </w:tcPr>
          <w:p>
            <w:pPr>
              <w:spacing w:after="0"/>
              <w:rPr>
                <w:sz w:val="18"/>
                <w:szCs w:val="18"/>
                <w:color w:val="auto"/>
              </w:rPr>
            </w:pPr>
          </w:p>
        </w:tc>
        <w:tc>
          <w:tcPr>
            <w:tcW w:w="620" w:type="dxa"/>
            <w:vAlign w:val="bottom"/>
            <w:shd w:val="clear" w:color="auto" w:fill="CFF0FC"/>
          </w:tcPr>
          <w:p>
            <w:pPr>
              <w:jc w:val="right"/>
              <w:spacing w:after="0"/>
              <w:rPr>
                <w:sz w:val="20"/>
                <w:szCs w:val="20"/>
                <w:color w:val="auto"/>
              </w:rPr>
            </w:pPr>
            <w:r>
              <w:rPr>
                <w:rFonts w:ascii="Arial" w:cs="Arial" w:eastAsia="Arial" w:hAnsi="Arial"/>
                <w:sz w:val="16"/>
                <w:szCs w:val="16"/>
                <w:color w:val="auto"/>
              </w:rPr>
              <w:t>653.7</w:t>
            </w:r>
          </w:p>
        </w:tc>
        <w:tc>
          <w:tcPr>
            <w:tcW w:w="240" w:type="dxa"/>
            <w:vAlign w:val="bottom"/>
            <w:shd w:val="clear" w:color="auto" w:fill="CFF0FC"/>
          </w:tcPr>
          <w:p>
            <w:pPr>
              <w:spacing w:after="0"/>
              <w:rPr>
                <w:sz w:val="18"/>
                <w:szCs w:val="18"/>
                <w:color w:val="auto"/>
              </w:rPr>
            </w:pPr>
          </w:p>
        </w:tc>
        <w:tc>
          <w:tcPr>
            <w:tcW w:w="1160" w:type="dxa"/>
            <w:vAlign w:val="bottom"/>
            <w:shd w:val="clear" w:color="auto" w:fill="CFF0FC"/>
          </w:tcPr>
          <w:p>
            <w:pPr>
              <w:spacing w:after="0"/>
              <w:rPr>
                <w:sz w:val="18"/>
                <w:szCs w:val="18"/>
                <w:color w:val="auto"/>
              </w:rPr>
            </w:pPr>
          </w:p>
        </w:tc>
        <w:tc>
          <w:tcPr>
            <w:tcW w:w="740" w:type="dxa"/>
            <w:vAlign w:val="bottom"/>
            <w:gridSpan w:val="2"/>
            <w:shd w:val="clear" w:color="auto" w:fill="CFF0FC"/>
          </w:tcPr>
          <w:p>
            <w:pPr>
              <w:jc w:val="right"/>
              <w:ind w:right="60"/>
              <w:spacing w:after="0"/>
              <w:rPr>
                <w:sz w:val="20"/>
                <w:szCs w:val="20"/>
                <w:color w:val="auto"/>
              </w:rPr>
            </w:pPr>
            <w:r>
              <w:rPr>
                <w:rFonts w:ascii="Arial" w:cs="Arial" w:eastAsia="Arial" w:hAnsi="Arial"/>
                <w:sz w:val="16"/>
                <w:szCs w:val="16"/>
                <w:color w:val="auto"/>
              </w:rPr>
              <w:t>(517.7)</w:t>
            </w:r>
          </w:p>
        </w:tc>
        <w:tc>
          <w:tcPr>
            <w:tcW w:w="0" w:type="dxa"/>
            <w:vAlign w:val="bottom"/>
          </w:tcPr>
          <w:p>
            <w:pPr>
              <w:spacing w:after="0"/>
              <w:rPr>
                <w:sz w:val="1"/>
                <w:szCs w:val="1"/>
                <w:color w:val="auto"/>
              </w:rPr>
            </w:pPr>
          </w:p>
        </w:tc>
      </w:tr>
      <w:tr>
        <w:trPr>
          <w:trHeight w:val="20"/>
        </w:trPr>
        <w:tc>
          <w:tcPr>
            <w:tcW w:w="7060" w:type="dxa"/>
            <w:vAlign w:val="bottom"/>
            <w:vMerge w:val="restart"/>
          </w:tcPr>
          <w:p>
            <w:pPr>
              <w:ind w:left="260"/>
              <w:spacing w:after="0"/>
              <w:rPr>
                <w:sz w:val="20"/>
                <w:szCs w:val="20"/>
                <w:color w:val="auto"/>
              </w:rPr>
            </w:pPr>
            <w:r>
              <w:rPr>
                <w:rFonts w:ascii="Arial" w:cs="Arial" w:eastAsia="Arial" w:hAnsi="Arial"/>
                <w:sz w:val="16"/>
                <w:szCs w:val="16"/>
                <w:color w:val="auto"/>
              </w:rPr>
              <w:t>Effect of exchange rate changes on cash, cash equivalents and restricted cash</w:t>
            </w:r>
          </w:p>
        </w:tc>
        <w:tc>
          <w:tcPr>
            <w:tcW w:w="280" w:type="dxa"/>
            <w:vAlign w:val="bottom"/>
          </w:tcPr>
          <w:p>
            <w:pPr>
              <w:spacing w:after="0" w:line="20" w:lineRule="exact"/>
              <w:rPr>
                <w:sz w:val="1"/>
                <w:szCs w:val="1"/>
                <w:color w:val="auto"/>
              </w:rPr>
            </w:pPr>
          </w:p>
        </w:tc>
        <w:tc>
          <w:tcPr>
            <w:tcW w:w="1140" w:type="dxa"/>
            <w:vAlign w:val="bottom"/>
            <w:shd w:val="clear" w:color="auto" w:fill="000000"/>
          </w:tcPr>
          <w:p>
            <w:pPr>
              <w:spacing w:after="0" w:line="20" w:lineRule="exact"/>
              <w:rPr>
                <w:sz w:val="1"/>
                <w:szCs w:val="1"/>
                <w:color w:val="auto"/>
              </w:rPr>
            </w:pPr>
          </w:p>
        </w:tc>
        <w:tc>
          <w:tcPr>
            <w:tcW w:w="620" w:type="dxa"/>
            <w:vAlign w:val="bottom"/>
            <w:shd w:val="clear" w:color="auto" w:fill="000000"/>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160" w:type="dxa"/>
            <w:vAlign w:val="bottom"/>
            <w:shd w:val="clear" w:color="auto" w:fill="000000"/>
          </w:tcPr>
          <w:p>
            <w:pPr>
              <w:spacing w:after="0" w:line="20" w:lineRule="exact"/>
              <w:rPr>
                <w:sz w:val="1"/>
                <w:szCs w:val="1"/>
                <w:color w:val="auto"/>
              </w:rPr>
            </w:pPr>
          </w:p>
        </w:tc>
        <w:tc>
          <w:tcPr>
            <w:tcW w:w="62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6"/>
        </w:trPr>
        <w:tc>
          <w:tcPr>
            <w:tcW w:w="7060" w:type="dxa"/>
            <w:vAlign w:val="bottom"/>
            <w:vMerge w:val="continue"/>
          </w:tcPr>
          <w:p>
            <w:pPr>
              <w:spacing w:after="0"/>
              <w:rPr>
                <w:sz w:val="17"/>
                <w:szCs w:val="17"/>
                <w:color w:val="auto"/>
              </w:rPr>
            </w:pPr>
          </w:p>
        </w:tc>
        <w:tc>
          <w:tcPr>
            <w:tcW w:w="280" w:type="dxa"/>
            <w:vAlign w:val="bottom"/>
          </w:tcPr>
          <w:p>
            <w:pPr>
              <w:spacing w:after="0"/>
              <w:rPr>
                <w:sz w:val="17"/>
                <w:szCs w:val="17"/>
                <w:color w:val="auto"/>
              </w:rPr>
            </w:pPr>
          </w:p>
        </w:tc>
        <w:tc>
          <w:tcPr>
            <w:tcW w:w="1140" w:type="dxa"/>
            <w:vAlign w:val="bottom"/>
          </w:tcPr>
          <w:p>
            <w:pPr>
              <w:spacing w:after="0"/>
              <w:rPr>
                <w:sz w:val="17"/>
                <w:szCs w:val="17"/>
                <w:color w:val="auto"/>
              </w:rPr>
            </w:pPr>
          </w:p>
        </w:tc>
        <w:tc>
          <w:tcPr>
            <w:tcW w:w="860" w:type="dxa"/>
            <w:vAlign w:val="bottom"/>
            <w:gridSpan w:val="2"/>
          </w:tcPr>
          <w:p>
            <w:pPr>
              <w:jc w:val="right"/>
              <w:ind w:right="200"/>
              <w:spacing w:after="0"/>
              <w:rPr>
                <w:sz w:val="20"/>
                <w:szCs w:val="20"/>
                <w:color w:val="auto"/>
              </w:rPr>
            </w:pPr>
            <w:r>
              <w:rPr>
                <w:rFonts w:ascii="Arial" w:cs="Arial" w:eastAsia="Arial" w:hAnsi="Arial"/>
                <w:sz w:val="16"/>
                <w:szCs w:val="16"/>
                <w:color w:val="auto"/>
              </w:rPr>
              <w:t>(1.7)</w:t>
            </w:r>
          </w:p>
        </w:tc>
        <w:tc>
          <w:tcPr>
            <w:tcW w:w="1160" w:type="dxa"/>
            <w:vAlign w:val="bottom"/>
          </w:tcPr>
          <w:p>
            <w:pPr>
              <w:spacing w:after="0"/>
              <w:rPr>
                <w:sz w:val="17"/>
                <w:szCs w:val="17"/>
                <w:color w:val="auto"/>
              </w:rPr>
            </w:pPr>
          </w:p>
        </w:tc>
        <w:tc>
          <w:tcPr>
            <w:tcW w:w="740" w:type="dxa"/>
            <w:vAlign w:val="bottom"/>
            <w:gridSpan w:val="2"/>
          </w:tcPr>
          <w:p>
            <w:pPr>
              <w:jc w:val="right"/>
              <w:ind w:right="60"/>
              <w:spacing w:after="0"/>
              <w:rPr>
                <w:sz w:val="20"/>
                <w:szCs w:val="20"/>
                <w:color w:val="auto"/>
              </w:rPr>
            </w:pPr>
            <w:r>
              <w:rPr>
                <w:rFonts w:ascii="Arial" w:cs="Arial" w:eastAsia="Arial" w:hAnsi="Arial"/>
                <w:sz w:val="16"/>
                <w:szCs w:val="16"/>
                <w:color w:val="auto"/>
              </w:rPr>
              <w:t>(7.1)</w:t>
            </w:r>
          </w:p>
        </w:tc>
        <w:tc>
          <w:tcPr>
            <w:tcW w:w="0" w:type="dxa"/>
            <w:vAlign w:val="bottom"/>
          </w:tcPr>
          <w:p>
            <w:pPr>
              <w:spacing w:after="0"/>
              <w:rPr>
                <w:sz w:val="1"/>
                <w:szCs w:val="1"/>
                <w:color w:val="auto"/>
              </w:rPr>
            </w:pPr>
          </w:p>
        </w:tc>
      </w:tr>
      <w:tr>
        <w:trPr>
          <w:trHeight w:val="20"/>
        </w:trPr>
        <w:tc>
          <w:tcPr>
            <w:tcW w:w="7060" w:type="dxa"/>
            <w:vAlign w:val="bottom"/>
            <w:vMerge w:val="restart"/>
            <w:shd w:val="clear" w:color="auto" w:fill="CFF0FC"/>
          </w:tcPr>
          <w:p>
            <w:pPr>
              <w:spacing w:after="0"/>
              <w:rPr>
                <w:sz w:val="20"/>
                <w:szCs w:val="20"/>
                <w:color w:val="auto"/>
              </w:rPr>
            </w:pPr>
            <w:r>
              <w:rPr>
                <w:rFonts w:ascii="Arial" w:cs="Arial" w:eastAsia="Arial" w:hAnsi="Arial"/>
                <w:sz w:val="16"/>
                <w:szCs w:val="16"/>
                <w:color w:val="auto"/>
              </w:rPr>
              <w:t>Net increase (decrease) in cash, cash equivalents and restricted cash</w:t>
            </w:r>
          </w:p>
        </w:tc>
        <w:tc>
          <w:tcPr>
            <w:tcW w:w="280" w:type="dxa"/>
            <w:vAlign w:val="bottom"/>
            <w:shd w:val="clear" w:color="auto" w:fill="CFF0FC"/>
          </w:tcPr>
          <w:p>
            <w:pPr>
              <w:spacing w:after="0" w:line="20" w:lineRule="exact"/>
              <w:rPr>
                <w:sz w:val="1"/>
                <w:szCs w:val="1"/>
                <w:color w:val="auto"/>
              </w:rPr>
            </w:pPr>
          </w:p>
        </w:tc>
        <w:tc>
          <w:tcPr>
            <w:tcW w:w="1140" w:type="dxa"/>
            <w:vAlign w:val="bottom"/>
            <w:shd w:val="clear" w:color="auto" w:fill="000000"/>
          </w:tcPr>
          <w:p>
            <w:pPr>
              <w:spacing w:after="0" w:line="20" w:lineRule="exact"/>
              <w:rPr>
                <w:sz w:val="1"/>
                <w:szCs w:val="1"/>
                <w:color w:val="auto"/>
              </w:rPr>
            </w:pPr>
          </w:p>
        </w:tc>
        <w:tc>
          <w:tcPr>
            <w:tcW w:w="620" w:type="dxa"/>
            <w:vAlign w:val="bottom"/>
            <w:shd w:val="clear" w:color="auto" w:fill="000000"/>
          </w:tcPr>
          <w:p>
            <w:pPr>
              <w:spacing w:after="0" w:line="20" w:lineRule="exact"/>
              <w:rPr>
                <w:sz w:val="1"/>
                <w:szCs w:val="1"/>
                <w:color w:val="auto"/>
              </w:rPr>
            </w:pPr>
          </w:p>
        </w:tc>
        <w:tc>
          <w:tcPr>
            <w:tcW w:w="240" w:type="dxa"/>
            <w:vAlign w:val="bottom"/>
            <w:shd w:val="clear" w:color="auto" w:fill="CFF0FC"/>
          </w:tcPr>
          <w:p>
            <w:pPr>
              <w:spacing w:after="0" w:line="20" w:lineRule="exact"/>
              <w:rPr>
                <w:sz w:val="1"/>
                <w:szCs w:val="1"/>
                <w:color w:val="auto"/>
              </w:rPr>
            </w:pPr>
          </w:p>
        </w:tc>
        <w:tc>
          <w:tcPr>
            <w:tcW w:w="1160" w:type="dxa"/>
            <w:vAlign w:val="bottom"/>
            <w:shd w:val="clear" w:color="auto" w:fill="000000"/>
          </w:tcPr>
          <w:p>
            <w:pPr>
              <w:spacing w:after="0" w:line="20" w:lineRule="exact"/>
              <w:rPr>
                <w:sz w:val="1"/>
                <w:szCs w:val="1"/>
                <w:color w:val="auto"/>
              </w:rPr>
            </w:pPr>
          </w:p>
        </w:tc>
        <w:tc>
          <w:tcPr>
            <w:tcW w:w="620" w:type="dxa"/>
            <w:vAlign w:val="bottom"/>
            <w:shd w:val="clear" w:color="auto" w:fill="000000"/>
          </w:tcPr>
          <w:p>
            <w:pPr>
              <w:spacing w:after="0" w:line="20" w:lineRule="exact"/>
              <w:rPr>
                <w:sz w:val="1"/>
                <w:szCs w:val="1"/>
                <w:color w:val="auto"/>
              </w:rPr>
            </w:pPr>
          </w:p>
        </w:tc>
        <w:tc>
          <w:tcPr>
            <w:tcW w:w="120" w:type="dxa"/>
            <w:vAlign w:val="bottom"/>
            <w:shd w:val="clear" w:color="auto" w:fill="CFF0FC"/>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3"/>
        </w:trPr>
        <w:tc>
          <w:tcPr>
            <w:tcW w:w="7060" w:type="dxa"/>
            <w:vAlign w:val="bottom"/>
            <w:vMerge w:val="continue"/>
            <w:shd w:val="clear" w:color="auto" w:fill="CFF0FC"/>
          </w:tcPr>
          <w:p>
            <w:pPr>
              <w:spacing w:after="0"/>
              <w:rPr>
                <w:sz w:val="18"/>
                <w:szCs w:val="18"/>
                <w:color w:val="auto"/>
              </w:rPr>
            </w:pPr>
          </w:p>
        </w:tc>
        <w:tc>
          <w:tcPr>
            <w:tcW w:w="280" w:type="dxa"/>
            <w:vAlign w:val="bottom"/>
            <w:shd w:val="clear" w:color="auto" w:fill="CFF0FC"/>
          </w:tcPr>
          <w:p>
            <w:pPr>
              <w:spacing w:after="0"/>
              <w:rPr>
                <w:sz w:val="18"/>
                <w:szCs w:val="18"/>
                <w:color w:val="auto"/>
              </w:rPr>
            </w:pPr>
          </w:p>
        </w:tc>
        <w:tc>
          <w:tcPr>
            <w:tcW w:w="1140" w:type="dxa"/>
            <w:vAlign w:val="bottom"/>
            <w:shd w:val="clear" w:color="auto" w:fill="CFF0FC"/>
          </w:tcPr>
          <w:p>
            <w:pPr>
              <w:spacing w:after="0"/>
              <w:rPr>
                <w:sz w:val="18"/>
                <w:szCs w:val="18"/>
                <w:color w:val="auto"/>
              </w:rPr>
            </w:pPr>
          </w:p>
        </w:tc>
        <w:tc>
          <w:tcPr>
            <w:tcW w:w="620" w:type="dxa"/>
            <w:vAlign w:val="bottom"/>
            <w:shd w:val="clear" w:color="auto" w:fill="CFF0FC"/>
          </w:tcPr>
          <w:p>
            <w:pPr>
              <w:jc w:val="right"/>
              <w:spacing w:after="0"/>
              <w:rPr>
                <w:sz w:val="20"/>
                <w:szCs w:val="20"/>
                <w:color w:val="auto"/>
              </w:rPr>
            </w:pPr>
            <w:r>
              <w:rPr>
                <w:rFonts w:ascii="Arial" w:cs="Arial" w:eastAsia="Arial" w:hAnsi="Arial"/>
                <w:sz w:val="16"/>
                <w:szCs w:val="16"/>
                <w:color w:val="auto"/>
              </w:rPr>
              <w:t>819.8</w:t>
            </w:r>
          </w:p>
        </w:tc>
        <w:tc>
          <w:tcPr>
            <w:tcW w:w="240" w:type="dxa"/>
            <w:vAlign w:val="bottom"/>
            <w:shd w:val="clear" w:color="auto" w:fill="CFF0FC"/>
          </w:tcPr>
          <w:p>
            <w:pPr>
              <w:spacing w:after="0"/>
              <w:rPr>
                <w:sz w:val="18"/>
                <w:szCs w:val="18"/>
                <w:color w:val="auto"/>
              </w:rPr>
            </w:pPr>
          </w:p>
        </w:tc>
        <w:tc>
          <w:tcPr>
            <w:tcW w:w="1160" w:type="dxa"/>
            <w:vAlign w:val="bottom"/>
            <w:shd w:val="clear" w:color="auto" w:fill="CFF0FC"/>
          </w:tcPr>
          <w:p>
            <w:pPr>
              <w:spacing w:after="0"/>
              <w:rPr>
                <w:sz w:val="18"/>
                <w:szCs w:val="18"/>
                <w:color w:val="auto"/>
              </w:rPr>
            </w:pPr>
          </w:p>
        </w:tc>
        <w:tc>
          <w:tcPr>
            <w:tcW w:w="740" w:type="dxa"/>
            <w:vAlign w:val="bottom"/>
            <w:gridSpan w:val="2"/>
            <w:shd w:val="clear" w:color="auto" w:fill="CFF0FC"/>
          </w:tcPr>
          <w:p>
            <w:pPr>
              <w:jc w:val="right"/>
              <w:ind w:right="60"/>
              <w:spacing w:after="0"/>
              <w:rPr>
                <w:sz w:val="20"/>
                <w:szCs w:val="20"/>
                <w:color w:val="auto"/>
              </w:rPr>
            </w:pPr>
            <w:r>
              <w:rPr>
                <w:rFonts w:ascii="Arial" w:cs="Arial" w:eastAsia="Arial" w:hAnsi="Arial"/>
                <w:sz w:val="16"/>
                <w:szCs w:val="16"/>
                <w:color w:val="auto"/>
              </w:rPr>
              <w:t>(450.4)</w:t>
            </w:r>
          </w:p>
        </w:tc>
        <w:tc>
          <w:tcPr>
            <w:tcW w:w="0" w:type="dxa"/>
            <w:vAlign w:val="bottom"/>
          </w:tcPr>
          <w:p>
            <w:pPr>
              <w:spacing w:after="0"/>
              <w:rPr>
                <w:sz w:val="1"/>
                <w:szCs w:val="1"/>
                <w:color w:val="auto"/>
              </w:rPr>
            </w:pPr>
          </w:p>
        </w:tc>
      </w:tr>
      <w:tr>
        <w:trPr>
          <w:trHeight w:val="213"/>
        </w:trPr>
        <w:tc>
          <w:tcPr>
            <w:tcW w:w="7060" w:type="dxa"/>
            <w:vAlign w:val="bottom"/>
            <w:tcBorders>
              <w:bottom w:val="single" w:sz="8" w:color="CFF0FC"/>
            </w:tcBorders>
          </w:tcPr>
          <w:p>
            <w:pPr>
              <w:spacing w:after="0"/>
              <w:rPr>
                <w:sz w:val="20"/>
                <w:szCs w:val="20"/>
                <w:color w:val="auto"/>
              </w:rPr>
            </w:pPr>
            <w:r>
              <w:rPr>
                <w:rFonts w:ascii="Arial" w:cs="Arial" w:eastAsia="Arial" w:hAnsi="Arial"/>
                <w:sz w:val="16"/>
                <w:szCs w:val="16"/>
                <w:color w:val="auto"/>
              </w:rPr>
              <w:t>Cash, cash equivalents and restricted cash, beginning of period</w:t>
            </w:r>
          </w:p>
        </w:tc>
        <w:tc>
          <w:tcPr>
            <w:tcW w:w="280" w:type="dxa"/>
            <w:vAlign w:val="bottom"/>
            <w:tcBorders>
              <w:bottom w:val="single" w:sz="8" w:color="CFF0FC"/>
            </w:tcBorders>
          </w:tcPr>
          <w:p>
            <w:pPr>
              <w:spacing w:after="0"/>
              <w:rPr>
                <w:sz w:val="18"/>
                <w:szCs w:val="18"/>
                <w:color w:val="auto"/>
              </w:rPr>
            </w:pPr>
          </w:p>
        </w:tc>
        <w:tc>
          <w:tcPr>
            <w:tcW w:w="1140" w:type="dxa"/>
            <w:vAlign w:val="bottom"/>
            <w:tcBorders>
              <w:bottom w:val="single" w:sz="8" w:color="auto"/>
            </w:tcBorders>
          </w:tcPr>
          <w:p>
            <w:pPr>
              <w:spacing w:after="0"/>
              <w:rPr>
                <w:sz w:val="18"/>
                <w:szCs w:val="18"/>
                <w:color w:val="auto"/>
              </w:rPr>
            </w:pPr>
          </w:p>
        </w:tc>
        <w:tc>
          <w:tcPr>
            <w:tcW w:w="6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1,337.9</w:t>
            </w:r>
          </w:p>
        </w:tc>
        <w:tc>
          <w:tcPr>
            <w:tcW w:w="240" w:type="dxa"/>
            <w:vAlign w:val="bottom"/>
            <w:tcBorders>
              <w:bottom w:val="single" w:sz="8" w:color="CFF0FC"/>
            </w:tcBorders>
          </w:tcPr>
          <w:p>
            <w:pPr>
              <w:spacing w:after="0"/>
              <w:rPr>
                <w:sz w:val="18"/>
                <w:szCs w:val="18"/>
                <w:color w:val="auto"/>
              </w:rPr>
            </w:pPr>
          </w:p>
        </w:tc>
        <w:tc>
          <w:tcPr>
            <w:tcW w:w="1160" w:type="dxa"/>
            <w:vAlign w:val="bottom"/>
            <w:tcBorders>
              <w:bottom w:val="single" w:sz="8" w:color="auto"/>
            </w:tcBorders>
          </w:tcPr>
          <w:p>
            <w:pPr>
              <w:spacing w:after="0"/>
              <w:rPr>
                <w:sz w:val="18"/>
                <w:szCs w:val="18"/>
                <w:color w:val="auto"/>
              </w:rPr>
            </w:pPr>
          </w:p>
        </w:tc>
        <w:tc>
          <w:tcPr>
            <w:tcW w:w="6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1,789.4</w:t>
            </w:r>
          </w:p>
        </w:tc>
        <w:tc>
          <w:tcPr>
            <w:tcW w:w="120" w:type="dxa"/>
            <w:vAlign w:val="bottom"/>
            <w:tcBorders>
              <w:bottom w:val="single" w:sz="8" w:color="CFF0FC"/>
            </w:tcBorders>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7060" w:type="dxa"/>
            <w:vAlign w:val="bottom"/>
            <w:shd w:val="clear" w:color="auto" w:fill="CFF0FC"/>
          </w:tcPr>
          <w:p>
            <w:pPr>
              <w:spacing w:after="0"/>
              <w:rPr>
                <w:sz w:val="20"/>
                <w:szCs w:val="20"/>
                <w:color w:val="auto"/>
              </w:rPr>
            </w:pPr>
            <w:r>
              <w:rPr>
                <w:rFonts w:ascii="Arial" w:cs="Arial" w:eastAsia="Arial" w:hAnsi="Arial"/>
                <w:sz w:val="16"/>
                <w:szCs w:val="16"/>
                <w:b w:val="1"/>
                <w:bCs w:val="1"/>
                <w:color w:val="auto"/>
              </w:rPr>
              <w:t>Cash, cash equivalents and restricted cash and cash equivalents, end of period</w:t>
            </w:r>
          </w:p>
        </w:tc>
        <w:tc>
          <w:tcPr>
            <w:tcW w:w="1420" w:type="dxa"/>
            <w:vAlign w:val="bottom"/>
            <w:gridSpan w:val="2"/>
            <w:shd w:val="clear" w:color="auto" w:fill="CFF0FC"/>
          </w:tcPr>
          <w:p>
            <w:pPr>
              <w:jc w:val="right"/>
              <w:ind w:right="988"/>
              <w:spacing w:after="0"/>
              <w:rPr>
                <w:sz w:val="20"/>
                <w:szCs w:val="20"/>
                <w:color w:val="auto"/>
              </w:rPr>
            </w:pPr>
            <w:r>
              <w:rPr>
                <w:rFonts w:ascii="Arial" w:cs="Arial" w:eastAsia="Arial" w:hAnsi="Arial"/>
                <w:sz w:val="16"/>
                <w:szCs w:val="16"/>
                <w:color w:val="auto"/>
              </w:rPr>
              <w:t>$</w:t>
            </w:r>
          </w:p>
        </w:tc>
        <w:tc>
          <w:tcPr>
            <w:tcW w:w="620" w:type="dxa"/>
            <w:vAlign w:val="bottom"/>
            <w:shd w:val="clear" w:color="auto" w:fill="CFF0FC"/>
          </w:tcPr>
          <w:p>
            <w:pPr>
              <w:jc w:val="right"/>
              <w:spacing w:after="0"/>
              <w:rPr>
                <w:sz w:val="20"/>
                <w:szCs w:val="20"/>
                <w:color w:val="auto"/>
              </w:rPr>
            </w:pPr>
            <w:r>
              <w:rPr>
                <w:rFonts w:ascii="Arial" w:cs="Arial" w:eastAsia="Arial" w:hAnsi="Arial"/>
                <w:sz w:val="16"/>
                <w:szCs w:val="16"/>
                <w:color w:val="auto"/>
              </w:rPr>
              <w:t>2,157.7</w:t>
            </w:r>
          </w:p>
        </w:tc>
        <w:tc>
          <w:tcPr>
            <w:tcW w:w="240" w:type="dxa"/>
            <w:vAlign w:val="bottom"/>
            <w:shd w:val="clear" w:color="auto" w:fill="CFF0FC"/>
          </w:tcPr>
          <w:p>
            <w:pPr>
              <w:spacing w:after="0"/>
              <w:rPr>
                <w:sz w:val="18"/>
                <w:szCs w:val="18"/>
                <w:color w:val="auto"/>
              </w:rPr>
            </w:pPr>
          </w:p>
        </w:tc>
        <w:tc>
          <w:tcPr>
            <w:tcW w:w="1160" w:type="dxa"/>
            <w:vAlign w:val="bottom"/>
            <w:shd w:val="clear" w:color="auto" w:fill="CFF0FC"/>
          </w:tcPr>
          <w:p>
            <w:pPr>
              <w:jc w:val="right"/>
              <w:ind w:right="981"/>
              <w:spacing w:after="0"/>
              <w:rPr>
                <w:sz w:val="20"/>
                <w:szCs w:val="20"/>
                <w:color w:val="auto"/>
              </w:rPr>
            </w:pPr>
            <w:r>
              <w:rPr>
                <w:rFonts w:ascii="Arial" w:cs="Arial" w:eastAsia="Arial" w:hAnsi="Arial"/>
                <w:sz w:val="16"/>
                <w:szCs w:val="16"/>
                <w:color w:val="auto"/>
                <w:w w:val="89"/>
              </w:rPr>
              <w:t>$</w:t>
            </w:r>
          </w:p>
        </w:tc>
        <w:tc>
          <w:tcPr>
            <w:tcW w:w="620" w:type="dxa"/>
            <w:vAlign w:val="bottom"/>
            <w:shd w:val="clear" w:color="auto" w:fill="CFF0FC"/>
          </w:tcPr>
          <w:p>
            <w:pPr>
              <w:jc w:val="right"/>
              <w:spacing w:after="0"/>
              <w:rPr>
                <w:sz w:val="20"/>
                <w:szCs w:val="20"/>
                <w:color w:val="auto"/>
              </w:rPr>
            </w:pPr>
            <w:r>
              <w:rPr>
                <w:rFonts w:ascii="Arial" w:cs="Arial" w:eastAsia="Arial" w:hAnsi="Arial"/>
                <w:sz w:val="16"/>
                <w:szCs w:val="16"/>
                <w:color w:val="auto"/>
              </w:rPr>
              <w:t>1,339.0</w:t>
            </w:r>
          </w:p>
        </w:tc>
        <w:tc>
          <w:tcPr>
            <w:tcW w:w="12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7060" w:type="dxa"/>
            <w:vAlign w:val="bottom"/>
            <w:tcBorders>
              <w:top w:val="single" w:sz="8" w:color="CFF0FC"/>
              <w:bottom w:val="single" w:sz="8" w:color="CFF0FC"/>
            </w:tcBorders>
            <w:vMerge w:val="restart"/>
          </w:tcPr>
          <w:p>
            <w:pPr>
              <w:spacing w:after="0"/>
              <w:rPr>
                <w:sz w:val="20"/>
                <w:szCs w:val="20"/>
                <w:color w:val="auto"/>
              </w:rPr>
            </w:pPr>
            <w:r>
              <w:rPr>
                <w:rFonts w:ascii="Arial" w:cs="Arial" w:eastAsia="Arial" w:hAnsi="Arial"/>
                <w:sz w:val="16"/>
                <w:szCs w:val="16"/>
                <w:b w:val="1"/>
                <w:bCs w:val="1"/>
                <w:color w:val="auto"/>
              </w:rPr>
              <w:t>Reconciliation of cash, cash equivalents and restricted cash and cash equivalents:</w:t>
            </w:r>
          </w:p>
        </w:tc>
        <w:tc>
          <w:tcPr>
            <w:tcW w:w="280" w:type="dxa"/>
            <w:vAlign w:val="bottom"/>
            <w:tcBorders>
              <w:top w:val="single" w:sz="8" w:color="CFF0FC"/>
            </w:tcBorders>
          </w:tcPr>
          <w:p>
            <w:pPr>
              <w:spacing w:after="0" w:line="20" w:lineRule="exact"/>
              <w:rPr>
                <w:sz w:val="1"/>
                <w:szCs w:val="1"/>
                <w:color w:val="auto"/>
              </w:rPr>
            </w:pPr>
          </w:p>
        </w:tc>
        <w:tc>
          <w:tcPr>
            <w:tcW w:w="1140" w:type="dxa"/>
            <w:vAlign w:val="bottom"/>
            <w:tcBorders>
              <w:top w:val="single" w:sz="8" w:color="auto"/>
              <w:bottom w:val="single" w:sz="8" w:color="auto"/>
            </w:tcBorders>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Borders>
              <w:top w:val="single" w:sz="8" w:color="CFF0FC"/>
            </w:tcBorders>
          </w:tcPr>
          <w:p>
            <w:pPr>
              <w:spacing w:after="0" w:line="20" w:lineRule="exact"/>
              <w:rPr>
                <w:sz w:val="1"/>
                <w:szCs w:val="1"/>
                <w:color w:val="auto"/>
              </w:rPr>
            </w:pPr>
          </w:p>
        </w:tc>
        <w:tc>
          <w:tcPr>
            <w:tcW w:w="1160" w:type="dxa"/>
            <w:vAlign w:val="bottom"/>
            <w:tcBorders>
              <w:top w:val="single" w:sz="8" w:color="auto"/>
              <w:bottom w:val="single" w:sz="8" w:color="auto"/>
            </w:tcBorders>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FF0F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13"/>
        </w:trPr>
        <w:tc>
          <w:tcPr>
            <w:tcW w:w="7060" w:type="dxa"/>
            <w:vAlign w:val="bottom"/>
            <w:vMerge w:val="continue"/>
          </w:tcPr>
          <w:p>
            <w:pPr>
              <w:spacing w:after="0"/>
              <w:rPr>
                <w:sz w:val="24"/>
                <w:szCs w:val="24"/>
                <w:color w:val="auto"/>
              </w:rPr>
            </w:pPr>
          </w:p>
        </w:tc>
        <w:tc>
          <w:tcPr>
            <w:tcW w:w="28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46"/>
        </w:trPr>
        <w:tc>
          <w:tcPr>
            <w:tcW w:w="7060" w:type="dxa"/>
            <w:vAlign w:val="bottom"/>
            <w:shd w:val="clear" w:color="auto" w:fill="CFF0FC"/>
          </w:tcPr>
          <w:p>
            <w:pPr>
              <w:ind w:left="260"/>
              <w:spacing w:after="0"/>
              <w:rPr>
                <w:sz w:val="20"/>
                <w:szCs w:val="20"/>
                <w:color w:val="auto"/>
              </w:rPr>
            </w:pPr>
            <w:r>
              <w:rPr>
                <w:rFonts w:ascii="Arial" w:cs="Arial" w:eastAsia="Arial" w:hAnsi="Arial"/>
                <w:sz w:val="16"/>
                <w:szCs w:val="16"/>
                <w:color w:val="auto"/>
              </w:rPr>
              <w:t>Cash and cash equivalents</w:t>
            </w:r>
          </w:p>
        </w:tc>
        <w:tc>
          <w:tcPr>
            <w:tcW w:w="1420" w:type="dxa"/>
            <w:vAlign w:val="bottom"/>
            <w:gridSpan w:val="2"/>
            <w:shd w:val="clear" w:color="auto" w:fill="CFF0FC"/>
          </w:tcPr>
          <w:p>
            <w:pPr>
              <w:jc w:val="right"/>
              <w:ind w:right="988"/>
              <w:spacing w:after="0"/>
              <w:rPr>
                <w:sz w:val="20"/>
                <w:szCs w:val="20"/>
                <w:color w:val="auto"/>
              </w:rPr>
            </w:pPr>
            <w:r>
              <w:rPr>
                <w:rFonts w:ascii="Arial" w:cs="Arial" w:eastAsia="Arial" w:hAnsi="Arial"/>
                <w:sz w:val="16"/>
                <w:szCs w:val="16"/>
                <w:color w:val="auto"/>
              </w:rPr>
              <w:t>$</w:t>
            </w:r>
          </w:p>
        </w:tc>
        <w:tc>
          <w:tcPr>
            <w:tcW w:w="620" w:type="dxa"/>
            <w:vAlign w:val="bottom"/>
            <w:shd w:val="clear" w:color="auto" w:fill="CFF0FC"/>
          </w:tcPr>
          <w:p>
            <w:pPr>
              <w:jc w:val="right"/>
              <w:spacing w:after="0"/>
              <w:rPr>
                <w:sz w:val="20"/>
                <w:szCs w:val="20"/>
                <w:color w:val="auto"/>
              </w:rPr>
            </w:pPr>
            <w:r>
              <w:rPr>
                <w:rFonts w:ascii="Arial" w:cs="Arial" w:eastAsia="Arial" w:hAnsi="Arial"/>
                <w:sz w:val="16"/>
                <w:szCs w:val="16"/>
                <w:color w:val="auto"/>
              </w:rPr>
              <w:t>253.7</w:t>
            </w:r>
          </w:p>
        </w:tc>
        <w:tc>
          <w:tcPr>
            <w:tcW w:w="240" w:type="dxa"/>
            <w:vAlign w:val="bottom"/>
            <w:shd w:val="clear" w:color="auto" w:fill="CFF0FC"/>
          </w:tcPr>
          <w:p>
            <w:pPr>
              <w:spacing w:after="0"/>
              <w:rPr>
                <w:sz w:val="21"/>
                <w:szCs w:val="21"/>
                <w:color w:val="auto"/>
              </w:rPr>
            </w:pPr>
          </w:p>
        </w:tc>
        <w:tc>
          <w:tcPr>
            <w:tcW w:w="1160" w:type="dxa"/>
            <w:vAlign w:val="bottom"/>
            <w:shd w:val="clear" w:color="auto" w:fill="CFF0FC"/>
          </w:tcPr>
          <w:p>
            <w:pPr>
              <w:jc w:val="right"/>
              <w:ind w:right="981"/>
              <w:spacing w:after="0"/>
              <w:rPr>
                <w:sz w:val="20"/>
                <w:szCs w:val="20"/>
                <w:color w:val="auto"/>
              </w:rPr>
            </w:pPr>
            <w:r>
              <w:rPr>
                <w:rFonts w:ascii="Arial" w:cs="Arial" w:eastAsia="Arial" w:hAnsi="Arial"/>
                <w:sz w:val="16"/>
                <w:szCs w:val="16"/>
                <w:color w:val="auto"/>
                <w:w w:val="89"/>
              </w:rPr>
              <w:t>$</w:t>
            </w:r>
          </w:p>
        </w:tc>
        <w:tc>
          <w:tcPr>
            <w:tcW w:w="620" w:type="dxa"/>
            <w:vAlign w:val="bottom"/>
            <w:shd w:val="clear" w:color="auto" w:fill="CFF0FC"/>
          </w:tcPr>
          <w:p>
            <w:pPr>
              <w:jc w:val="right"/>
              <w:spacing w:after="0"/>
              <w:rPr>
                <w:sz w:val="20"/>
                <w:szCs w:val="20"/>
                <w:color w:val="auto"/>
              </w:rPr>
            </w:pPr>
            <w:r>
              <w:rPr>
                <w:rFonts w:ascii="Arial" w:cs="Arial" w:eastAsia="Arial" w:hAnsi="Arial"/>
                <w:sz w:val="16"/>
                <w:szCs w:val="16"/>
                <w:color w:val="auto"/>
              </w:rPr>
              <w:t>373.7</w:t>
            </w:r>
          </w:p>
        </w:tc>
        <w:tc>
          <w:tcPr>
            <w:tcW w:w="120" w:type="dxa"/>
            <w:vAlign w:val="bottom"/>
            <w:shd w:val="clear" w:color="auto" w:fill="CFF0FC"/>
          </w:tcPr>
          <w:p>
            <w:pPr>
              <w:spacing w:after="0"/>
              <w:rPr>
                <w:sz w:val="21"/>
                <w:szCs w:val="21"/>
                <w:color w:val="auto"/>
              </w:rPr>
            </w:pPr>
          </w:p>
        </w:tc>
        <w:tc>
          <w:tcPr>
            <w:tcW w:w="0" w:type="dxa"/>
            <w:vAlign w:val="bottom"/>
          </w:tcPr>
          <w:p>
            <w:pPr>
              <w:spacing w:after="0"/>
              <w:rPr>
                <w:sz w:val="1"/>
                <w:szCs w:val="1"/>
                <w:color w:val="auto"/>
              </w:rPr>
            </w:pPr>
          </w:p>
        </w:tc>
      </w:tr>
      <w:tr>
        <w:trPr>
          <w:trHeight w:val="240"/>
        </w:trPr>
        <w:tc>
          <w:tcPr>
            <w:tcW w:w="7060" w:type="dxa"/>
            <w:vAlign w:val="bottom"/>
          </w:tcPr>
          <w:p>
            <w:pPr>
              <w:ind w:left="260"/>
              <w:spacing w:after="0"/>
              <w:rPr>
                <w:sz w:val="20"/>
                <w:szCs w:val="20"/>
                <w:color w:val="auto"/>
              </w:rPr>
            </w:pPr>
            <w:r>
              <w:rPr>
                <w:rFonts w:ascii="Arial" w:cs="Arial" w:eastAsia="Arial" w:hAnsi="Arial"/>
                <w:sz w:val="16"/>
                <w:szCs w:val="16"/>
                <w:color w:val="auto"/>
              </w:rPr>
              <w:t>Restricted cash and cash equivalents</w:t>
            </w:r>
          </w:p>
        </w:tc>
        <w:tc>
          <w:tcPr>
            <w:tcW w:w="280" w:type="dxa"/>
            <w:vAlign w:val="bottom"/>
          </w:tcPr>
          <w:p>
            <w:pPr>
              <w:spacing w:after="0"/>
              <w:rPr>
                <w:sz w:val="20"/>
                <w:szCs w:val="20"/>
                <w:color w:val="auto"/>
              </w:rPr>
            </w:pPr>
          </w:p>
        </w:tc>
        <w:tc>
          <w:tcPr>
            <w:tcW w:w="1140" w:type="dxa"/>
            <w:vAlign w:val="bottom"/>
          </w:tcPr>
          <w:p>
            <w:pPr>
              <w:spacing w:after="0"/>
              <w:rPr>
                <w:sz w:val="20"/>
                <w:szCs w:val="20"/>
                <w:color w:val="auto"/>
              </w:rPr>
            </w:pPr>
          </w:p>
        </w:tc>
        <w:tc>
          <w:tcPr>
            <w:tcW w:w="620" w:type="dxa"/>
            <w:vAlign w:val="bottom"/>
          </w:tcPr>
          <w:p>
            <w:pPr>
              <w:jc w:val="right"/>
              <w:spacing w:after="0"/>
              <w:rPr>
                <w:sz w:val="20"/>
                <w:szCs w:val="20"/>
                <w:color w:val="auto"/>
              </w:rPr>
            </w:pPr>
            <w:r>
              <w:rPr>
                <w:rFonts w:ascii="Arial" w:cs="Arial" w:eastAsia="Arial" w:hAnsi="Arial"/>
                <w:sz w:val="16"/>
                <w:szCs w:val="16"/>
                <w:color w:val="auto"/>
              </w:rPr>
              <w:t>4.4</w:t>
            </w:r>
          </w:p>
        </w:tc>
        <w:tc>
          <w:tcPr>
            <w:tcW w:w="240" w:type="dxa"/>
            <w:vAlign w:val="bottom"/>
          </w:tcPr>
          <w:p>
            <w:pPr>
              <w:spacing w:after="0"/>
              <w:rPr>
                <w:sz w:val="20"/>
                <w:szCs w:val="20"/>
                <w:color w:val="auto"/>
              </w:rPr>
            </w:pPr>
          </w:p>
        </w:tc>
        <w:tc>
          <w:tcPr>
            <w:tcW w:w="1160" w:type="dxa"/>
            <w:vAlign w:val="bottom"/>
          </w:tcPr>
          <w:p>
            <w:pPr>
              <w:spacing w:after="0"/>
              <w:rPr>
                <w:sz w:val="20"/>
                <w:szCs w:val="20"/>
                <w:color w:val="auto"/>
              </w:rPr>
            </w:pPr>
          </w:p>
        </w:tc>
        <w:tc>
          <w:tcPr>
            <w:tcW w:w="620" w:type="dxa"/>
            <w:vAlign w:val="bottom"/>
          </w:tcPr>
          <w:p>
            <w:pPr>
              <w:jc w:val="right"/>
              <w:spacing w:after="0"/>
              <w:rPr>
                <w:sz w:val="20"/>
                <w:szCs w:val="20"/>
                <w:color w:val="auto"/>
              </w:rPr>
            </w:pPr>
            <w:r>
              <w:rPr>
                <w:rFonts w:ascii="Arial" w:cs="Arial" w:eastAsia="Arial" w:hAnsi="Arial"/>
                <w:sz w:val="16"/>
                <w:szCs w:val="16"/>
                <w:color w:val="auto"/>
              </w:rPr>
              <w:t>8.3</w:t>
            </w:r>
          </w:p>
        </w:tc>
        <w:tc>
          <w:tcPr>
            <w:tcW w:w="1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43"/>
        </w:trPr>
        <w:tc>
          <w:tcPr>
            <w:tcW w:w="7060" w:type="dxa"/>
            <w:vAlign w:val="bottom"/>
            <w:shd w:val="clear" w:color="auto" w:fill="CFF0FC"/>
          </w:tcPr>
          <w:p>
            <w:pPr>
              <w:ind w:left="260"/>
              <w:spacing w:after="0"/>
              <w:rPr>
                <w:sz w:val="20"/>
                <w:szCs w:val="20"/>
                <w:color w:val="auto"/>
              </w:rPr>
            </w:pPr>
            <w:r>
              <w:rPr>
                <w:rFonts w:ascii="Arial" w:cs="Arial" w:eastAsia="Arial" w:hAnsi="Arial"/>
                <w:sz w:val="16"/>
                <w:szCs w:val="16"/>
                <w:color w:val="auto"/>
                <w:w w:val="94"/>
              </w:rPr>
              <w:t>Restricted cash and cash equivalents included in funds receivable and funds held on behalf of clients</w:t>
            </w:r>
          </w:p>
        </w:tc>
        <w:tc>
          <w:tcPr>
            <w:tcW w:w="280" w:type="dxa"/>
            <w:vAlign w:val="bottom"/>
            <w:shd w:val="clear" w:color="auto" w:fill="CFF0FC"/>
          </w:tcPr>
          <w:p>
            <w:pPr>
              <w:spacing w:after="0"/>
              <w:rPr>
                <w:sz w:val="21"/>
                <w:szCs w:val="21"/>
                <w:color w:val="auto"/>
              </w:rPr>
            </w:pPr>
          </w:p>
        </w:tc>
        <w:tc>
          <w:tcPr>
            <w:tcW w:w="1140" w:type="dxa"/>
            <w:vAlign w:val="bottom"/>
            <w:tcBorders>
              <w:bottom w:val="single" w:sz="8" w:color="auto"/>
            </w:tcBorders>
            <w:shd w:val="clear" w:color="auto" w:fill="CFF0FC"/>
          </w:tcPr>
          <w:p>
            <w:pPr>
              <w:spacing w:after="0"/>
              <w:rPr>
                <w:sz w:val="21"/>
                <w:szCs w:val="21"/>
                <w:color w:val="auto"/>
              </w:rPr>
            </w:pPr>
          </w:p>
        </w:tc>
        <w:tc>
          <w:tcPr>
            <w:tcW w:w="6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6"/>
                <w:szCs w:val="16"/>
                <w:color w:val="auto"/>
              </w:rPr>
              <w:t>1,899.6</w:t>
            </w:r>
          </w:p>
        </w:tc>
        <w:tc>
          <w:tcPr>
            <w:tcW w:w="240" w:type="dxa"/>
            <w:vAlign w:val="bottom"/>
            <w:shd w:val="clear" w:color="auto" w:fill="CFF0FC"/>
          </w:tcPr>
          <w:p>
            <w:pPr>
              <w:spacing w:after="0"/>
              <w:rPr>
                <w:sz w:val="21"/>
                <w:szCs w:val="21"/>
                <w:color w:val="auto"/>
              </w:rPr>
            </w:pPr>
          </w:p>
        </w:tc>
        <w:tc>
          <w:tcPr>
            <w:tcW w:w="1160" w:type="dxa"/>
            <w:vAlign w:val="bottom"/>
            <w:tcBorders>
              <w:bottom w:val="single" w:sz="8" w:color="auto"/>
            </w:tcBorders>
            <w:shd w:val="clear" w:color="auto" w:fill="CFF0FC"/>
          </w:tcPr>
          <w:p>
            <w:pPr>
              <w:spacing w:after="0"/>
              <w:rPr>
                <w:sz w:val="21"/>
                <w:szCs w:val="21"/>
                <w:color w:val="auto"/>
              </w:rPr>
            </w:pPr>
          </w:p>
        </w:tc>
        <w:tc>
          <w:tcPr>
            <w:tcW w:w="6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6"/>
                <w:szCs w:val="16"/>
                <w:color w:val="auto"/>
              </w:rPr>
              <w:t>957.0</w:t>
            </w:r>
          </w:p>
        </w:tc>
        <w:tc>
          <w:tcPr>
            <w:tcW w:w="120" w:type="dxa"/>
            <w:vAlign w:val="bottom"/>
            <w:shd w:val="clear" w:color="auto" w:fill="CFF0FC"/>
          </w:tcPr>
          <w:p>
            <w:pPr>
              <w:spacing w:after="0"/>
              <w:rPr>
                <w:sz w:val="21"/>
                <w:szCs w:val="21"/>
                <w:color w:val="auto"/>
              </w:rPr>
            </w:pPr>
          </w:p>
        </w:tc>
        <w:tc>
          <w:tcPr>
            <w:tcW w:w="0" w:type="dxa"/>
            <w:vAlign w:val="bottom"/>
          </w:tcPr>
          <w:p>
            <w:pPr>
              <w:spacing w:after="0"/>
              <w:rPr>
                <w:sz w:val="1"/>
                <w:szCs w:val="1"/>
                <w:color w:val="auto"/>
              </w:rPr>
            </w:pPr>
          </w:p>
        </w:tc>
      </w:tr>
      <w:tr>
        <w:trPr>
          <w:trHeight w:val="236"/>
        </w:trPr>
        <w:tc>
          <w:tcPr>
            <w:tcW w:w="7060" w:type="dxa"/>
            <w:vAlign w:val="bottom"/>
          </w:tcPr>
          <w:p>
            <w:pPr>
              <w:spacing w:after="0"/>
              <w:rPr>
                <w:sz w:val="20"/>
                <w:szCs w:val="20"/>
                <w:color w:val="auto"/>
              </w:rPr>
            </w:pPr>
          </w:p>
        </w:tc>
        <w:tc>
          <w:tcPr>
            <w:tcW w:w="1420" w:type="dxa"/>
            <w:vAlign w:val="bottom"/>
            <w:gridSpan w:val="2"/>
          </w:tcPr>
          <w:p>
            <w:pPr>
              <w:jc w:val="right"/>
              <w:ind w:right="988"/>
              <w:spacing w:after="0"/>
              <w:rPr>
                <w:sz w:val="20"/>
                <w:szCs w:val="20"/>
                <w:color w:val="auto"/>
              </w:rPr>
            </w:pPr>
            <w:r>
              <w:rPr>
                <w:rFonts w:ascii="Arial" w:cs="Arial" w:eastAsia="Arial" w:hAnsi="Arial"/>
                <w:sz w:val="16"/>
                <w:szCs w:val="16"/>
                <w:color w:val="auto"/>
              </w:rPr>
              <w:t>$</w:t>
            </w:r>
          </w:p>
        </w:tc>
        <w:tc>
          <w:tcPr>
            <w:tcW w:w="620" w:type="dxa"/>
            <w:vAlign w:val="bottom"/>
          </w:tcPr>
          <w:p>
            <w:pPr>
              <w:jc w:val="right"/>
              <w:spacing w:after="0"/>
              <w:rPr>
                <w:sz w:val="20"/>
                <w:szCs w:val="20"/>
                <w:color w:val="auto"/>
              </w:rPr>
            </w:pPr>
            <w:r>
              <w:rPr>
                <w:rFonts w:ascii="Arial" w:cs="Arial" w:eastAsia="Arial" w:hAnsi="Arial"/>
                <w:sz w:val="16"/>
                <w:szCs w:val="16"/>
                <w:color w:val="auto"/>
              </w:rPr>
              <w:t>2,157.7</w:t>
            </w:r>
          </w:p>
        </w:tc>
        <w:tc>
          <w:tcPr>
            <w:tcW w:w="240" w:type="dxa"/>
            <w:vAlign w:val="bottom"/>
          </w:tcPr>
          <w:p>
            <w:pPr>
              <w:spacing w:after="0"/>
              <w:rPr>
                <w:sz w:val="20"/>
                <w:szCs w:val="20"/>
                <w:color w:val="auto"/>
              </w:rPr>
            </w:pPr>
          </w:p>
        </w:tc>
        <w:tc>
          <w:tcPr>
            <w:tcW w:w="1160" w:type="dxa"/>
            <w:vAlign w:val="bottom"/>
          </w:tcPr>
          <w:p>
            <w:pPr>
              <w:jc w:val="right"/>
              <w:ind w:right="981"/>
              <w:spacing w:after="0"/>
              <w:rPr>
                <w:sz w:val="20"/>
                <w:szCs w:val="20"/>
                <w:color w:val="auto"/>
              </w:rPr>
            </w:pPr>
            <w:r>
              <w:rPr>
                <w:rFonts w:ascii="Arial" w:cs="Arial" w:eastAsia="Arial" w:hAnsi="Arial"/>
                <w:sz w:val="16"/>
                <w:szCs w:val="16"/>
                <w:color w:val="auto"/>
                <w:w w:val="89"/>
              </w:rPr>
              <w:t>$</w:t>
            </w:r>
          </w:p>
        </w:tc>
        <w:tc>
          <w:tcPr>
            <w:tcW w:w="620" w:type="dxa"/>
            <w:vAlign w:val="bottom"/>
          </w:tcPr>
          <w:p>
            <w:pPr>
              <w:jc w:val="right"/>
              <w:spacing w:after="0"/>
              <w:rPr>
                <w:sz w:val="20"/>
                <w:szCs w:val="20"/>
                <w:color w:val="auto"/>
              </w:rPr>
            </w:pPr>
            <w:r>
              <w:rPr>
                <w:rFonts w:ascii="Arial" w:cs="Arial" w:eastAsia="Arial" w:hAnsi="Arial"/>
                <w:sz w:val="16"/>
                <w:szCs w:val="16"/>
                <w:color w:val="auto"/>
              </w:rPr>
              <w:t>1,339.0</w:t>
            </w:r>
          </w:p>
        </w:tc>
        <w:tc>
          <w:tcPr>
            <w:tcW w:w="1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0"/>
        </w:trPr>
        <w:tc>
          <w:tcPr>
            <w:tcW w:w="706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140" w:type="dxa"/>
            <w:vAlign w:val="bottom"/>
            <w:tcBorders>
              <w:top w:val="single" w:sz="8" w:color="auto"/>
              <w:bottom w:val="single" w:sz="8" w:color="auto"/>
            </w:tcBorders>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160" w:type="dxa"/>
            <w:vAlign w:val="bottom"/>
            <w:tcBorders>
              <w:top w:val="single" w:sz="8" w:color="auto"/>
              <w:bottom w:val="single" w:sz="8" w:color="auto"/>
            </w:tcBorders>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6" w:lineRule="exact"/>
        <w:rPr>
          <w:sz w:val="20"/>
          <w:szCs w:val="20"/>
          <w:color w:val="auto"/>
        </w:rPr>
      </w:pPr>
    </w:p>
    <w:p>
      <w:pPr>
        <w:jc w:val="center"/>
        <w:spacing w:after="0"/>
        <w:rPr>
          <w:sz w:val="20"/>
          <w:szCs w:val="20"/>
          <w:color w:val="auto"/>
        </w:rPr>
      </w:pPr>
      <w:r>
        <w:rPr>
          <w:rFonts w:ascii="Arial" w:cs="Arial" w:eastAsia="Arial" w:hAnsi="Arial"/>
          <w:sz w:val="18"/>
          <w:szCs w:val="18"/>
          <w:i w:val="1"/>
          <w:iCs w:val="1"/>
          <w:color w:val="auto"/>
        </w:rPr>
        <w:t>The accompanying notes are an integral part of these condensed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23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37" w:right="339" w:bottom="1440" w:gutter="0" w:footer="0" w:header="0"/>
        </w:sectPr>
      </w:pPr>
    </w:p>
    <w:bookmarkStart w:id="5" w:name="page6"/>
    <w:bookmarkEnd w:id="5"/>
    <w:p>
      <w:pPr>
        <w:spacing w:after="0"/>
        <w:rPr>
          <w:sz w:val="20"/>
          <w:szCs w:val="20"/>
          <w:color w:val="auto"/>
        </w:rPr>
      </w:pPr>
      <w:r>
        <w:rPr>
          <w:rFonts w:ascii="Arial" w:cs="Arial" w:eastAsia="Arial" w:hAnsi="Arial"/>
          <w:sz w:val="18"/>
          <w:szCs w:val="18"/>
          <w:b w:val="1"/>
          <w:bCs w:val="1"/>
          <w:color w:val="auto"/>
        </w:rPr>
        <w:t>SS&amp;C TECHNOLOGIES HOLDINGS, INC. AND SUBSIDIARIES</w:t>
      </w:r>
    </w:p>
    <w:p>
      <w:pPr>
        <w:spacing w:after="0" w:line="27" w:lineRule="exact"/>
        <w:rPr>
          <w:sz w:val="20"/>
          <w:szCs w:val="20"/>
          <w:color w:val="auto"/>
        </w:rPr>
      </w:pPr>
    </w:p>
    <w:p>
      <w:pPr>
        <w:ind w:right="3520"/>
        <w:spacing w:after="0" w:line="220" w:lineRule="auto"/>
        <w:rPr>
          <w:sz w:val="20"/>
          <w:szCs w:val="20"/>
          <w:color w:val="auto"/>
        </w:rPr>
      </w:pPr>
      <w:r>
        <w:rPr>
          <w:rFonts w:ascii="Arial" w:cs="Arial" w:eastAsia="Arial" w:hAnsi="Arial"/>
          <w:sz w:val="18"/>
          <w:szCs w:val="18"/>
          <w:b w:val="1"/>
          <w:bCs w:val="1"/>
          <w:color w:val="auto"/>
        </w:rPr>
        <w:t xml:space="preserve">CONDENSED CONSOLIDATED STATEMENTS OF CHANGES IN STOCKHOLDERS’ EQUITY </w:t>
      </w:r>
      <w:r>
        <w:rPr>
          <w:rFonts w:ascii="Arial" w:cs="Arial" w:eastAsia="Arial" w:hAnsi="Arial"/>
          <w:sz w:val="14"/>
          <w:szCs w:val="14"/>
          <w:b w:val="1"/>
          <w:bCs w:val="1"/>
          <w:color w:val="auto"/>
        </w:rPr>
        <w:t>(In millions) (Unaudited)</w:t>
      </w:r>
    </w:p>
    <w:p>
      <w:pPr>
        <w:spacing w:after="0" w:line="246"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3460" w:type="dxa"/>
            <w:vAlign w:val="bottom"/>
          </w:tcPr>
          <w:p>
            <w:pPr>
              <w:spacing w:after="0"/>
              <w:rPr>
                <w:sz w:val="14"/>
                <w:szCs w:val="14"/>
                <w:color w:val="auto"/>
              </w:rPr>
            </w:pPr>
          </w:p>
        </w:tc>
        <w:tc>
          <w:tcPr>
            <w:tcW w:w="800" w:type="dxa"/>
            <w:vAlign w:val="bottom"/>
            <w:tcBorders>
              <w:bottom w:val="single" w:sz="8" w:color="auto"/>
            </w:tcBorders>
          </w:tcPr>
          <w:p>
            <w:pPr>
              <w:spacing w:after="0"/>
              <w:rPr>
                <w:sz w:val="14"/>
                <w:szCs w:val="14"/>
                <w:color w:val="auto"/>
              </w:rPr>
            </w:pPr>
          </w:p>
        </w:tc>
        <w:tc>
          <w:tcPr>
            <w:tcW w:w="260" w:type="dxa"/>
            <w:vAlign w:val="bottom"/>
            <w:tcBorders>
              <w:bottom w:val="single" w:sz="8" w:color="auto"/>
            </w:tcBorders>
          </w:tcPr>
          <w:p>
            <w:pPr>
              <w:spacing w:after="0"/>
              <w:rPr>
                <w:sz w:val="14"/>
                <w:szCs w:val="14"/>
                <w:color w:val="auto"/>
              </w:rPr>
            </w:pPr>
          </w:p>
        </w:tc>
        <w:tc>
          <w:tcPr>
            <w:tcW w:w="300" w:type="dxa"/>
            <w:vAlign w:val="bottom"/>
            <w:tcBorders>
              <w:bottom w:val="single" w:sz="8" w:color="auto"/>
            </w:tcBorders>
          </w:tcPr>
          <w:p>
            <w:pPr>
              <w:spacing w:after="0"/>
              <w:rPr>
                <w:sz w:val="14"/>
                <w:szCs w:val="14"/>
                <w:color w:val="auto"/>
              </w:rPr>
            </w:pPr>
          </w:p>
        </w:tc>
        <w:tc>
          <w:tcPr>
            <w:tcW w:w="300" w:type="dxa"/>
            <w:vAlign w:val="bottom"/>
            <w:tcBorders>
              <w:bottom w:val="single" w:sz="8" w:color="auto"/>
            </w:tcBorders>
          </w:tcPr>
          <w:p>
            <w:pPr>
              <w:spacing w:after="0"/>
              <w:rPr>
                <w:sz w:val="14"/>
                <w:szCs w:val="14"/>
                <w:color w:val="auto"/>
              </w:rPr>
            </w:pPr>
          </w:p>
        </w:tc>
        <w:tc>
          <w:tcPr>
            <w:tcW w:w="240" w:type="dxa"/>
            <w:vAlign w:val="bottom"/>
            <w:tcBorders>
              <w:bottom w:val="single" w:sz="8" w:color="auto"/>
            </w:tcBorders>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3820" w:type="dxa"/>
            <w:vAlign w:val="bottom"/>
            <w:tcBorders>
              <w:bottom w:val="single" w:sz="8" w:color="auto"/>
            </w:tcBorders>
            <w:gridSpan w:val="8"/>
          </w:tcPr>
          <w:p>
            <w:pPr>
              <w:jc w:val="right"/>
              <w:ind w:right="880"/>
              <w:spacing w:after="0"/>
              <w:rPr>
                <w:sz w:val="20"/>
                <w:szCs w:val="20"/>
                <w:color w:val="auto"/>
              </w:rPr>
            </w:pPr>
            <w:r>
              <w:rPr>
                <w:rFonts w:ascii="Arial" w:cs="Arial" w:eastAsia="Arial" w:hAnsi="Arial"/>
                <w:sz w:val="14"/>
                <w:szCs w:val="14"/>
                <w:b w:val="1"/>
                <w:bCs w:val="1"/>
                <w:color w:val="auto"/>
              </w:rPr>
              <w:t>Three Months Ended March 31, 2021</w:t>
            </w:r>
          </w:p>
        </w:tc>
        <w:tc>
          <w:tcPr>
            <w:tcW w:w="120" w:type="dxa"/>
            <w:vAlign w:val="bottom"/>
            <w:tcBorders>
              <w:bottom w:val="single" w:sz="8" w:color="auto"/>
            </w:tcBorders>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480" w:type="dxa"/>
            <w:vAlign w:val="bottom"/>
            <w:tcBorders>
              <w:bottom w:val="single" w:sz="8" w:color="auto"/>
            </w:tcBorders>
          </w:tcPr>
          <w:p>
            <w:pPr>
              <w:spacing w:after="0"/>
              <w:rPr>
                <w:sz w:val="14"/>
                <w:szCs w:val="14"/>
                <w:color w:val="auto"/>
              </w:rPr>
            </w:pPr>
          </w:p>
        </w:tc>
        <w:tc>
          <w:tcPr>
            <w:tcW w:w="260" w:type="dxa"/>
            <w:vAlign w:val="bottom"/>
            <w:tcBorders>
              <w:bottom w:val="single" w:sz="8" w:color="auto"/>
            </w:tcBorders>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720" w:type="dxa"/>
            <w:vAlign w:val="bottom"/>
            <w:tcBorders>
              <w:bottom w:val="single" w:sz="8" w:color="auto"/>
            </w:tcBorders>
          </w:tcPr>
          <w:p>
            <w:pPr>
              <w:spacing w:after="0"/>
              <w:rPr>
                <w:sz w:val="14"/>
                <w:szCs w:val="14"/>
                <w:color w:val="auto"/>
              </w:rPr>
            </w:pPr>
          </w:p>
        </w:tc>
        <w:tc>
          <w:tcPr>
            <w:tcW w:w="1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36"/>
        </w:trPr>
        <w:tc>
          <w:tcPr>
            <w:tcW w:w="3460" w:type="dxa"/>
            <w:vAlign w:val="bottom"/>
          </w:tcPr>
          <w:p>
            <w:pPr>
              <w:spacing w:after="0"/>
              <w:rPr>
                <w:sz w:val="20"/>
                <w:szCs w:val="20"/>
                <w:color w:val="auto"/>
              </w:rPr>
            </w:pPr>
          </w:p>
        </w:tc>
        <w:tc>
          <w:tcPr>
            <w:tcW w:w="1360" w:type="dxa"/>
            <w:vAlign w:val="bottom"/>
            <w:tcBorders>
              <w:bottom w:val="single" w:sz="8" w:color="auto"/>
            </w:tcBorders>
            <w:gridSpan w:val="3"/>
          </w:tcPr>
          <w:p>
            <w:pPr>
              <w:jc w:val="right"/>
              <w:spacing w:after="0"/>
              <w:rPr>
                <w:sz w:val="20"/>
                <w:szCs w:val="20"/>
                <w:color w:val="auto"/>
              </w:rPr>
            </w:pPr>
            <w:r>
              <w:rPr>
                <w:rFonts w:ascii="Arial" w:cs="Arial" w:eastAsia="Arial" w:hAnsi="Arial"/>
                <w:sz w:val="14"/>
                <w:szCs w:val="14"/>
                <w:b w:val="1"/>
                <w:bCs w:val="1"/>
                <w:color w:val="auto"/>
              </w:rPr>
              <w:t>Common Stock</w:t>
            </w:r>
          </w:p>
        </w:tc>
        <w:tc>
          <w:tcPr>
            <w:tcW w:w="300" w:type="dxa"/>
            <w:vAlign w:val="bottom"/>
            <w:tcBorders>
              <w:bottom w:val="single" w:sz="8" w:color="auto"/>
            </w:tcBorders>
          </w:tcPr>
          <w:p>
            <w:pPr>
              <w:spacing w:after="0"/>
              <w:rPr>
                <w:sz w:val="20"/>
                <w:szCs w:val="20"/>
                <w:color w:val="auto"/>
              </w:rPr>
            </w:pPr>
          </w:p>
        </w:tc>
        <w:tc>
          <w:tcPr>
            <w:tcW w:w="24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90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88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280" w:type="dxa"/>
            <w:vAlign w:val="bottom"/>
            <w:gridSpan w:val="2"/>
            <w:vMerge w:val="restart"/>
          </w:tcPr>
          <w:p>
            <w:pPr>
              <w:jc w:val="center"/>
              <w:ind w:right="260"/>
              <w:spacing w:after="0"/>
              <w:rPr>
                <w:sz w:val="20"/>
                <w:szCs w:val="20"/>
                <w:color w:val="auto"/>
              </w:rPr>
            </w:pPr>
            <w:r>
              <w:rPr>
                <w:rFonts w:ascii="Arial" w:cs="Arial" w:eastAsia="Arial" w:hAnsi="Arial"/>
                <w:sz w:val="14"/>
                <w:szCs w:val="14"/>
                <w:b w:val="1"/>
                <w:bCs w:val="1"/>
                <w:color w:val="auto"/>
                <w:w w:val="93"/>
              </w:rPr>
              <w:t>Accumulated</w:t>
            </w:r>
          </w:p>
        </w:tc>
        <w:tc>
          <w:tcPr>
            <w:tcW w:w="1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48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146"/>
        </w:trPr>
        <w:tc>
          <w:tcPr>
            <w:tcW w:w="3460" w:type="dxa"/>
            <w:vAlign w:val="bottom"/>
          </w:tcPr>
          <w:p>
            <w:pPr>
              <w:spacing w:after="0"/>
              <w:rPr>
                <w:sz w:val="12"/>
                <w:szCs w:val="12"/>
                <w:color w:val="auto"/>
              </w:rPr>
            </w:pPr>
          </w:p>
        </w:tc>
        <w:tc>
          <w:tcPr>
            <w:tcW w:w="800" w:type="dxa"/>
            <w:vAlign w:val="bottom"/>
          </w:tcPr>
          <w:p>
            <w:pPr>
              <w:jc w:val="center"/>
              <w:spacing w:after="0" w:line="147" w:lineRule="exact"/>
              <w:rPr>
                <w:sz w:val="20"/>
                <w:szCs w:val="20"/>
                <w:color w:val="auto"/>
              </w:rPr>
            </w:pPr>
            <w:r>
              <w:rPr>
                <w:rFonts w:ascii="Arial" w:cs="Arial" w:eastAsia="Arial" w:hAnsi="Arial"/>
                <w:sz w:val="14"/>
                <w:szCs w:val="14"/>
                <w:b w:val="1"/>
                <w:bCs w:val="1"/>
                <w:color w:val="auto"/>
                <w:w w:val="98"/>
              </w:rPr>
              <w:t>Number</w:t>
            </w:r>
          </w:p>
        </w:tc>
        <w:tc>
          <w:tcPr>
            <w:tcW w:w="26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90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280" w:type="dxa"/>
            <w:vAlign w:val="bottom"/>
            <w:gridSpan w:val="2"/>
            <w:vMerge w:val="continue"/>
          </w:tcPr>
          <w:p>
            <w:pPr>
              <w:spacing w:after="0"/>
              <w:rPr>
                <w:sz w:val="12"/>
                <w:szCs w:val="12"/>
                <w:color w:val="auto"/>
              </w:rPr>
            </w:pPr>
          </w:p>
        </w:tc>
        <w:tc>
          <w:tcPr>
            <w:tcW w:w="1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62"/>
        </w:trPr>
        <w:tc>
          <w:tcPr>
            <w:tcW w:w="3460" w:type="dxa"/>
            <w:vAlign w:val="bottom"/>
          </w:tcPr>
          <w:p>
            <w:pPr>
              <w:spacing w:after="0"/>
              <w:rPr>
                <w:sz w:val="14"/>
                <w:szCs w:val="14"/>
                <w:color w:val="auto"/>
              </w:rPr>
            </w:pPr>
          </w:p>
        </w:tc>
        <w:tc>
          <w:tcPr>
            <w:tcW w:w="800" w:type="dxa"/>
            <w:vAlign w:val="bottom"/>
          </w:tcPr>
          <w:p>
            <w:pPr>
              <w:jc w:val="center"/>
              <w:spacing w:after="0"/>
              <w:rPr>
                <w:sz w:val="20"/>
                <w:szCs w:val="20"/>
                <w:color w:val="auto"/>
              </w:rPr>
            </w:pPr>
            <w:r>
              <w:rPr>
                <w:rFonts w:ascii="Arial" w:cs="Arial" w:eastAsia="Arial" w:hAnsi="Arial"/>
                <w:sz w:val="14"/>
                <w:szCs w:val="14"/>
                <w:b w:val="1"/>
                <w:bCs w:val="1"/>
                <w:color w:val="auto"/>
                <w:w w:val="90"/>
              </w:rPr>
              <w:t>of</w:t>
            </w:r>
          </w:p>
        </w:tc>
        <w:tc>
          <w:tcPr>
            <w:tcW w:w="26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900" w:type="dxa"/>
            <w:vAlign w:val="bottom"/>
          </w:tcPr>
          <w:p>
            <w:pPr>
              <w:jc w:val="center"/>
              <w:ind w:right="62"/>
              <w:spacing w:after="0"/>
              <w:rPr>
                <w:sz w:val="20"/>
                <w:szCs w:val="20"/>
                <w:color w:val="auto"/>
              </w:rPr>
            </w:pPr>
            <w:r>
              <w:rPr>
                <w:rFonts w:ascii="Arial" w:cs="Arial" w:eastAsia="Arial" w:hAnsi="Arial"/>
                <w:sz w:val="14"/>
                <w:szCs w:val="14"/>
                <w:b w:val="1"/>
                <w:bCs w:val="1"/>
                <w:color w:val="auto"/>
                <w:w w:val="93"/>
              </w:rPr>
              <w:t>Additional</w:t>
            </w:r>
          </w:p>
        </w:tc>
        <w:tc>
          <w:tcPr>
            <w:tcW w:w="24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280" w:type="dxa"/>
            <w:vAlign w:val="bottom"/>
            <w:gridSpan w:val="2"/>
          </w:tcPr>
          <w:p>
            <w:pPr>
              <w:jc w:val="center"/>
              <w:ind w:right="260"/>
              <w:spacing w:after="0"/>
              <w:rPr>
                <w:sz w:val="20"/>
                <w:szCs w:val="20"/>
                <w:color w:val="auto"/>
              </w:rPr>
            </w:pPr>
            <w:r>
              <w:rPr>
                <w:rFonts w:ascii="Arial" w:cs="Arial" w:eastAsia="Arial" w:hAnsi="Arial"/>
                <w:sz w:val="14"/>
                <w:szCs w:val="14"/>
                <w:b w:val="1"/>
                <w:bCs w:val="1"/>
                <w:color w:val="auto"/>
              </w:rPr>
              <w:t>Other</w:t>
            </w:r>
          </w:p>
        </w:tc>
        <w:tc>
          <w:tcPr>
            <w:tcW w:w="1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840" w:type="dxa"/>
            <w:vAlign w:val="bottom"/>
            <w:gridSpan w:val="2"/>
          </w:tcPr>
          <w:p>
            <w:pPr>
              <w:jc w:val="center"/>
              <w:ind w:right="280"/>
              <w:spacing w:after="0"/>
              <w:rPr>
                <w:sz w:val="20"/>
                <w:szCs w:val="20"/>
                <w:color w:val="auto"/>
              </w:rPr>
            </w:pPr>
            <w:r>
              <w:rPr>
                <w:rFonts w:ascii="Arial" w:cs="Arial" w:eastAsia="Arial" w:hAnsi="Arial"/>
                <w:sz w:val="14"/>
                <w:szCs w:val="14"/>
                <w:b w:val="1"/>
                <w:bCs w:val="1"/>
                <w:color w:val="auto"/>
                <w:w w:val="95"/>
              </w:rPr>
              <w:t>Total</w:t>
            </w:r>
          </w:p>
        </w:tc>
        <w:tc>
          <w:tcPr>
            <w:tcW w:w="0" w:type="dxa"/>
            <w:vAlign w:val="bottom"/>
          </w:tcPr>
          <w:p>
            <w:pPr>
              <w:spacing w:after="0"/>
              <w:rPr>
                <w:sz w:val="1"/>
                <w:szCs w:val="1"/>
                <w:color w:val="auto"/>
              </w:rPr>
            </w:pPr>
          </w:p>
        </w:tc>
      </w:tr>
      <w:tr>
        <w:trPr>
          <w:trHeight w:val="162"/>
        </w:trPr>
        <w:tc>
          <w:tcPr>
            <w:tcW w:w="3460" w:type="dxa"/>
            <w:vAlign w:val="bottom"/>
          </w:tcPr>
          <w:p>
            <w:pPr>
              <w:spacing w:after="0"/>
              <w:rPr>
                <w:sz w:val="14"/>
                <w:szCs w:val="14"/>
                <w:color w:val="auto"/>
              </w:rPr>
            </w:pPr>
          </w:p>
        </w:tc>
        <w:tc>
          <w:tcPr>
            <w:tcW w:w="800" w:type="dxa"/>
            <w:vAlign w:val="bottom"/>
          </w:tcPr>
          <w:p>
            <w:pPr>
              <w:jc w:val="center"/>
              <w:spacing w:after="0"/>
              <w:rPr>
                <w:sz w:val="20"/>
                <w:szCs w:val="20"/>
                <w:color w:val="auto"/>
              </w:rPr>
            </w:pPr>
            <w:r>
              <w:rPr>
                <w:rFonts w:ascii="Arial" w:cs="Arial" w:eastAsia="Arial" w:hAnsi="Arial"/>
                <w:sz w:val="14"/>
                <w:szCs w:val="14"/>
                <w:b w:val="1"/>
                <w:bCs w:val="1"/>
                <w:color w:val="auto"/>
                <w:w w:val="90"/>
              </w:rPr>
              <w:t>Issued</w:t>
            </w:r>
          </w:p>
        </w:tc>
        <w:tc>
          <w:tcPr>
            <w:tcW w:w="26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900" w:type="dxa"/>
            <w:vAlign w:val="bottom"/>
          </w:tcPr>
          <w:p>
            <w:pPr>
              <w:jc w:val="center"/>
              <w:ind w:right="62"/>
              <w:spacing w:after="0"/>
              <w:rPr>
                <w:sz w:val="20"/>
                <w:szCs w:val="20"/>
                <w:color w:val="auto"/>
              </w:rPr>
            </w:pPr>
            <w:r>
              <w:rPr>
                <w:rFonts w:ascii="Arial" w:cs="Arial" w:eastAsia="Arial" w:hAnsi="Arial"/>
                <w:sz w:val="14"/>
                <w:szCs w:val="14"/>
                <w:b w:val="1"/>
                <w:bCs w:val="1"/>
                <w:color w:val="auto"/>
                <w:w w:val="94"/>
              </w:rPr>
              <w:t>Paid-in</w:t>
            </w:r>
          </w:p>
        </w:tc>
        <w:tc>
          <w:tcPr>
            <w:tcW w:w="24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140" w:type="dxa"/>
            <w:vAlign w:val="bottom"/>
            <w:gridSpan w:val="2"/>
          </w:tcPr>
          <w:p>
            <w:pPr>
              <w:ind w:left="80"/>
              <w:spacing w:after="0"/>
              <w:rPr>
                <w:sz w:val="20"/>
                <w:szCs w:val="20"/>
                <w:color w:val="auto"/>
              </w:rPr>
            </w:pPr>
            <w:r>
              <w:rPr>
                <w:rFonts w:ascii="Arial" w:cs="Arial" w:eastAsia="Arial" w:hAnsi="Arial"/>
                <w:sz w:val="14"/>
                <w:szCs w:val="14"/>
                <w:b w:val="1"/>
                <w:bCs w:val="1"/>
                <w:color w:val="auto"/>
              </w:rPr>
              <w:t>Retained</w:t>
            </w:r>
          </w:p>
        </w:tc>
        <w:tc>
          <w:tcPr>
            <w:tcW w:w="100" w:type="dxa"/>
            <w:vAlign w:val="bottom"/>
          </w:tcPr>
          <w:p>
            <w:pPr>
              <w:spacing w:after="0"/>
              <w:rPr>
                <w:sz w:val="14"/>
                <w:szCs w:val="14"/>
                <w:color w:val="auto"/>
              </w:rPr>
            </w:pPr>
          </w:p>
        </w:tc>
        <w:tc>
          <w:tcPr>
            <w:tcW w:w="1280" w:type="dxa"/>
            <w:vAlign w:val="bottom"/>
            <w:gridSpan w:val="2"/>
          </w:tcPr>
          <w:p>
            <w:pPr>
              <w:jc w:val="center"/>
              <w:ind w:right="240"/>
              <w:spacing w:after="0"/>
              <w:rPr>
                <w:sz w:val="20"/>
                <w:szCs w:val="20"/>
                <w:color w:val="auto"/>
              </w:rPr>
            </w:pPr>
            <w:r>
              <w:rPr>
                <w:rFonts w:ascii="Arial" w:cs="Arial" w:eastAsia="Arial" w:hAnsi="Arial"/>
                <w:sz w:val="14"/>
                <w:szCs w:val="14"/>
                <w:b w:val="1"/>
                <w:bCs w:val="1"/>
                <w:color w:val="auto"/>
                <w:w w:val="91"/>
              </w:rPr>
              <w:t>Comprehensive</w:t>
            </w:r>
          </w:p>
        </w:tc>
        <w:tc>
          <w:tcPr>
            <w:tcW w:w="120" w:type="dxa"/>
            <w:vAlign w:val="bottom"/>
          </w:tcPr>
          <w:p>
            <w:pPr>
              <w:spacing w:after="0"/>
              <w:rPr>
                <w:sz w:val="14"/>
                <w:szCs w:val="14"/>
                <w:color w:val="auto"/>
              </w:rPr>
            </w:pPr>
          </w:p>
        </w:tc>
        <w:tc>
          <w:tcPr>
            <w:tcW w:w="820" w:type="dxa"/>
            <w:vAlign w:val="bottom"/>
            <w:gridSpan w:val="3"/>
          </w:tcPr>
          <w:p>
            <w:pPr>
              <w:jc w:val="center"/>
              <w:ind w:right="260"/>
              <w:spacing w:after="0"/>
              <w:rPr>
                <w:sz w:val="20"/>
                <w:szCs w:val="20"/>
                <w:color w:val="auto"/>
              </w:rPr>
            </w:pPr>
            <w:r>
              <w:rPr>
                <w:rFonts w:ascii="Arial" w:cs="Arial" w:eastAsia="Arial" w:hAnsi="Arial"/>
                <w:sz w:val="14"/>
                <w:szCs w:val="14"/>
                <w:b w:val="1"/>
                <w:bCs w:val="1"/>
                <w:color w:val="auto"/>
                <w:w w:val="94"/>
              </w:rPr>
              <w:t>Treasury</w:t>
            </w:r>
          </w:p>
        </w:tc>
        <w:tc>
          <w:tcPr>
            <w:tcW w:w="980" w:type="dxa"/>
            <w:vAlign w:val="bottom"/>
            <w:gridSpan w:val="3"/>
          </w:tcPr>
          <w:p>
            <w:pPr>
              <w:jc w:val="center"/>
              <w:ind w:right="120"/>
              <w:spacing w:after="0"/>
              <w:rPr>
                <w:sz w:val="20"/>
                <w:szCs w:val="20"/>
                <w:color w:val="auto"/>
              </w:rPr>
            </w:pPr>
            <w:r>
              <w:rPr>
                <w:rFonts w:ascii="Arial" w:cs="Arial" w:eastAsia="Arial" w:hAnsi="Arial"/>
                <w:sz w:val="14"/>
                <w:szCs w:val="14"/>
                <w:b w:val="1"/>
                <w:bCs w:val="1"/>
                <w:color w:val="auto"/>
                <w:w w:val="92"/>
              </w:rPr>
              <w:t>Stockholders’</w:t>
            </w:r>
          </w:p>
        </w:tc>
        <w:tc>
          <w:tcPr>
            <w:tcW w:w="0" w:type="dxa"/>
            <w:vAlign w:val="bottom"/>
          </w:tcPr>
          <w:p>
            <w:pPr>
              <w:spacing w:after="0"/>
              <w:rPr>
                <w:sz w:val="1"/>
                <w:szCs w:val="1"/>
                <w:color w:val="auto"/>
              </w:rPr>
            </w:pPr>
          </w:p>
        </w:tc>
      </w:tr>
      <w:tr>
        <w:trPr>
          <w:trHeight w:val="171"/>
        </w:trPr>
        <w:tc>
          <w:tcPr>
            <w:tcW w:w="3460" w:type="dxa"/>
            <w:vAlign w:val="bottom"/>
            <w:tcBorders>
              <w:bottom w:val="single" w:sz="8" w:color="CFF0FC"/>
            </w:tcBorders>
          </w:tcPr>
          <w:p>
            <w:pPr>
              <w:spacing w:after="0"/>
              <w:rPr>
                <w:sz w:val="14"/>
                <w:szCs w:val="14"/>
                <w:color w:val="auto"/>
              </w:rPr>
            </w:pPr>
          </w:p>
        </w:tc>
        <w:tc>
          <w:tcPr>
            <w:tcW w:w="80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89"/>
              </w:rPr>
              <w:t>Shares</w:t>
            </w:r>
          </w:p>
        </w:tc>
        <w:tc>
          <w:tcPr>
            <w:tcW w:w="260" w:type="dxa"/>
            <w:vAlign w:val="bottom"/>
            <w:tcBorders>
              <w:bottom w:val="single" w:sz="8" w:color="CFF0FC"/>
            </w:tcBorders>
          </w:tcPr>
          <w:p>
            <w:pPr>
              <w:spacing w:after="0"/>
              <w:rPr>
                <w:sz w:val="14"/>
                <w:szCs w:val="14"/>
                <w:color w:val="auto"/>
              </w:rPr>
            </w:pPr>
          </w:p>
        </w:tc>
        <w:tc>
          <w:tcPr>
            <w:tcW w:w="600" w:type="dxa"/>
            <w:vAlign w:val="bottom"/>
            <w:tcBorders>
              <w:bottom w:val="single" w:sz="8" w:color="auto"/>
            </w:tcBorders>
            <w:gridSpan w:val="2"/>
          </w:tcPr>
          <w:p>
            <w:pPr>
              <w:jc w:val="right"/>
              <w:spacing w:after="0"/>
              <w:rPr>
                <w:sz w:val="20"/>
                <w:szCs w:val="20"/>
                <w:color w:val="auto"/>
              </w:rPr>
            </w:pPr>
            <w:r>
              <w:rPr>
                <w:rFonts w:ascii="Arial" w:cs="Arial" w:eastAsia="Arial" w:hAnsi="Arial"/>
                <w:sz w:val="14"/>
                <w:szCs w:val="14"/>
                <w:b w:val="1"/>
                <w:bCs w:val="1"/>
                <w:color w:val="auto"/>
                <w:w w:val="98"/>
              </w:rPr>
              <w:t>Amount</w:t>
            </w:r>
          </w:p>
        </w:tc>
        <w:tc>
          <w:tcPr>
            <w:tcW w:w="240" w:type="dxa"/>
            <w:vAlign w:val="bottom"/>
            <w:tcBorders>
              <w:bottom w:val="single" w:sz="8" w:color="CFF0FC"/>
            </w:tcBorders>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900" w:type="dxa"/>
            <w:vAlign w:val="bottom"/>
            <w:tcBorders>
              <w:bottom w:val="single" w:sz="8" w:color="auto"/>
            </w:tcBorders>
          </w:tcPr>
          <w:p>
            <w:pPr>
              <w:jc w:val="center"/>
              <w:ind w:right="62"/>
              <w:spacing w:after="0"/>
              <w:rPr>
                <w:sz w:val="20"/>
                <w:szCs w:val="20"/>
                <w:color w:val="auto"/>
              </w:rPr>
            </w:pPr>
            <w:r>
              <w:rPr>
                <w:rFonts w:ascii="Arial" w:cs="Arial" w:eastAsia="Arial" w:hAnsi="Arial"/>
                <w:sz w:val="14"/>
                <w:szCs w:val="14"/>
                <w:b w:val="1"/>
                <w:bCs w:val="1"/>
                <w:color w:val="auto"/>
                <w:w w:val="94"/>
              </w:rPr>
              <w:t>Capital</w:t>
            </w:r>
          </w:p>
        </w:tc>
        <w:tc>
          <w:tcPr>
            <w:tcW w:w="240" w:type="dxa"/>
            <w:vAlign w:val="bottom"/>
            <w:tcBorders>
              <w:bottom w:val="single" w:sz="8" w:color="CFF0FC"/>
            </w:tcBorders>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880" w:type="dxa"/>
            <w:vAlign w:val="bottom"/>
            <w:tcBorders>
              <w:bottom w:val="single" w:sz="8" w:color="auto"/>
            </w:tcBorders>
          </w:tcPr>
          <w:p>
            <w:pPr>
              <w:ind w:left="80"/>
              <w:spacing w:after="0"/>
              <w:rPr>
                <w:sz w:val="20"/>
                <w:szCs w:val="20"/>
                <w:color w:val="auto"/>
              </w:rPr>
            </w:pPr>
            <w:r>
              <w:rPr>
                <w:rFonts w:ascii="Arial" w:cs="Arial" w:eastAsia="Arial" w:hAnsi="Arial"/>
                <w:sz w:val="14"/>
                <w:szCs w:val="14"/>
                <w:b w:val="1"/>
                <w:bCs w:val="1"/>
                <w:color w:val="auto"/>
              </w:rPr>
              <w:t>Earnings</w:t>
            </w:r>
          </w:p>
        </w:tc>
        <w:tc>
          <w:tcPr>
            <w:tcW w:w="260" w:type="dxa"/>
            <w:vAlign w:val="bottom"/>
            <w:tcBorders>
              <w:bottom w:val="single" w:sz="8" w:color="CFF0FC"/>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1140" w:type="dxa"/>
            <w:vAlign w:val="bottom"/>
            <w:tcBorders>
              <w:bottom w:val="single" w:sz="8" w:color="auto"/>
            </w:tcBorders>
          </w:tcPr>
          <w:p>
            <w:pPr>
              <w:jc w:val="center"/>
              <w:ind w:right="42"/>
              <w:spacing w:after="0"/>
              <w:rPr>
                <w:sz w:val="20"/>
                <w:szCs w:val="20"/>
                <w:color w:val="auto"/>
              </w:rPr>
            </w:pPr>
            <w:r>
              <w:rPr>
                <w:rFonts w:ascii="Arial" w:cs="Arial" w:eastAsia="Arial" w:hAnsi="Arial"/>
                <w:sz w:val="14"/>
                <w:szCs w:val="14"/>
                <w:b w:val="1"/>
                <w:bCs w:val="1"/>
                <w:color w:val="auto"/>
                <w:w w:val="90"/>
              </w:rPr>
              <w:t>(Loss) Income</w:t>
            </w:r>
          </w:p>
        </w:tc>
        <w:tc>
          <w:tcPr>
            <w:tcW w:w="140" w:type="dxa"/>
            <w:vAlign w:val="bottom"/>
            <w:tcBorders>
              <w:bottom w:val="single" w:sz="8" w:color="CFF0FC"/>
            </w:tcBorders>
          </w:tcPr>
          <w:p>
            <w:pPr>
              <w:spacing w:after="0"/>
              <w:rPr>
                <w:sz w:val="14"/>
                <w:szCs w:val="14"/>
                <w:color w:val="auto"/>
              </w:rPr>
            </w:pPr>
          </w:p>
        </w:tc>
        <w:tc>
          <w:tcPr>
            <w:tcW w:w="120" w:type="dxa"/>
            <w:vAlign w:val="bottom"/>
            <w:tcBorders>
              <w:bottom w:val="single" w:sz="8" w:color="CFF0FC"/>
            </w:tcBorders>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480" w:type="dxa"/>
            <w:vAlign w:val="bottom"/>
            <w:tcBorders>
              <w:bottom w:val="single" w:sz="8" w:color="auto"/>
            </w:tcBorders>
          </w:tcPr>
          <w:p>
            <w:pPr>
              <w:jc w:val="center"/>
              <w:ind w:right="20"/>
              <w:spacing w:after="0"/>
              <w:rPr>
                <w:sz w:val="20"/>
                <w:szCs w:val="20"/>
                <w:color w:val="auto"/>
              </w:rPr>
            </w:pPr>
            <w:r>
              <w:rPr>
                <w:rFonts w:ascii="Arial" w:cs="Arial" w:eastAsia="Arial" w:hAnsi="Arial"/>
                <w:sz w:val="14"/>
                <w:szCs w:val="14"/>
                <w:b w:val="1"/>
                <w:bCs w:val="1"/>
                <w:color w:val="auto"/>
                <w:w w:val="89"/>
              </w:rPr>
              <w:t>Stock</w:t>
            </w:r>
          </w:p>
        </w:tc>
        <w:tc>
          <w:tcPr>
            <w:tcW w:w="260" w:type="dxa"/>
            <w:vAlign w:val="bottom"/>
            <w:tcBorders>
              <w:bottom w:val="single" w:sz="8" w:color="CFF0FC"/>
            </w:tcBorders>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720" w:type="dxa"/>
            <w:vAlign w:val="bottom"/>
            <w:tcBorders>
              <w:bottom w:val="single" w:sz="8" w:color="auto"/>
            </w:tcBorders>
          </w:tcPr>
          <w:p>
            <w:pPr>
              <w:jc w:val="center"/>
              <w:ind w:right="61"/>
              <w:spacing w:after="0"/>
              <w:rPr>
                <w:sz w:val="20"/>
                <w:szCs w:val="20"/>
                <w:color w:val="auto"/>
              </w:rPr>
            </w:pPr>
            <w:r>
              <w:rPr>
                <w:rFonts w:ascii="Arial" w:cs="Arial" w:eastAsia="Arial" w:hAnsi="Arial"/>
                <w:sz w:val="14"/>
                <w:szCs w:val="14"/>
                <w:b w:val="1"/>
                <w:bCs w:val="1"/>
                <w:color w:val="auto"/>
                <w:w w:val="98"/>
              </w:rPr>
              <w:t>Equity</w:t>
            </w:r>
          </w:p>
        </w:tc>
        <w:tc>
          <w:tcPr>
            <w:tcW w:w="120" w:type="dxa"/>
            <w:vAlign w:val="bottom"/>
            <w:tcBorders>
              <w:bottom w:val="single" w:sz="8" w:color="CFF0FC"/>
            </w:tcBorders>
          </w:tcPr>
          <w:p>
            <w:pPr>
              <w:spacing w:after="0"/>
              <w:rPr>
                <w:sz w:val="14"/>
                <w:szCs w:val="14"/>
                <w:color w:val="auto"/>
              </w:rPr>
            </w:pPr>
          </w:p>
        </w:tc>
        <w:tc>
          <w:tcPr>
            <w:tcW w:w="0" w:type="dxa"/>
            <w:vAlign w:val="bottom"/>
          </w:tcPr>
          <w:p>
            <w:pPr>
              <w:spacing w:after="0"/>
              <w:rPr>
                <w:sz w:val="1"/>
                <w:szCs w:val="1"/>
                <w:color w:val="auto"/>
              </w:rPr>
            </w:pPr>
          </w:p>
        </w:tc>
      </w:tr>
      <w:tr>
        <w:trPr>
          <w:trHeight w:val="209"/>
        </w:trPr>
        <w:tc>
          <w:tcPr>
            <w:tcW w:w="3460" w:type="dxa"/>
            <w:vAlign w:val="bottom"/>
            <w:tcBorders>
              <w:right w:val="single" w:sz="8" w:color="CFF0FC"/>
            </w:tcBorders>
            <w:shd w:val="clear" w:color="auto" w:fill="CFF0FC"/>
          </w:tcPr>
          <w:p>
            <w:pPr>
              <w:spacing w:after="0"/>
              <w:rPr>
                <w:sz w:val="20"/>
                <w:szCs w:val="20"/>
                <w:color w:val="auto"/>
              </w:rPr>
            </w:pPr>
            <w:r>
              <w:rPr>
                <w:rFonts w:ascii="Arial" w:cs="Arial" w:eastAsia="Arial" w:hAnsi="Arial"/>
                <w:sz w:val="16"/>
                <w:szCs w:val="16"/>
                <w:color w:val="auto"/>
              </w:rPr>
              <w:t>Balance, at December 31, 2020</w:t>
            </w:r>
          </w:p>
        </w:tc>
        <w:tc>
          <w:tcPr>
            <w:tcW w:w="800" w:type="dxa"/>
            <w:vAlign w:val="bottom"/>
            <w:shd w:val="clear" w:color="auto" w:fill="CFF0FC"/>
          </w:tcPr>
          <w:p>
            <w:pPr>
              <w:jc w:val="right"/>
              <w:spacing w:after="0"/>
              <w:rPr>
                <w:sz w:val="20"/>
                <w:szCs w:val="20"/>
                <w:color w:val="auto"/>
              </w:rPr>
            </w:pPr>
            <w:r>
              <w:rPr>
                <w:rFonts w:ascii="Arial" w:cs="Arial" w:eastAsia="Arial" w:hAnsi="Arial"/>
                <w:sz w:val="16"/>
                <w:szCs w:val="16"/>
                <w:color w:val="auto"/>
              </w:rPr>
              <w:t>263.9</w:t>
            </w:r>
          </w:p>
        </w:tc>
        <w:tc>
          <w:tcPr>
            <w:tcW w:w="560" w:type="dxa"/>
            <w:vAlign w:val="bottom"/>
            <w:tcBorders>
              <w:left w:val="single" w:sz="8" w:color="CFF0FC"/>
            </w:tcBorders>
            <w:gridSpan w:val="2"/>
            <w:shd w:val="clear" w:color="auto" w:fill="CFF0FC"/>
          </w:tcPr>
          <w:p>
            <w:pPr>
              <w:jc w:val="right"/>
              <w:ind w:right="155"/>
              <w:spacing w:after="0"/>
              <w:rPr>
                <w:sz w:val="20"/>
                <w:szCs w:val="20"/>
                <w:color w:val="auto"/>
              </w:rPr>
            </w:pPr>
            <w:r>
              <w:rPr>
                <w:rFonts w:ascii="Arial" w:cs="Arial" w:eastAsia="Arial" w:hAnsi="Arial"/>
                <w:sz w:val="16"/>
                <w:szCs w:val="16"/>
                <w:color w:val="auto"/>
              </w:rPr>
              <w:t>$</w:t>
            </w:r>
          </w:p>
        </w:tc>
        <w:tc>
          <w:tcPr>
            <w:tcW w:w="300" w:type="dxa"/>
            <w:vAlign w:val="bottom"/>
            <w:shd w:val="clear" w:color="auto" w:fill="CFF0FC"/>
          </w:tcPr>
          <w:p>
            <w:pPr>
              <w:jc w:val="right"/>
              <w:spacing w:after="0"/>
              <w:rPr>
                <w:sz w:val="20"/>
                <w:szCs w:val="20"/>
                <w:color w:val="auto"/>
              </w:rPr>
            </w:pPr>
            <w:r>
              <w:rPr>
                <w:rFonts w:ascii="Arial" w:cs="Arial" w:eastAsia="Arial" w:hAnsi="Arial"/>
                <w:sz w:val="16"/>
                <w:szCs w:val="16"/>
                <w:color w:val="auto"/>
              </w:rPr>
              <w:t>2.6</w:t>
            </w:r>
          </w:p>
        </w:tc>
        <w:tc>
          <w:tcPr>
            <w:tcW w:w="380" w:type="dxa"/>
            <w:vAlign w:val="bottom"/>
            <w:gridSpan w:val="2"/>
            <w:shd w:val="clear" w:color="auto" w:fill="CFF0FC"/>
          </w:tcPr>
          <w:p>
            <w:pPr>
              <w:jc w:val="right"/>
              <w:ind w:right="60"/>
              <w:spacing w:after="0"/>
              <w:rPr>
                <w:sz w:val="20"/>
                <w:szCs w:val="20"/>
                <w:color w:val="auto"/>
              </w:rPr>
            </w:pPr>
            <w:r>
              <w:rPr>
                <w:rFonts w:ascii="Arial" w:cs="Arial" w:eastAsia="Arial" w:hAnsi="Arial"/>
                <w:sz w:val="16"/>
                <w:szCs w:val="16"/>
                <w:color w:val="auto"/>
              </w:rPr>
              <w:t>$</w:t>
            </w:r>
          </w:p>
        </w:tc>
        <w:tc>
          <w:tcPr>
            <w:tcW w:w="900" w:type="dxa"/>
            <w:vAlign w:val="bottom"/>
            <w:shd w:val="clear" w:color="auto" w:fill="CFF0FC"/>
          </w:tcPr>
          <w:p>
            <w:pPr>
              <w:jc w:val="right"/>
              <w:spacing w:after="0"/>
              <w:rPr>
                <w:sz w:val="20"/>
                <w:szCs w:val="20"/>
                <w:color w:val="auto"/>
              </w:rPr>
            </w:pPr>
            <w:r>
              <w:rPr>
                <w:rFonts w:ascii="Arial" w:cs="Arial" w:eastAsia="Arial" w:hAnsi="Arial"/>
                <w:sz w:val="16"/>
                <w:szCs w:val="16"/>
                <w:color w:val="auto"/>
              </w:rPr>
              <w:t>4,544.0</w:t>
            </w:r>
          </w:p>
        </w:tc>
        <w:tc>
          <w:tcPr>
            <w:tcW w:w="400" w:type="dxa"/>
            <w:vAlign w:val="bottom"/>
            <w:gridSpan w:val="2"/>
            <w:shd w:val="clear" w:color="auto" w:fill="CFF0FC"/>
          </w:tcPr>
          <w:p>
            <w:pPr>
              <w:jc w:val="right"/>
              <w:ind w:right="60"/>
              <w:spacing w:after="0"/>
              <w:rPr>
                <w:sz w:val="20"/>
                <w:szCs w:val="20"/>
                <w:color w:val="auto"/>
              </w:rPr>
            </w:pPr>
            <w:r>
              <w:rPr>
                <w:rFonts w:ascii="Arial" w:cs="Arial" w:eastAsia="Arial" w:hAnsi="Arial"/>
                <w:sz w:val="16"/>
                <w:szCs w:val="16"/>
                <w:color w:val="auto"/>
              </w:rPr>
              <w:t>$</w:t>
            </w:r>
          </w:p>
        </w:tc>
        <w:tc>
          <w:tcPr>
            <w:tcW w:w="880" w:type="dxa"/>
            <w:vAlign w:val="bottom"/>
            <w:shd w:val="clear" w:color="auto" w:fill="CFF0FC"/>
          </w:tcPr>
          <w:p>
            <w:pPr>
              <w:jc w:val="right"/>
              <w:spacing w:after="0"/>
              <w:rPr>
                <w:sz w:val="20"/>
                <w:szCs w:val="20"/>
                <w:color w:val="auto"/>
              </w:rPr>
            </w:pPr>
            <w:r>
              <w:rPr>
                <w:rFonts w:ascii="Arial" w:cs="Arial" w:eastAsia="Arial" w:hAnsi="Arial"/>
                <w:sz w:val="16"/>
                <w:szCs w:val="16"/>
                <w:color w:val="auto"/>
              </w:rPr>
              <w:t>1,667.0</w:t>
            </w:r>
          </w:p>
        </w:tc>
        <w:tc>
          <w:tcPr>
            <w:tcW w:w="260" w:type="dxa"/>
            <w:vAlign w:val="bottom"/>
            <w:tcBorders>
              <w:right w:val="single" w:sz="8" w:color="CFF0FC"/>
            </w:tcBorders>
            <w:shd w:val="clear" w:color="auto" w:fill="CFF0FC"/>
          </w:tcPr>
          <w:p>
            <w:pPr>
              <w:spacing w:after="0"/>
              <w:rPr>
                <w:sz w:val="18"/>
                <w:szCs w:val="18"/>
                <w:color w:val="auto"/>
              </w:rPr>
            </w:pPr>
          </w:p>
        </w:tc>
        <w:tc>
          <w:tcPr>
            <w:tcW w:w="100" w:type="dxa"/>
            <w:vAlign w:val="bottom"/>
            <w:shd w:val="clear" w:color="auto" w:fill="CFF0FC"/>
          </w:tcPr>
          <w:p>
            <w:pPr>
              <w:jc w:val="right"/>
              <w:spacing w:after="0"/>
              <w:rPr>
                <w:sz w:val="20"/>
                <w:szCs w:val="20"/>
                <w:color w:val="auto"/>
              </w:rPr>
            </w:pPr>
            <w:r>
              <w:rPr>
                <w:rFonts w:ascii="Arial" w:cs="Arial" w:eastAsia="Arial" w:hAnsi="Arial"/>
                <w:sz w:val="15"/>
                <w:szCs w:val="15"/>
                <w:color w:val="auto"/>
                <w:w w:val="71"/>
              </w:rPr>
              <w:t>$</w:t>
            </w:r>
          </w:p>
        </w:tc>
        <w:tc>
          <w:tcPr>
            <w:tcW w:w="1280" w:type="dxa"/>
            <w:vAlign w:val="bottom"/>
            <w:gridSpan w:val="2"/>
            <w:shd w:val="clear" w:color="auto" w:fill="CFF0FC"/>
          </w:tcPr>
          <w:p>
            <w:pPr>
              <w:jc w:val="right"/>
              <w:ind w:right="80"/>
              <w:spacing w:after="0"/>
              <w:rPr>
                <w:sz w:val="20"/>
                <w:szCs w:val="20"/>
                <w:color w:val="auto"/>
              </w:rPr>
            </w:pPr>
            <w:r>
              <w:rPr>
                <w:rFonts w:ascii="Arial" w:cs="Arial" w:eastAsia="Arial" w:hAnsi="Arial"/>
                <w:sz w:val="16"/>
                <w:szCs w:val="16"/>
                <w:color w:val="auto"/>
              </w:rPr>
              <w:t>(201.0)</w:t>
            </w:r>
          </w:p>
        </w:tc>
        <w:tc>
          <w:tcPr>
            <w:tcW w:w="940" w:type="dxa"/>
            <w:vAlign w:val="bottom"/>
            <w:tcBorders>
              <w:right w:val="single" w:sz="8" w:color="CFF0FC"/>
            </w:tcBorders>
            <w:gridSpan w:val="4"/>
            <w:shd w:val="clear" w:color="auto" w:fill="CFF0FC"/>
          </w:tcPr>
          <w:p>
            <w:pPr>
              <w:jc w:val="right"/>
              <w:ind w:right="200"/>
              <w:spacing w:after="0"/>
              <w:rPr>
                <w:sz w:val="20"/>
                <w:szCs w:val="20"/>
                <w:color w:val="auto"/>
              </w:rPr>
            </w:pPr>
            <w:r>
              <w:rPr>
                <w:rFonts w:ascii="Arial" w:cs="Arial" w:eastAsia="Arial" w:hAnsi="Arial"/>
                <w:sz w:val="16"/>
                <w:szCs w:val="16"/>
                <w:color w:val="auto"/>
              </w:rPr>
              <w:t>$ (296.1)</w:t>
            </w:r>
          </w:p>
        </w:tc>
        <w:tc>
          <w:tcPr>
            <w:tcW w:w="140" w:type="dxa"/>
            <w:vAlign w:val="bottom"/>
            <w:shd w:val="clear" w:color="auto" w:fill="CFF0FC"/>
          </w:tcPr>
          <w:p>
            <w:pPr>
              <w:jc w:val="right"/>
              <w:spacing w:after="0"/>
              <w:rPr>
                <w:sz w:val="20"/>
                <w:szCs w:val="20"/>
                <w:color w:val="auto"/>
              </w:rPr>
            </w:pPr>
            <w:r>
              <w:rPr>
                <w:rFonts w:ascii="Arial" w:cs="Arial" w:eastAsia="Arial" w:hAnsi="Arial"/>
                <w:sz w:val="15"/>
                <w:szCs w:val="15"/>
                <w:color w:val="auto"/>
                <w:w w:val="71"/>
              </w:rPr>
              <w:t>$</w:t>
            </w:r>
          </w:p>
        </w:tc>
        <w:tc>
          <w:tcPr>
            <w:tcW w:w="720" w:type="dxa"/>
            <w:vAlign w:val="bottom"/>
            <w:shd w:val="clear" w:color="auto" w:fill="CFF0FC"/>
          </w:tcPr>
          <w:p>
            <w:pPr>
              <w:jc w:val="right"/>
              <w:spacing w:after="0"/>
              <w:rPr>
                <w:sz w:val="20"/>
                <w:szCs w:val="20"/>
                <w:color w:val="auto"/>
              </w:rPr>
            </w:pPr>
            <w:r>
              <w:rPr>
                <w:rFonts w:ascii="Arial" w:cs="Arial" w:eastAsia="Arial" w:hAnsi="Arial"/>
                <w:sz w:val="16"/>
                <w:szCs w:val="16"/>
                <w:color w:val="auto"/>
              </w:rPr>
              <w:t>5,716.5</w:t>
            </w:r>
          </w:p>
        </w:tc>
        <w:tc>
          <w:tcPr>
            <w:tcW w:w="120" w:type="dxa"/>
            <w:vAlign w:val="bottom"/>
            <w:tcBorders>
              <w:left w:val="single" w:sz="8" w:color="CFF0FC"/>
            </w:tcBorders>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3"/>
        </w:trPr>
        <w:tc>
          <w:tcPr>
            <w:tcW w:w="3460" w:type="dxa"/>
            <w:vAlign w:val="bottom"/>
          </w:tcPr>
          <w:p>
            <w:pPr>
              <w:ind w:left="140"/>
              <w:spacing w:after="0"/>
              <w:rPr>
                <w:sz w:val="20"/>
                <w:szCs w:val="20"/>
                <w:color w:val="auto"/>
              </w:rPr>
            </w:pPr>
            <w:r>
              <w:rPr>
                <w:rFonts w:ascii="Arial" w:cs="Arial" w:eastAsia="Arial" w:hAnsi="Arial"/>
                <w:sz w:val="16"/>
                <w:szCs w:val="16"/>
                <w:color w:val="auto"/>
              </w:rPr>
              <w:t>Net income</w:t>
            </w:r>
          </w:p>
        </w:tc>
        <w:tc>
          <w:tcPr>
            <w:tcW w:w="800" w:type="dxa"/>
            <w:vAlign w:val="bottom"/>
          </w:tcPr>
          <w:p>
            <w:pPr>
              <w:jc w:val="right"/>
              <w:spacing w:after="0"/>
              <w:rPr>
                <w:sz w:val="20"/>
                <w:szCs w:val="20"/>
                <w:color w:val="auto"/>
              </w:rPr>
            </w:pPr>
            <w:r>
              <w:rPr>
                <w:rFonts w:ascii="Arial" w:cs="Arial" w:eastAsia="Arial" w:hAnsi="Arial"/>
                <w:sz w:val="16"/>
                <w:szCs w:val="16"/>
                <w:color w:val="auto"/>
              </w:rPr>
              <w:t>—</w:t>
            </w:r>
          </w:p>
        </w:tc>
        <w:tc>
          <w:tcPr>
            <w:tcW w:w="26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300" w:type="dxa"/>
            <w:vAlign w:val="bottom"/>
          </w:tcPr>
          <w:p>
            <w:pPr>
              <w:jc w:val="right"/>
              <w:spacing w:after="0"/>
              <w:rPr>
                <w:sz w:val="20"/>
                <w:szCs w:val="20"/>
                <w:color w:val="auto"/>
              </w:rPr>
            </w:pPr>
            <w:r>
              <w:rPr>
                <w:rFonts w:ascii="Arial" w:cs="Arial" w:eastAsia="Arial" w:hAnsi="Arial"/>
                <w:sz w:val="16"/>
                <w:szCs w:val="16"/>
                <w:color w:val="auto"/>
              </w:rPr>
              <w:t>—</w:t>
            </w:r>
          </w:p>
        </w:tc>
        <w:tc>
          <w:tcPr>
            <w:tcW w:w="2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Arial" w:cs="Arial" w:eastAsia="Arial" w:hAnsi="Arial"/>
                <w:sz w:val="16"/>
                <w:szCs w:val="16"/>
                <w:color w:val="auto"/>
              </w:rPr>
              <w:t>—</w:t>
            </w:r>
          </w:p>
        </w:tc>
        <w:tc>
          <w:tcPr>
            <w:tcW w:w="2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Arial" w:cs="Arial" w:eastAsia="Arial" w:hAnsi="Arial"/>
                <w:sz w:val="16"/>
                <w:szCs w:val="16"/>
                <w:color w:val="auto"/>
              </w:rPr>
              <w:t>174.9</w:t>
            </w:r>
          </w:p>
        </w:tc>
        <w:tc>
          <w:tcPr>
            <w:tcW w:w="2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80" w:type="dxa"/>
            <w:vAlign w:val="bottom"/>
            <w:gridSpan w:val="2"/>
          </w:tcPr>
          <w:p>
            <w:pPr>
              <w:jc w:val="right"/>
              <w:ind w:right="140"/>
              <w:spacing w:after="0"/>
              <w:rPr>
                <w:sz w:val="20"/>
                <w:szCs w:val="20"/>
                <w:color w:val="auto"/>
              </w:rPr>
            </w:pPr>
            <w:r>
              <w:rPr>
                <w:rFonts w:ascii="Arial" w:cs="Arial" w:eastAsia="Arial" w:hAnsi="Arial"/>
                <w:sz w:val="16"/>
                <w:szCs w:val="16"/>
                <w:color w:val="auto"/>
              </w:rPr>
              <w:t>—</w:t>
            </w: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40" w:type="dxa"/>
            <w:vAlign w:val="bottom"/>
            <w:gridSpan w:val="2"/>
          </w:tcPr>
          <w:p>
            <w:pPr>
              <w:jc w:val="right"/>
              <w:ind w:right="260"/>
              <w:spacing w:after="0"/>
              <w:rPr>
                <w:sz w:val="20"/>
                <w:szCs w:val="20"/>
                <w:color w:val="auto"/>
              </w:rPr>
            </w:pPr>
            <w:r>
              <w:rPr>
                <w:rFonts w:ascii="Arial" w:cs="Arial" w:eastAsia="Arial" w:hAnsi="Arial"/>
                <w:sz w:val="16"/>
                <w:szCs w:val="16"/>
                <w:color w:val="auto"/>
              </w:rPr>
              <w:t>—</w:t>
            </w:r>
          </w:p>
        </w:tc>
        <w:tc>
          <w:tcPr>
            <w:tcW w:w="14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Arial" w:cs="Arial" w:eastAsia="Arial" w:hAnsi="Arial"/>
                <w:sz w:val="16"/>
                <w:szCs w:val="16"/>
                <w:color w:val="auto"/>
              </w:rPr>
              <w:t>174.9</w:t>
            </w: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9"/>
        </w:trPr>
        <w:tc>
          <w:tcPr>
            <w:tcW w:w="3460" w:type="dxa"/>
            <w:vAlign w:val="bottom"/>
            <w:tcBorders>
              <w:right w:val="single" w:sz="8" w:color="CFF0FC"/>
            </w:tcBorders>
            <w:shd w:val="clear" w:color="auto" w:fill="CFF0FC"/>
          </w:tcPr>
          <w:p>
            <w:pPr>
              <w:ind w:left="140"/>
              <w:spacing w:after="0"/>
              <w:rPr>
                <w:sz w:val="20"/>
                <w:szCs w:val="20"/>
                <w:color w:val="auto"/>
              </w:rPr>
            </w:pPr>
            <w:r>
              <w:rPr>
                <w:rFonts w:ascii="Arial" w:cs="Arial" w:eastAsia="Arial" w:hAnsi="Arial"/>
                <w:sz w:val="16"/>
                <w:szCs w:val="16"/>
                <w:color w:val="auto"/>
              </w:rPr>
              <w:t>Foreign exchange translation adjustment</w:t>
            </w:r>
          </w:p>
        </w:tc>
        <w:tc>
          <w:tcPr>
            <w:tcW w:w="800" w:type="dxa"/>
            <w:vAlign w:val="bottom"/>
            <w:shd w:val="clear" w:color="auto" w:fill="CFF0FC"/>
          </w:tcPr>
          <w:p>
            <w:pPr>
              <w:jc w:val="right"/>
              <w:spacing w:after="0"/>
              <w:rPr>
                <w:sz w:val="20"/>
                <w:szCs w:val="20"/>
                <w:color w:val="auto"/>
              </w:rPr>
            </w:pPr>
            <w:r>
              <w:rPr>
                <w:rFonts w:ascii="Arial" w:cs="Arial" w:eastAsia="Arial" w:hAnsi="Arial"/>
                <w:sz w:val="16"/>
                <w:szCs w:val="16"/>
                <w:color w:val="auto"/>
              </w:rPr>
              <w:t>—</w:t>
            </w:r>
          </w:p>
        </w:tc>
        <w:tc>
          <w:tcPr>
            <w:tcW w:w="260" w:type="dxa"/>
            <w:vAlign w:val="bottom"/>
            <w:tcBorders>
              <w:left w:val="single" w:sz="8" w:color="CFF0FC"/>
              <w:right w:val="single" w:sz="8" w:color="CFF0FC"/>
            </w:tcBorders>
            <w:shd w:val="clear" w:color="auto" w:fill="CFF0FC"/>
          </w:tcPr>
          <w:p>
            <w:pPr>
              <w:spacing w:after="0"/>
              <w:rPr>
                <w:sz w:val="19"/>
                <w:szCs w:val="19"/>
                <w:color w:val="auto"/>
              </w:rPr>
            </w:pPr>
          </w:p>
        </w:tc>
        <w:tc>
          <w:tcPr>
            <w:tcW w:w="300" w:type="dxa"/>
            <w:vAlign w:val="bottom"/>
            <w:shd w:val="clear" w:color="auto" w:fill="CFF0FC"/>
          </w:tcPr>
          <w:p>
            <w:pPr>
              <w:spacing w:after="0"/>
              <w:rPr>
                <w:sz w:val="19"/>
                <w:szCs w:val="19"/>
                <w:color w:val="auto"/>
              </w:rPr>
            </w:pPr>
          </w:p>
        </w:tc>
        <w:tc>
          <w:tcPr>
            <w:tcW w:w="300" w:type="dxa"/>
            <w:vAlign w:val="bottom"/>
            <w:shd w:val="clear" w:color="auto" w:fill="CFF0FC"/>
          </w:tcPr>
          <w:p>
            <w:pPr>
              <w:jc w:val="right"/>
              <w:spacing w:after="0"/>
              <w:rPr>
                <w:sz w:val="20"/>
                <w:szCs w:val="20"/>
                <w:color w:val="auto"/>
              </w:rPr>
            </w:pPr>
            <w:r>
              <w:rPr>
                <w:rFonts w:ascii="Arial" w:cs="Arial" w:eastAsia="Arial" w:hAnsi="Arial"/>
                <w:sz w:val="16"/>
                <w:szCs w:val="16"/>
                <w:color w:val="auto"/>
              </w:rPr>
              <w:t>—</w:t>
            </w:r>
          </w:p>
        </w:tc>
        <w:tc>
          <w:tcPr>
            <w:tcW w:w="24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900" w:type="dxa"/>
            <w:vAlign w:val="bottom"/>
            <w:shd w:val="clear" w:color="auto" w:fill="CFF0FC"/>
          </w:tcPr>
          <w:p>
            <w:pPr>
              <w:jc w:val="right"/>
              <w:spacing w:after="0"/>
              <w:rPr>
                <w:sz w:val="20"/>
                <w:szCs w:val="20"/>
                <w:color w:val="auto"/>
              </w:rPr>
            </w:pPr>
            <w:r>
              <w:rPr>
                <w:rFonts w:ascii="Arial" w:cs="Arial" w:eastAsia="Arial" w:hAnsi="Arial"/>
                <w:sz w:val="16"/>
                <w:szCs w:val="16"/>
                <w:color w:val="auto"/>
              </w:rPr>
              <w:t>—</w:t>
            </w:r>
          </w:p>
        </w:tc>
        <w:tc>
          <w:tcPr>
            <w:tcW w:w="24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1140" w:type="dxa"/>
            <w:vAlign w:val="bottom"/>
            <w:tcBorders>
              <w:right w:val="single" w:sz="8" w:color="CFF0FC"/>
            </w:tcBorders>
            <w:gridSpan w:val="2"/>
            <w:shd w:val="clear" w:color="auto" w:fill="CFF0FC"/>
          </w:tcPr>
          <w:p>
            <w:pPr>
              <w:jc w:val="right"/>
              <w:ind w:right="260"/>
              <w:spacing w:after="0"/>
              <w:rPr>
                <w:sz w:val="20"/>
                <w:szCs w:val="20"/>
                <w:color w:val="auto"/>
              </w:rPr>
            </w:pPr>
            <w:r>
              <w:rPr>
                <w:rFonts w:ascii="Arial" w:cs="Arial" w:eastAsia="Arial" w:hAnsi="Arial"/>
                <w:sz w:val="16"/>
                <w:szCs w:val="16"/>
                <w:color w:val="auto"/>
              </w:rPr>
              <w:t>—</w:t>
            </w:r>
          </w:p>
        </w:tc>
        <w:tc>
          <w:tcPr>
            <w:tcW w:w="100" w:type="dxa"/>
            <w:vAlign w:val="bottom"/>
            <w:shd w:val="clear" w:color="auto" w:fill="CFF0FC"/>
          </w:tcPr>
          <w:p>
            <w:pPr>
              <w:spacing w:after="0"/>
              <w:rPr>
                <w:sz w:val="19"/>
                <w:szCs w:val="19"/>
                <w:color w:val="auto"/>
              </w:rPr>
            </w:pPr>
          </w:p>
        </w:tc>
        <w:tc>
          <w:tcPr>
            <w:tcW w:w="1140" w:type="dxa"/>
            <w:vAlign w:val="bottom"/>
            <w:shd w:val="clear" w:color="auto" w:fill="CFF0FC"/>
          </w:tcPr>
          <w:p>
            <w:pPr>
              <w:jc w:val="right"/>
              <w:spacing w:after="0"/>
              <w:rPr>
                <w:sz w:val="20"/>
                <w:szCs w:val="20"/>
                <w:color w:val="auto"/>
              </w:rPr>
            </w:pPr>
            <w:r>
              <w:rPr>
                <w:rFonts w:ascii="Arial" w:cs="Arial" w:eastAsia="Arial" w:hAnsi="Arial"/>
                <w:sz w:val="16"/>
                <w:szCs w:val="16"/>
                <w:color w:val="auto"/>
              </w:rPr>
              <w:t>8.4</w:t>
            </w:r>
          </w:p>
        </w:tc>
        <w:tc>
          <w:tcPr>
            <w:tcW w:w="140" w:type="dxa"/>
            <w:vAlign w:val="bottom"/>
            <w:tcBorders>
              <w:left w:val="single" w:sz="8" w:color="CFF0FC"/>
            </w:tcBorders>
            <w:shd w:val="clear" w:color="auto" w:fill="CFF0FC"/>
          </w:tcPr>
          <w:p>
            <w:pPr>
              <w:spacing w:after="0"/>
              <w:rPr>
                <w:sz w:val="19"/>
                <w:szCs w:val="19"/>
                <w:color w:val="auto"/>
              </w:rPr>
            </w:pPr>
          </w:p>
        </w:tc>
        <w:tc>
          <w:tcPr>
            <w:tcW w:w="120" w:type="dxa"/>
            <w:vAlign w:val="bottom"/>
            <w:tcBorders>
              <w:right w:val="single" w:sz="8" w:color="CFF0FC"/>
            </w:tcBorders>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740" w:type="dxa"/>
            <w:vAlign w:val="bottom"/>
            <w:tcBorders>
              <w:right w:val="single" w:sz="8" w:color="CFF0FC"/>
            </w:tcBorders>
            <w:gridSpan w:val="2"/>
            <w:shd w:val="clear" w:color="auto" w:fill="CFF0FC"/>
          </w:tcPr>
          <w:p>
            <w:pPr>
              <w:jc w:val="right"/>
              <w:ind w:right="260"/>
              <w:spacing w:after="0"/>
              <w:rPr>
                <w:sz w:val="20"/>
                <w:szCs w:val="20"/>
                <w:color w:val="auto"/>
              </w:rPr>
            </w:pPr>
            <w:r>
              <w:rPr>
                <w:rFonts w:ascii="Arial" w:cs="Arial" w:eastAsia="Arial" w:hAnsi="Arial"/>
                <w:sz w:val="16"/>
                <w:szCs w:val="16"/>
                <w:color w:val="auto"/>
              </w:rPr>
              <w:t>—</w:t>
            </w:r>
          </w:p>
        </w:tc>
        <w:tc>
          <w:tcPr>
            <w:tcW w:w="140" w:type="dxa"/>
            <w:vAlign w:val="bottom"/>
            <w:shd w:val="clear" w:color="auto" w:fill="CFF0FC"/>
          </w:tcPr>
          <w:p>
            <w:pPr>
              <w:spacing w:after="0"/>
              <w:rPr>
                <w:sz w:val="19"/>
                <w:szCs w:val="19"/>
                <w:color w:val="auto"/>
              </w:rPr>
            </w:pPr>
          </w:p>
        </w:tc>
        <w:tc>
          <w:tcPr>
            <w:tcW w:w="720" w:type="dxa"/>
            <w:vAlign w:val="bottom"/>
            <w:shd w:val="clear" w:color="auto" w:fill="CFF0FC"/>
          </w:tcPr>
          <w:p>
            <w:pPr>
              <w:jc w:val="right"/>
              <w:spacing w:after="0"/>
              <w:rPr>
                <w:sz w:val="20"/>
                <w:szCs w:val="20"/>
                <w:color w:val="auto"/>
              </w:rPr>
            </w:pPr>
            <w:r>
              <w:rPr>
                <w:rFonts w:ascii="Arial" w:cs="Arial" w:eastAsia="Arial" w:hAnsi="Arial"/>
                <w:sz w:val="16"/>
                <w:szCs w:val="16"/>
                <w:color w:val="auto"/>
              </w:rPr>
              <w:t>8.4</w:t>
            </w:r>
          </w:p>
        </w:tc>
        <w:tc>
          <w:tcPr>
            <w:tcW w:w="120" w:type="dxa"/>
            <w:vAlign w:val="bottom"/>
            <w:tcBorders>
              <w:left w:val="single" w:sz="8" w:color="CFF0FC"/>
            </w:tcBorders>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13"/>
        </w:trPr>
        <w:tc>
          <w:tcPr>
            <w:tcW w:w="3460" w:type="dxa"/>
            <w:vAlign w:val="bottom"/>
          </w:tcPr>
          <w:p>
            <w:pPr>
              <w:ind w:left="140"/>
              <w:spacing w:after="0"/>
              <w:rPr>
                <w:sz w:val="20"/>
                <w:szCs w:val="20"/>
                <w:color w:val="auto"/>
              </w:rPr>
            </w:pPr>
            <w:r>
              <w:rPr>
                <w:rFonts w:ascii="Arial" w:cs="Arial" w:eastAsia="Arial" w:hAnsi="Arial"/>
                <w:sz w:val="16"/>
                <w:szCs w:val="16"/>
                <w:color w:val="auto"/>
              </w:rPr>
              <w:t>Net change in interest rate swaps</w:t>
            </w:r>
          </w:p>
        </w:tc>
        <w:tc>
          <w:tcPr>
            <w:tcW w:w="800" w:type="dxa"/>
            <w:vAlign w:val="bottom"/>
          </w:tcPr>
          <w:p>
            <w:pPr>
              <w:jc w:val="right"/>
              <w:spacing w:after="0"/>
              <w:rPr>
                <w:sz w:val="20"/>
                <w:szCs w:val="20"/>
                <w:color w:val="auto"/>
              </w:rPr>
            </w:pPr>
            <w:r>
              <w:rPr>
                <w:rFonts w:ascii="Arial" w:cs="Arial" w:eastAsia="Arial" w:hAnsi="Arial"/>
                <w:sz w:val="16"/>
                <w:szCs w:val="16"/>
                <w:color w:val="auto"/>
              </w:rPr>
              <w:t>—</w:t>
            </w:r>
          </w:p>
        </w:tc>
        <w:tc>
          <w:tcPr>
            <w:tcW w:w="26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300" w:type="dxa"/>
            <w:vAlign w:val="bottom"/>
          </w:tcPr>
          <w:p>
            <w:pPr>
              <w:jc w:val="right"/>
              <w:spacing w:after="0"/>
              <w:rPr>
                <w:sz w:val="20"/>
                <w:szCs w:val="20"/>
                <w:color w:val="auto"/>
              </w:rPr>
            </w:pPr>
            <w:r>
              <w:rPr>
                <w:rFonts w:ascii="Arial" w:cs="Arial" w:eastAsia="Arial" w:hAnsi="Arial"/>
                <w:sz w:val="16"/>
                <w:szCs w:val="16"/>
                <w:color w:val="auto"/>
              </w:rPr>
              <w:t>—</w:t>
            </w:r>
          </w:p>
        </w:tc>
        <w:tc>
          <w:tcPr>
            <w:tcW w:w="2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Arial" w:cs="Arial" w:eastAsia="Arial" w:hAnsi="Arial"/>
                <w:sz w:val="16"/>
                <w:szCs w:val="16"/>
                <w:color w:val="auto"/>
              </w:rPr>
              <w:t>—</w:t>
            </w:r>
          </w:p>
        </w:tc>
        <w:tc>
          <w:tcPr>
            <w:tcW w:w="2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140" w:type="dxa"/>
            <w:vAlign w:val="bottom"/>
            <w:gridSpan w:val="2"/>
          </w:tcPr>
          <w:p>
            <w:pPr>
              <w:jc w:val="right"/>
              <w:ind w:right="260"/>
              <w:spacing w:after="0"/>
              <w:rPr>
                <w:sz w:val="20"/>
                <w:szCs w:val="20"/>
                <w:color w:val="auto"/>
              </w:rPr>
            </w:pPr>
            <w:r>
              <w:rPr>
                <w:rFonts w:ascii="Arial" w:cs="Arial" w:eastAsia="Arial" w:hAnsi="Arial"/>
                <w:sz w:val="16"/>
                <w:szCs w:val="16"/>
                <w:color w:val="auto"/>
              </w:rPr>
              <w:t>—</w:t>
            </w:r>
          </w:p>
        </w:tc>
        <w:tc>
          <w:tcPr>
            <w:tcW w:w="100" w:type="dxa"/>
            <w:vAlign w:val="bottom"/>
          </w:tcPr>
          <w:p>
            <w:pPr>
              <w:spacing w:after="0"/>
              <w:rPr>
                <w:sz w:val="18"/>
                <w:szCs w:val="18"/>
                <w:color w:val="auto"/>
              </w:rPr>
            </w:pPr>
          </w:p>
        </w:tc>
        <w:tc>
          <w:tcPr>
            <w:tcW w:w="1140" w:type="dxa"/>
            <w:vAlign w:val="bottom"/>
          </w:tcPr>
          <w:p>
            <w:pPr>
              <w:jc w:val="right"/>
              <w:spacing w:after="0"/>
              <w:rPr>
                <w:sz w:val="20"/>
                <w:szCs w:val="20"/>
                <w:color w:val="auto"/>
              </w:rPr>
            </w:pPr>
            <w:r>
              <w:rPr>
                <w:rFonts w:ascii="Arial" w:cs="Arial" w:eastAsia="Arial" w:hAnsi="Arial"/>
                <w:sz w:val="16"/>
                <w:szCs w:val="16"/>
                <w:color w:val="auto"/>
              </w:rPr>
              <w:t>0.5</w:t>
            </w:r>
          </w:p>
        </w:tc>
        <w:tc>
          <w:tcPr>
            <w:tcW w:w="1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40" w:type="dxa"/>
            <w:vAlign w:val="bottom"/>
            <w:gridSpan w:val="2"/>
          </w:tcPr>
          <w:p>
            <w:pPr>
              <w:jc w:val="right"/>
              <w:ind w:right="260"/>
              <w:spacing w:after="0"/>
              <w:rPr>
                <w:sz w:val="20"/>
                <w:szCs w:val="20"/>
                <w:color w:val="auto"/>
              </w:rPr>
            </w:pPr>
            <w:r>
              <w:rPr>
                <w:rFonts w:ascii="Arial" w:cs="Arial" w:eastAsia="Arial" w:hAnsi="Arial"/>
                <w:sz w:val="16"/>
                <w:szCs w:val="16"/>
                <w:color w:val="auto"/>
              </w:rPr>
              <w:t>—</w:t>
            </w:r>
          </w:p>
        </w:tc>
        <w:tc>
          <w:tcPr>
            <w:tcW w:w="14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Arial" w:cs="Arial" w:eastAsia="Arial" w:hAnsi="Arial"/>
                <w:sz w:val="16"/>
                <w:szCs w:val="16"/>
                <w:color w:val="auto"/>
              </w:rPr>
              <w:t>0.5</w:t>
            </w: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9"/>
        </w:trPr>
        <w:tc>
          <w:tcPr>
            <w:tcW w:w="3460" w:type="dxa"/>
            <w:vAlign w:val="bottom"/>
            <w:tcBorders>
              <w:right w:val="single" w:sz="8" w:color="CFF0FC"/>
            </w:tcBorders>
            <w:shd w:val="clear" w:color="auto" w:fill="CFF0FC"/>
          </w:tcPr>
          <w:p>
            <w:pPr>
              <w:ind w:left="140"/>
              <w:spacing w:after="0"/>
              <w:rPr>
                <w:sz w:val="20"/>
                <w:szCs w:val="20"/>
                <w:color w:val="auto"/>
              </w:rPr>
            </w:pPr>
            <w:r>
              <w:rPr>
                <w:rFonts w:ascii="Arial" w:cs="Arial" w:eastAsia="Arial" w:hAnsi="Arial"/>
                <w:sz w:val="16"/>
                <w:szCs w:val="16"/>
                <w:color w:val="auto"/>
              </w:rPr>
              <w:t>Stock-based compensation expense</w:t>
            </w:r>
          </w:p>
        </w:tc>
        <w:tc>
          <w:tcPr>
            <w:tcW w:w="800" w:type="dxa"/>
            <w:vAlign w:val="bottom"/>
            <w:shd w:val="clear" w:color="auto" w:fill="CFF0FC"/>
          </w:tcPr>
          <w:p>
            <w:pPr>
              <w:jc w:val="right"/>
              <w:spacing w:after="0"/>
              <w:rPr>
                <w:sz w:val="20"/>
                <w:szCs w:val="20"/>
                <w:color w:val="auto"/>
              </w:rPr>
            </w:pPr>
            <w:r>
              <w:rPr>
                <w:rFonts w:ascii="Arial" w:cs="Arial" w:eastAsia="Arial" w:hAnsi="Arial"/>
                <w:sz w:val="16"/>
                <w:szCs w:val="16"/>
                <w:color w:val="auto"/>
              </w:rPr>
              <w:t>—</w:t>
            </w:r>
          </w:p>
        </w:tc>
        <w:tc>
          <w:tcPr>
            <w:tcW w:w="260" w:type="dxa"/>
            <w:vAlign w:val="bottom"/>
            <w:tcBorders>
              <w:left w:val="single" w:sz="8" w:color="CFF0FC"/>
              <w:right w:val="single" w:sz="8" w:color="CFF0FC"/>
            </w:tcBorders>
            <w:shd w:val="clear" w:color="auto" w:fill="CFF0FC"/>
          </w:tcPr>
          <w:p>
            <w:pPr>
              <w:spacing w:after="0"/>
              <w:rPr>
                <w:sz w:val="19"/>
                <w:szCs w:val="19"/>
                <w:color w:val="auto"/>
              </w:rPr>
            </w:pPr>
          </w:p>
        </w:tc>
        <w:tc>
          <w:tcPr>
            <w:tcW w:w="300" w:type="dxa"/>
            <w:vAlign w:val="bottom"/>
            <w:shd w:val="clear" w:color="auto" w:fill="CFF0FC"/>
          </w:tcPr>
          <w:p>
            <w:pPr>
              <w:spacing w:after="0"/>
              <w:rPr>
                <w:sz w:val="19"/>
                <w:szCs w:val="19"/>
                <w:color w:val="auto"/>
              </w:rPr>
            </w:pPr>
          </w:p>
        </w:tc>
        <w:tc>
          <w:tcPr>
            <w:tcW w:w="300" w:type="dxa"/>
            <w:vAlign w:val="bottom"/>
            <w:shd w:val="clear" w:color="auto" w:fill="CFF0FC"/>
          </w:tcPr>
          <w:p>
            <w:pPr>
              <w:jc w:val="right"/>
              <w:spacing w:after="0"/>
              <w:rPr>
                <w:sz w:val="20"/>
                <w:szCs w:val="20"/>
                <w:color w:val="auto"/>
              </w:rPr>
            </w:pPr>
            <w:r>
              <w:rPr>
                <w:rFonts w:ascii="Arial" w:cs="Arial" w:eastAsia="Arial" w:hAnsi="Arial"/>
                <w:sz w:val="16"/>
                <w:szCs w:val="16"/>
                <w:color w:val="auto"/>
              </w:rPr>
              <w:t>—</w:t>
            </w:r>
          </w:p>
        </w:tc>
        <w:tc>
          <w:tcPr>
            <w:tcW w:w="24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900" w:type="dxa"/>
            <w:vAlign w:val="bottom"/>
            <w:shd w:val="clear" w:color="auto" w:fill="CFF0FC"/>
          </w:tcPr>
          <w:p>
            <w:pPr>
              <w:jc w:val="right"/>
              <w:spacing w:after="0"/>
              <w:rPr>
                <w:sz w:val="20"/>
                <w:szCs w:val="20"/>
                <w:color w:val="auto"/>
              </w:rPr>
            </w:pPr>
            <w:r>
              <w:rPr>
                <w:rFonts w:ascii="Arial" w:cs="Arial" w:eastAsia="Arial" w:hAnsi="Arial"/>
                <w:sz w:val="16"/>
                <w:szCs w:val="16"/>
                <w:color w:val="auto"/>
              </w:rPr>
              <w:t>27.8</w:t>
            </w:r>
          </w:p>
        </w:tc>
        <w:tc>
          <w:tcPr>
            <w:tcW w:w="24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1140" w:type="dxa"/>
            <w:vAlign w:val="bottom"/>
            <w:tcBorders>
              <w:right w:val="single" w:sz="8" w:color="CFF0FC"/>
            </w:tcBorders>
            <w:gridSpan w:val="2"/>
            <w:shd w:val="clear" w:color="auto" w:fill="CFF0FC"/>
          </w:tcPr>
          <w:p>
            <w:pPr>
              <w:jc w:val="right"/>
              <w:ind w:right="260"/>
              <w:spacing w:after="0"/>
              <w:rPr>
                <w:sz w:val="20"/>
                <w:szCs w:val="20"/>
                <w:color w:val="auto"/>
              </w:rPr>
            </w:pPr>
            <w:r>
              <w:rPr>
                <w:rFonts w:ascii="Arial" w:cs="Arial" w:eastAsia="Arial" w:hAnsi="Arial"/>
                <w:sz w:val="16"/>
                <w:szCs w:val="16"/>
                <w:color w:val="auto"/>
              </w:rPr>
              <w:t>—</w:t>
            </w:r>
          </w:p>
        </w:tc>
        <w:tc>
          <w:tcPr>
            <w:tcW w:w="100" w:type="dxa"/>
            <w:vAlign w:val="bottom"/>
            <w:shd w:val="clear" w:color="auto" w:fill="CFF0FC"/>
          </w:tcPr>
          <w:p>
            <w:pPr>
              <w:spacing w:after="0"/>
              <w:rPr>
                <w:sz w:val="19"/>
                <w:szCs w:val="19"/>
                <w:color w:val="auto"/>
              </w:rPr>
            </w:pPr>
          </w:p>
        </w:tc>
        <w:tc>
          <w:tcPr>
            <w:tcW w:w="1280" w:type="dxa"/>
            <w:vAlign w:val="bottom"/>
            <w:gridSpan w:val="2"/>
            <w:shd w:val="clear" w:color="auto" w:fill="CFF0FC"/>
          </w:tcPr>
          <w:p>
            <w:pPr>
              <w:jc w:val="right"/>
              <w:ind w:right="140"/>
              <w:spacing w:after="0"/>
              <w:rPr>
                <w:sz w:val="20"/>
                <w:szCs w:val="20"/>
                <w:color w:val="auto"/>
              </w:rPr>
            </w:pPr>
            <w:r>
              <w:rPr>
                <w:rFonts w:ascii="Arial" w:cs="Arial" w:eastAsia="Arial" w:hAnsi="Arial"/>
                <w:sz w:val="16"/>
                <w:szCs w:val="16"/>
                <w:color w:val="auto"/>
              </w:rPr>
              <w:t>—</w:t>
            </w:r>
          </w:p>
        </w:tc>
        <w:tc>
          <w:tcPr>
            <w:tcW w:w="120" w:type="dxa"/>
            <w:vAlign w:val="bottom"/>
            <w:tcBorders>
              <w:right w:val="single" w:sz="8" w:color="CFF0FC"/>
            </w:tcBorders>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740" w:type="dxa"/>
            <w:vAlign w:val="bottom"/>
            <w:tcBorders>
              <w:right w:val="single" w:sz="8" w:color="CFF0FC"/>
            </w:tcBorders>
            <w:gridSpan w:val="2"/>
            <w:shd w:val="clear" w:color="auto" w:fill="CFF0FC"/>
          </w:tcPr>
          <w:p>
            <w:pPr>
              <w:jc w:val="right"/>
              <w:ind w:right="260"/>
              <w:spacing w:after="0"/>
              <w:rPr>
                <w:sz w:val="20"/>
                <w:szCs w:val="20"/>
                <w:color w:val="auto"/>
              </w:rPr>
            </w:pPr>
            <w:r>
              <w:rPr>
                <w:rFonts w:ascii="Arial" w:cs="Arial" w:eastAsia="Arial" w:hAnsi="Arial"/>
                <w:sz w:val="16"/>
                <w:szCs w:val="16"/>
                <w:color w:val="auto"/>
              </w:rPr>
              <w:t>—</w:t>
            </w:r>
          </w:p>
        </w:tc>
        <w:tc>
          <w:tcPr>
            <w:tcW w:w="140" w:type="dxa"/>
            <w:vAlign w:val="bottom"/>
            <w:shd w:val="clear" w:color="auto" w:fill="CFF0FC"/>
          </w:tcPr>
          <w:p>
            <w:pPr>
              <w:spacing w:after="0"/>
              <w:rPr>
                <w:sz w:val="19"/>
                <w:szCs w:val="19"/>
                <w:color w:val="auto"/>
              </w:rPr>
            </w:pPr>
          </w:p>
        </w:tc>
        <w:tc>
          <w:tcPr>
            <w:tcW w:w="720" w:type="dxa"/>
            <w:vAlign w:val="bottom"/>
            <w:shd w:val="clear" w:color="auto" w:fill="CFF0FC"/>
          </w:tcPr>
          <w:p>
            <w:pPr>
              <w:jc w:val="right"/>
              <w:spacing w:after="0"/>
              <w:rPr>
                <w:sz w:val="20"/>
                <w:szCs w:val="20"/>
                <w:color w:val="auto"/>
              </w:rPr>
            </w:pPr>
            <w:r>
              <w:rPr>
                <w:rFonts w:ascii="Arial" w:cs="Arial" w:eastAsia="Arial" w:hAnsi="Arial"/>
                <w:sz w:val="16"/>
                <w:szCs w:val="16"/>
                <w:color w:val="auto"/>
              </w:rPr>
              <w:t>27.8</w:t>
            </w:r>
          </w:p>
        </w:tc>
        <w:tc>
          <w:tcPr>
            <w:tcW w:w="120" w:type="dxa"/>
            <w:vAlign w:val="bottom"/>
            <w:tcBorders>
              <w:left w:val="single" w:sz="8" w:color="CFF0FC"/>
            </w:tcBorders>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13"/>
        </w:trPr>
        <w:tc>
          <w:tcPr>
            <w:tcW w:w="3460" w:type="dxa"/>
            <w:vAlign w:val="bottom"/>
          </w:tcPr>
          <w:p>
            <w:pPr>
              <w:ind w:left="140"/>
              <w:spacing w:after="0"/>
              <w:rPr>
                <w:sz w:val="20"/>
                <w:szCs w:val="20"/>
                <w:color w:val="auto"/>
              </w:rPr>
            </w:pPr>
            <w:r>
              <w:rPr>
                <w:rFonts w:ascii="Arial" w:cs="Arial" w:eastAsia="Arial" w:hAnsi="Arial"/>
                <w:sz w:val="16"/>
                <w:szCs w:val="16"/>
                <w:color w:val="auto"/>
              </w:rPr>
              <w:t>Exercise of options, net of withholding taxes</w:t>
            </w:r>
          </w:p>
        </w:tc>
        <w:tc>
          <w:tcPr>
            <w:tcW w:w="800" w:type="dxa"/>
            <w:vAlign w:val="bottom"/>
          </w:tcPr>
          <w:p>
            <w:pPr>
              <w:jc w:val="right"/>
              <w:spacing w:after="0"/>
              <w:rPr>
                <w:sz w:val="20"/>
                <w:szCs w:val="20"/>
                <w:color w:val="auto"/>
              </w:rPr>
            </w:pPr>
            <w:r>
              <w:rPr>
                <w:rFonts w:ascii="Arial" w:cs="Arial" w:eastAsia="Arial" w:hAnsi="Arial"/>
                <w:sz w:val="16"/>
                <w:szCs w:val="16"/>
                <w:color w:val="auto"/>
              </w:rPr>
              <w:t>0.8</w:t>
            </w:r>
          </w:p>
        </w:tc>
        <w:tc>
          <w:tcPr>
            <w:tcW w:w="26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300" w:type="dxa"/>
            <w:vAlign w:val="bottom"/>
          </w:tcPr>
          <w:p>
            <w:pPr>
              <w:jc w:val="right"/>
              <w:spacing w:after="0"/>
              <w:rPr>
                <w:sz w:val="20"/>
                <w:szCs w:val="20"/>
                <w:color w:val="auto"/>
              </w:rPr>
            </w:pPr>
            <w:r>
              <w:rPr>
                <w:rFonts w:ascii="Arial" w:cs="Arial" w:eastAsia="Arial" w:hAnsi="Arial"/>
                <w:sz w:val="16"/>
                <w:szCs w:val="16"/>
                <w:color w:val="auto"/>
              </w:rPr>
              <w:t>—</w:t>
            </w:r>
          </w:p>
        </w:tc>
        <w:tc>
          <w:tcPr>
            <w:tcW w:w="2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Arial" w:cs="Arial" w:eastAsia="Arial" w:hAnsi="Arial"/>
                <w:sz w:val="16"/>
                <w:szCs w:val="16"/>
                <w:color w:val="auto"/>
              </w:rPr>
              <w:t>28.7</w:t>
            </w:r>
          </w:p>
        </w:tc>
        <w:tc>
          <w:tcPr>
            <w:tcW w:w="2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140" w:type="dxa"/>
            <w:vAlign w:val="bottom"/>
            <w:gridSpan w:val="2"/>
          </w:tcPr>
          <w:p>
            <w:pPr>
              <w:jc w:val="right"/>
              <w:ind w:right="260"/>
              <w:spacing w:after="0"/>
              <w:rPr>
                <w:sz w:val="20"/>
                <w:szCs w:val="20"/>
                <w:color w:val="auto"/>
              </w:rPr>
            </w:pPr>
            <w:r>
              <w:rPr>
                <w:rFonts w:ascii="Arial" w:cs="Arial" w:eastAsia="Arial" w:hAnsi="Arial"/>
                <w:sz w:val="16"/>
                <w:szCs w:val="16"/>
                <w:color w:val="auto"/>
              </w:rPr>
              <w:t>—</w:t>
            </w:r>
          </w:p>
        </w:tc>
        <w:tc>
          <w:tcPr>
            <w:tcW w:w="100" w:type="dxa"/>
            <w:vAlign w:val="bottom"/>
          </w:tcPr>
          <w:p>
            <w:pPr>
              <w:spacing w:after="0"/>
              <w:rPr>
                <w:sz w:val="18"/>
                <w:szCs w:val="18"/>
                <w:color w:val="auto"/>
              </w:rPr>
            </w:pPr>
          </w:p>
        </w:tc>
        <w:tc>
          <w:tcPr>
            <w:tcW w:w="1280" w:type="dxa"/>
            <w:vAlign w:val="bottom"/>
            <w:gridSpan w:val="2"/>
          </w:tcPr>
          <w:p>
            <w:pPr>
              <w:jc w:val="right"/>
              <w:ind w:right="140"/>
              <w:spacing w:after="0"/>
              <w:rPr>
                <w:sz w:val="20"/>
                <w:szCs w:val="20"/>
                <w:color w:val="auto"/>
              </w:rPr>
            </w:pPr>
            <w:r>
              <w:rPr>
                <w:rFonts w:ascii="Arial" w:cs="Arial" w:eastAsia="Arial" w:hAnsi="Arial"/>
                <w:sz w:val="16"/>
                <w:szCs w:val="16"/>
                <w:color w:val="auto"/>
              </w:rPr>
              <w:t>—</w:t>
            </w: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40" w:type="dxa"/>
            <w:vAlign w:val="bottom"/>
            <w:gridSpan w:val="2"/>
          </w:tcPr>
          <w:p>
            <w:pPr>
              <w:jc w:val="right"/>
              <w:ind w:right="260"/>
              <w:spacing w:after="0"/>
              <w:rPr>
                <w:sz w:val="20"/>
                <w:szCs w:val="20"/>
                <w:color w:val="auto"/>
              </w:rPr>
            </w:pPr>
            <w:r>
              <w:rPr>
                <w:rFonts w:ascii="Arial" w:cs="Arial" w:eastAsia="Arial" w:hAnsi="Arial"/>
                <w:sz w:val="16"/>
                <w:szCs w:val="16"/>
                <w:color w:val="auto"/>
              </w:rPr>
              <w:t>—</w:t>
            </w:r>
          </w:p>
        </w:tc>
        <w:tc>
          <w:tcPr>
            <w:tcW w:w="14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Arial" w:cs="Arial" w:eastAsia="Arial" w:hAnsi="Arial"/>
                <w:sz w:val="16"/>
                <w:szCs w:val="16"/>
                <w:color w:val="auto"/>
              </w:rPr>
              <w:t>28.7</w:t>
            </w: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9"/>
        </w:trPr>
        <w:tc>
          <w:tcPr>
            <w:tcW w:w="3460" w:type="dxa"/>
            <w:vAlign w:val="bottom"/>
            <w:tcBorders>
              <w:right w:val="single" w:sz="8" w:color="CFF0FC"/>
            </w:tcBorders>
            <w:shd w:val="clear" w:color="auto" w:fill="CFF0FC"/>
          </w:tcPr>
          <w:p>
            <w:pPr>
              <w:ind w:left="140"/>
              <w:spacing w:after="0"/>
              <w:rPr>
                <w:sz w:val="20"/>
                <w:szCs w:val="20"/>
                <w:color w:val="auto"/>
              </w:rPr>
            </w:pPr>
            <w:r>
              <w:rPr>
                <w:rFonts w:ascii="Arial" w:cs="Arial" w:eastAsia="Arial" w:hAnsi="Arial"/>
                <w:sz w:val="16"/>
                <w:szCs w:val="16"/>
                <w:color w:val="auto"/>
              </w:rPr>
              <w:t>Cash dividends declared - $0.16 per share</w:t>
            </w:r>
          </w:p>
        </w:tc>
        <w:tc>
          <w:tcPr>
            <w:tcW w:w="800" w:type="dxa"/>
            <w:vAlign w:val="bottom"/>
            <w:shd w:val="clear" w:color="auto" w:fill="CFF0FC"/>
          </w:tcPr>
          <w:p>
            <w:pPr>
              <w:jc w:val="right"/>
              <w:spacing w:after="0"/>
              <w:rPr>
                <w:sz w:val="20"/>
                <w:szCs w:val="20"/>
                <w:color w:val="auto"/>
              </w:rPr>
            </w:pPr>
            <w:r>
              <w:rPr>
                <w:rFonts w:ascii="Arial" w:cs="Arial" w:eastAsia="Arial" w:hAnsi="Arial"/>
                <w:sz w:val="16"/>
                <w:szCs w:val="16"/>
                <w:color w:val="auto"/>
              </w:rPr>
              <w:t>—</w:t>
            </w:r>
          </w:p>
        </w:tc>
        <w:tc>
          <w:tcPr>
            <w:tcW w:w="260" w:type="dxa"/>
            <w:vAlign w:val="bottom"/>
            <w:tcBorders>
              <w:left w:val="single" w:sz="8" w:color="CFF0FC"/>
              <w:right w:val="single" w:sz="8" w:color="CFF0FC"/>
            </w:tcBorders>
            <w:shd w:val="clear" w:color="auto" w:fill="CFF0FC"/>
          </w:tcPr>
          <w:p>
            <w:pPr>
              <w:spacing w:after="0"/>
              <w:rPr>
                <w:sz w:val="19"/>
                <w:szCs w:val="19"/>
                <w:color w:val="auto"/>
              </w:rPr>
            </w:pPr>
          </w:p>
        </w:tc>
        <w:tc>
          <w:tcPr>
            <w:tcW w:w="300" w:type="dxa"/>
            <w:vAlign w:val="bottom"/>
            <w:shd w:val="clear" w:color="auto" w:fill="CFF0FC"/>
          </w:tcPr>
          <w:p>
            <w:pPr>
              <w:spacing w:after="0"/>
              <w:rPr>
                <w:sz w:val="19"/>
                <w:szCs w:val="19"/>
                <w:color w:val="auto"/>
              </w:rPr>
            </w:pPr>
          </w:p>
        </w:tc>
        <w:tc>
          <w:tcPr>
            <w:tcW w:w="300" w:type="dxa"/>
            <w:vAlign w:val="bottom"/>
            <w:shd w:val="clear" w:color="auto" w:fill="CFF0FC"/>
          </w:tcPr>
          <w:p>
            <w:pPr>
              <w:jc w:val="right"/>
              <w:spacing w:after="0"/>
              <w:rPr>
                <w:sz w:val="20"/>
                <w:szCs w:val="20"/>
                <w:color w:val="auto"/>
              </w:rPr>
            </w:pPr>
            <w:r>
              <w:rPr>
                <w:rFonts w:ascii="Arial" w:cs="Arial" w:eastAsia="Arial" w:hAnsi="Arial"/>
                <w:sz w:val="16"/>
                <w:szCs w:val="16"/>
                <w:color w:val="auto"/>
              </w:rPr>
              <w:t>—</w:t>
            </w:r>
          </w:p>
        </w:tc>
        <w:tc>
          <w:tcPr>
            <w:tcW w:w="24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900" w:type="dxa"/>
            <w:vAlign w:val="bottom"/>
            <w:shd w:val="clear" w:color="auto" w:fill="CFF0FC"/>
          </w:tcPr>
          <w:p>
            <w:pPr>
              <w:jc w:val="right"/>
              <w:spacing w:after="0"/>
              <w:rPr>
                <w:sz w:val="20"/>
                <w:szCs w:val="20"/>
                <w:color w:val="auto"/>
              </w:rPr>
            </w:pPr>
            <w:r>
              <w:rPr>
                <w:rFonts w:ascii="Arial" w:cs="Arial" w:eastAsia="Arial" w:hAnsi="Arial"/>
                <w:sz w:val="16"/>
                <w:szCs w:val="16"/>
                <w:color w:val="auto"/>
              </w:rPr>
              <w:t>—</w:t>
            </w:r>
          </w:p>
        </w:tc>
        <w:tc>
          <w:tcPr>
            <w:tcW w:w="24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1140" w:type="dxa"/>
            <w:vAlign w:val="bottom"/>
            <w:tcBorders>
              <w:right w:val="single" w:sz="8" w:color="CFF0FC"/>
            </w:tcBorders>
            <w:gridSpan w:val="2"/>
            <w:shd w:val="clear" w:color="auto" w:fill="CFF0FC"/>
          </w:tcPr>
          <w:p>
            <w:pPr>
              <w:jc w:val="right"/>
              <w:ind w:right="200"/>
              <w:spacing w:after="0"/>
              <w:rPr>
                <w:sz w:val="20"/>
                <w:szCs w:val="20"/>
                <w:color w:val="auto"/>
              </w:rPr>
            </w:pPr>
            <w:r>
              <w:rPr>
                <w:rFonts w:ascii="Arial" w:cs="Arial" w:eastAsia="Arial" w:hAnsi="Arial"/>
                <w:sz w:val="16"/>
                <w:szCs w:val="16"/>
                <w:color w:val="auto"/>
              </w:rPr>
              <w:t>(41.2)</w:t>
            </w:r>
          </w:p>
        </w:tc>
        <w:tc>
          <w:tcPr>
            <w:tcW w:w="100" w:type="dxa"/>
            <w:vAlign w:val="bottom"/>
            <w:shd w:val="clear" w:color="auto" w:fill="CFF0FC"/>
          </w:tcPr>
          <w:p>
            <w:pPr>
              <w:spacing w:after="0"/>
              <w:rPr>
                <w:sz w:val="19"/>
                <w:szCs w:val="19"/>
                <w:color w:val="auto"/>
              </w:rPr>
            </w:pPr>
          </w:p>
        </w:tc>
        <w:tc>
          <w:tcPr>
            <w:tcW w:w="1280" w:type="dxa"/>
            <w:vAlign w:val="bottom"/>
            <w:gridSpan w:val="2"/>
            <w:shd w:val="clear" w:color="auto" w:fill="CFF0FC"/>
          </w:tcPr>
          <w:p>
            <w:pPr>
              <w:jc w:val="right"/>
              <w:ind w:right="140"/>
              <w:spacing w:after="0"/>
              <w:rPr>
                <w:sz w:val="20"/>
                <w:szCs w:val="20"/>
                <w:color w:val="auto"/>
              </w:rPr>
            </w:pPr>
            <w:r>
              <w:rPr>
                <w:rFonts w:ascii="Arial" w:cs="Arial" w:eastAsia="Arial" w:hAnsi="Arial"/>
                <w:sz w:val="16"/>
                <w:szCs w:val="16"/>
                <w:color w:val="auto"/>
              </w:rPr>
              <w:t>—</w:t>
            </w:r>
          </w:p>
        </w:tc>
        <w:tc>
          <w:tcPr>
            <w:tcW w:w="120" w:type="dxa"/>
            <w:vAlign w:val="bottom"/>
            <w:tcBorders>
              <w:right w:val="single" w:sz="8" w:color="CFF0FC"/>
            </w:tcBorders>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740" w:type="dxa"/>
            <w:vAlign w:val="bottom"/>
            <w:tcBorders>
              <w:right w:val="single" w:sz="8" w:color="CFF0FC"/>
            </w:tcBorders>
            <w:gridSpan w:val="2"/>
            <w:shd w:val="clear" w:color="auto" w:fill="CFF0FC"/>
          </w:tcPr>
          <w:p>
            <w:pPr>
              <w:jc w:val="right"/>
              <w:ind w:right="260"/>
              <w:spacing w:after="0"/>
              <w:rPr>
                <w:sz w:val="20"/>
                <w:szCs w:val="20"/>
                <w:color w:val="auto"/>
              </w:rPr>
            </w:pPr>
            <w:r>
              <w:rPr>
                <w:rFonts w:ascii="Arial" w:cs="Arial" w:eastAsia="Arial" w:hAnsi="Arial"/>
                <w:sz w:val="16"/>
                <w:szCs w:val="16"/>
                <w:color w:val="auto"/>
              </w:rPr>
              <w:t>—</w:t>
            </w:r>
          </w:p>
        </w:tc>
        <w:tc>
          <w:tcPr>
            <w:tcW w:w="140" w:type="dxa"/>
            <w:vAlign w:val="bottom"/>
            <w:shd w:val="clear" w:color="auto" w:fill="CFF0FC"/>
          </w:tcPr>
          <w:p>
            <w:pPr>
              <w:spacing w:after="0"/>
              <w:rPr>
                <w:sz w:val="19"/>
                <w:szCs w:val="19"/>
                <w:color w:val="auto"/>
              </w:rPr>
            </w:pPr>
          </w:p>
        </w:tc>
        <w:tc>
          <w:tcPr>
            <w:tcW w:w="840" w:type="dxa"/>
            <w:vAlign w:val="bottom"/>
            <w:gridSpan w:val="2"/>
            <w:shd w:val="clear" w:color="auto" w:fill="CFF0FC"/>
          </w:tcPr>
          <w:p>
            <w:pPr>
              <w:jc w:val="right"/>
              <w:ind w:right="60"/>
              <w:spacing w:after="0"/>
              <w:rPr>
                <w:sz w:val="20"/>
                <w:szCs w:val="20"/>
                <w:color w:val="auto"/>
              </w:rPr>
            </w:pPr>
            <w:r>
              <w:rPr>
                <w:rFonts w:ascii="Arial" w:cs="Arial" w:eastAsia="Arial" w:hAnsi="Arial"/>
                <w:sz w:val="16"/>
                <w:szCs w:val="16"/>
                <w:color w:val="auto"/>
              </w:rPr>
              <w:t>(41.2)</w:t>
            </w:r>
          </w:p>
        </w:tc>
        <w:tc>
          <w:tcPr>
            <w:tcW w:w="0" w:type="dxa"/>
            <w:vAlign w:val="bottom"/>
          </w:tcPr>
          <w:p>
            <w:pPr>
              <w:spacing w:after="0"/>
              <w:rPr>
                <w:sz w:val="1"/>
                <w:szCs w:val="1"/>
                <w:color w:val="auto"/>
              </w:rPr>
            </w:pPr>
          </w:p>
        </w:tc>
      </w:tr>
      <w:tr>
        <w:trPr>
          <w:trHeight w:val="213"/>
        </w:trPr>
        <w:tc>
          <w:tcPr>
            <w:tcW w:w="3460" w:type="dxa"/>
            <w:vAlign w:val="bottom"/>
          </w:tcPr>
          <w:p>
            <w:pPr>
              <w:ind w:left="140"/>
              <w:spacing w:after="0"/>
              <w:rPr>
                <w:sz w:val="20"/>
                <w:szCs w:val="20"/>
                <w:color w:val="auto"/>
              </w:rPr>
            </w:pPr>
            <w:r>
              <w:rPr>
                <w:rFonts w:ascii="Arial" w:cs="Arial" w:eastAsia="Arial" w:hAnsi="Arial"/>
                <w:sz w:val="16"/>
                <w:szCs w:val="16"/>
                <w:color w:val="auto"/>
              </w:rPr>
              <w:t>Purchase of common stock</w:t>
            </w:r>
          </w:p>
        </w:tc>
        <w:tc>
          <w:tcPr>
            <w:tcW w:w="800" w:type="dxa"/>
            <w:vAlign w:val="bottom"/>
          </w:tcPr>
          <w:p>
            <w:pPr>
              <w:jc w:val="right"/>
              <w:spacing w:after="0"/>
              <w:rPr>
                <w:sz w:val="20"/>
                <w:szCs w:val="20"/>
                <w:color w:val="auto"/>
              </w:rPr>
            </w:pPr>
            <w:r>
              <w:rPr>
                <w:rFonts w:ascii="Arial" w:cs="Arial" w:eastAsia="Arial" w:hAnsi="Arial"/>
                <w:sz w:val="16"/>
                <w:szCs w:val="16"/>
                <w:color w:val="auto"/>
              </w:rPr>
              <w:t>—</w:t>
            </w:r>
          </w:p>
        </w:tc>
        <w:tc>
          <w:tcPr>
            <w:tcW w:w="26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300" w:type="dxa"/>
            <w:vAlign w:val="bottom"/>
          </w:tcPr>
          <w:p>
            <w:pPr>
              <w:jc w:val="right"/>
              <w:spacing w:after="0"/>
              <w:rPr>
                <w:sz w:val="20"/>
                <w:szCs w:val="20"/>
                <w:color w:val="auto"/>
              </w:rPr>
            </w:pPr>
            <w:r>
              <w:rPr>
                <w:rFonts w:ascii="Arial" w:cs="Arial" w:eastAsia="Arial" w:hAnsi="Arial"/>
                <w:sz w:val="16"/>
                <w:szCs w:val="16"/>
                <w:color w:val="auto"/>
              </w:rPr>
              <w:t>—</w:t>
            </w:r>
          </w:p>
        </w:tc>
        <w:tc>
          <w:tcPr>
            <w:tcW w:w="2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Arial" w:cs="Arial" w:eastAsia="Arial" w:hAnsi="Arial"/>
                <w:sz w:val="16"/>
                <w:szCs w:val="16"/>
                <w:color w:val="auto"/>
              </w:rPr>
              <w:t>—</w:t>
            </w:r>
          </w:p>
        </w:tc>
        <w:tc>
          <w:tcPr>
            <w:tcW w:w="2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Arial" w:cs="Arial" w:eastAsia="Arial" w:hAnsi="Arial"/>
                <w:sz w:val="16"/>
                <w:szCs w:val="16"/>
                <w:color w:val="auto"/>
              </w:rPr>
              <w:t>—</w:t>
            </w:r>
          </w:p>
        </w:tc>
        <w:tc>
          <w:tcPr>
            <w:tcW w:w="2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40" w:type="dxa"/>
            <w:vAlign w:val="bottom"/>
          </w:tcPr>
          <w:p>
            <w:pPr>
              <w:jc w:val="right"/>
              <w:spacing w:after="0"/>
              <w:rPr>
                <w:sz w:val="20"/>
                <w:szCs w:val="20"/>
                <w:color w:val="auto"/>
              </w:rPr>
            </w:pPr>
            <w:r>
              <w:rPr>
                <w:rFonts w:ascii="Arial" w:cs="Arial" w:eastAsia="Arial" w:hAnsi="Arial"/>
                <w:sz w:val="16"/>
                <w:szCs w:val="16"/>
                <w:color w:val="auto"/>
              </w:rPr>
              <w:t>—</w:t>
            </w:r>
          </w:p>
        </w:tc>
        <w:tc>
          <w:tcPr>
            <w:tcW w:w="1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40" w:type="dxa"/>
            <w:vAlign w:val="bottom"/>
            <w:gridSpan w:val="2"/>
          </w:tcPr>
          <w:p>
            <w:pPr>
              <w:jc w:val="right"/>
              <w:ind w:right="200"/>
              <w:spacing w:after="0"/>
              <w:rPr>
                <w:sz w:val="20"/>
                <w:szCs w:val="20"/>
                <w:color w:val="auto"/>
              </w:rPr>
            </w:pPr>
            <w:r>
              <w:rPr>
                <w:rFonts w:ascii="Arial" w:cs="Arial" w:eastAsia="Arial" w:hAnsi="Arial"/>
                <w:sz w:val="16"/>
                <w:szCs w:val="16"/>
                <w:color w:val="auto"/>
              </w:rPr>
              <w:t>(181.4)</w:t>
            </w:r>
          </w:p>
        </w:tc>
        <w:tc>
          <w:tcPr>
            <w:tcW w:w="140" w:type="dxa"/>
            <w:vAlign w:val="bottom"/>
          </w:tcPr>
          <w:p>
            <w:pPr>
              <w:spacing w:after="0"/>
              <w:rPr>
                <w:sz w:val="18"/>
                <w:szCs w:val="18"/>
                <w:color w:val="auto"/>
              </w:rPr>
            </w:pPr>
          </w:p>
        </w:tc>
        <w:tc>
          <w:tcPr>
            <w:tcW w:w="840" w:type="dxa"/>
            <w:vAlign w:val="bottom"/>
            <w:gridSpan w:val="2"/>
          </w:tcPr>
          <w:p>
            <w:pPr>
              <w:jc w:val="right"/>
              <w:ind w:right="60"/>
              <w:spacing w:after="0"/>
              <w:rPr>
                <w:sz w:val="20"/>
                <w:szCs w:val="20"/>
                <w:color w:val="auto"/>
              </w:rPr>
            </w:pPr>
            <w:r>
              <w:rPr>
                <w:rFonts w:ascii="Arial" w:cs="Arial" w:eastAsia="Arial" w:hAnsi="Arial"/>
                <w:sz w:val="16"/>
                <w:szCs w:val="16"/>
                <w:color w:val="auto"/>
              </w:rPr>
              <w:t>(181.4)</w:t>
            </w:r>
          </w:p>
        </w:tc>
        <w:tc>
          <w:tcPr>
            <w:tcW w:w="0" w:type="dxa"/>
            <w:vAlign w:val="bottom"/>
          </w:tcPr>
          <w:p>
            <w:pPr>
              <w:spacing w:after="0"/>
              <w:rPr>
                <w:sz w:val="1"/>
                <w:szCs w:val="1"/>
                <w:color w:val="auto"/>
              </w:rPr>
            </w:pPr>
          </w:p>
        </w:tc>
      </w:tr>
      <w:tr>
        <w:trPr>
          <w:trHeight w:val="20"/>
        </w:trPr>
        <w:tc>
          <w:tcPr>
            <w:tcW w:w="3460" w:type="dxa"/>
            <w:vAlign w:val="bottom"/>
            <w:tcBorders>
              <w:right w:val="single" w:sz="8" w:color="CFF0FC"/>
            </w:tcBorders>
            <w:vMerge w:val="restart"/>
            <w:shd w:val="clear" w:color="auto" w:fill="CFF0FC"/>
          </w:tcPr>
          <w:p>
            <w:pPr>
              <w:spacing w:after="0"/>
              <w:rPr>
                <w:sz w:val="20"/>
                <w:szCs w:val="20"/>
                <w:color w:val="auto"/>
              </w:rPr>
            </w:pPr>
            <w:r>
              <w:rPr>
                <w:rFonts w:ascii="Arial" w:cs="Arial" w:eastAsia="Arial" w:hAnsi="Arial"/>
                <w:sz w:val="16"/>
                <w:szCs w:val="16"/>
                <w:color w:val="auto"/>
              </w:rPr>
              <w:t>Balance, at March 31, 2021</w:t>
            </w:r>
          </w:p>
        </w:tc>
        <w:tc>
          <w:tcPr>
            <w:tcW w:w="800" w:type="dxa"/>
            <w:vAlign w:val="bottom"/>
            <w:shd w:val="clear" w:color="auto" w:fill="000000"/>
          </w:tcPr>
          <w:p>
            <w:pPr>
              <w:spacing w:after="0" w:line="20" w:lineRule="exact"/>
              <w:rPr>
                <w:sz w:val="1"/>
                <w:szCs w:val="1"/>
                <w:color w:val="auto"/>
              </w:rPr>
            </w:pPr>
          </w:p>
        </w:tc>
        <w:tc>
          <w:tcPr>
            <w:tcW w:w="260" w:type="dxa"/>
            <w:vAlign w:val="bottom"/>
            <w:tcBorders>
              <w:left w:val="single" w:sz="8" w:color="auto"/>
              <w:right w:val="single" w:sz="8" w:color="CFF0FC"/>
            </w:tcBorders>
            <w:shd w:val="clear" w:color="auto" w:fill="CFF0FC"/>
          </w:tcPr>
          <w:p>
            <w:pPr>
              <w:spacing w:after="0" w:line="20" w:lineRule="exact"/>
              <w:rPr>
                <w:sz w:val="1"/>
                <w:szCs w:val="1"/>
                <w:color w:val="auto"/>
              </w:rPr>
            </w:pPr>
          </w:p>
        </w:tc>
        <w:tc>
          <w:tcPr>
            <w:tcW w:w="300" w:type="dxa"/>
            <w:vAlign w:val="bottom"/>
            <w:shd w:val="clear" w:color="auto" w:fill="000000"/>
          </w:tcPr>
          <w:p>
            <w:pPr>
              <w:spacing w:after="0" w:line="20" w:lineRule="exact"/>
              <w:rPr>
                <w:sz w:val="1"/>
                <w:szCs w:val="1"/>
                <w:color w:val="auto"/>
              </w:rPr>
            </w:pPr>
          </w:p>
        </w:tc>
        <w:tc>
          <w:tcPr>
            <w:tcW w:w="300" w:type="dxa"/>
            <w:vAlign w:val="bottom"/>
            <w:shd w:val="clear" w:color="auto" w:fill="000000"/>
          </w:tcPr>
          <w:p>
            <w:pPr>
              <w:spacing w:after="0" w:line="20" w:lineRule="exact"/>
              <w:rPr>
                <w:sz w:val="1"/>
                <w:szCs w:val="1"/>
                <w:color w:val="auto"/>
              </w:rPr>
            </w:pPr>
          </w:p>
        </w:tc>
        <w:tc>
          <w:tcPr>
            <w:tcW w:w="240" w:type="dxa"/>
            <w:vAlign w:val="bottom"/>
            <w:shd w:val="clear" w:color="auto" w:fill="CFF0FC"/>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900" w:type="dxa"/>
            <w:vAlign w:val="bottom"/>
            <w:shd w:val="clear" w:color="auto" w:fill="000000"/>
          </w:tcPr>
          <w:p>
            <w:pPr>
              <w:spacing w:after="0" w:line="20" w:lineRule="exact"/>
              <w:rPr>
                <w:sz w:val="1"/>
                <w:szCs w:val="1"/>
                <w:color w:val="auto"/>
              </w:rPr>
            </w:pPr>
          </w:p>
        </w:tc>
        <w:tc>
          <w:tcPr>
            <w:tcW w:w="240" w:type="dxa"/>
            <w:vAlign w:val="bottom"/>
            <w:shd w:val="clear" w:color="auto" w:fill="CFF0FC"/>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880" w:type="dxa"/>
            <w:vAlign w:val="bottom"/>
            <w:shd w:val="clear" w:color="auto" w:fill="000000"/>
          </w:tcPr>
          <w:p>
            <w:pPr>
              <w:spacing w:after="0" w:line="20" w:lineRule="exact"/>
              <w:rPr>
                <w:sz w:val="1"/>
                <w:szCs w:val="1"/>
                <w:color w:val="auto"/>
              </w:rPr>
            </w:pPr>
          </w:p>
        </w:tc>
        <w:tc>
          <w:tcPr>
            <w:tcW w:w="260" w:type="dxa"/>
            <w:vAlign w:val="bottom"/>
            <w:tcBorders>
              <w:right w:val="single" w:sz="8" w:color="CFF0FC"/>
            </w:tcBorders>
            <w:shd w:val="clear" w:color="auto" w:fill="CFF0FC"/>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1140" w:type="dxa"/>
            <w:vAlign w:val="bottom"/>
            <w:shd w:val="clear" w:color="auto" w:fill="000000"/>
          </w:tcPr>
          <w:p>
            <w:pPr>
              <w:spacing w:after="0" w:line="20" w:lineRule="exact"/>
              <w:rPr>
                <w:sz w:val="1"/>
                <w:szCs w:val="1"/>
                <w:color w:val="auto"/>
              </w:rPr>
            </w:pPr>
          </w:p>
        </w:tc>
        <w:tc>
          <w:tcPr>
            <w:tcW w:w="140" w:type="dxa"/>
            <w:vAlign w:val="bottom"/>
            <w:tcBorders>
              <w:left w:val="single" w:sz="8" w:color="auto"/>
            </w:tcBorders>
            <w:shd w:val="clear" w:color="auto" w:fill="CFF0FC"/>
          </w:tcPr>
          <w:p>
            <w:pPr>
              <w:spacing w:after="0" w:line="20" w:lineRule="exact"/>
              <w:rPr>
                <w:sz w:val="1"/>
                <w:szCs w:val="1"/>
                <w:color w:val="auto"/>
              </w:rPr>
            </w:pPr>
          </w:p>
        </w:tc>
        <w:tc>
          <w:tcPr>
            <w:tcW w:w="120" w:type="dxa"/>
            <w:vAlign w:val="bottom"/>
            <w:tcBorders>
              <w:right w:val="single" w:sz="8" w:color="CFF0FC"/>
            </w:tcBorders>
            <w:shd w:val="clear" w:color="auto" w:fill="CFF0FC"/>
          </w:tcPr>
          <w:p>
            <w:pPr>
              <w:spacing w:after="0" w:line="20" w:lineRule="exact"/>
              <w:rPr>
                <w:sz w:val="1"/>
                <w:szCs w:val="1"/>
                <w:color w:val="auto"/>
              </w:rPr>
            </w:pPr>
          </w:p>
        </w:tc>
        <w:tc>
          <w:tcPr>
            <w:tcW w:w="560" w:type="dxa"/>
            <w:vAlign w:val="bottom"/>
            <w:gridSpan w:val="2"/>
            <w:shd w:val="clear" w:color="auto" w:fill="000000"/>
          </w:tcPr>
          <w:p>
            <w:pPr>
              <w:spacing w:after="0" w:line="20" w:lineRule="exact"/>
              <w:rPr>
                <w:sz w:val="1"/>
                <w:szCs w:val="1"/>
                <w:color w:val="auto"/>
              </w:rPr>
            </w:pPr>
          </w:p>
        </w:tc>
        <w:tc>
          <w:tcPr>
            <w:tcW w:w="260" w:type="dxa"/>
            <w:vAlign w:val="bottom"/>
            <w:tcBorders>
              <w:left w:val="single" w:sz="8" w:color="auto"/>
              <w:right w:val="single" w:sz="8" w:color="CFF0FC"/>
            </w:tcBorders>
            <w:shd w:val="clear" w:color="auto" w:fill="CFF0FC"/>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720" w:type="dxa"/>
            <w:vAlign w:val="bottom"/>
            <w:shd w:val="clear" w:color="auto" w:fill="000000"/>
          </w:tcPr>
          <w:p>
            <w:pPr>
              <w:spacing w:after="0" w:line="20" w:lineRule="exact"/>
              <w:rPr>
                <w:sz w:val="1"/>
                <w:szCs w:val="1"/>
                <w:color w:val="auto"/>
              </w:rPr>
            </w:pPr>
          </w:p>
        </w:tc>
        <w:tc>
          <w:tcPr>
            <w:tcW w:w="120" w:type="dxa"/>
            <w:vAlign w:val="bottom"/>
            <w:tcBorders>
              <w:left w:val="single" w:sz="8" w:color="auto"/>
            </w:tcBorders>
            <w:shd w:val="clear" w:color="auto" w:fill="CFF0FC"/>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9"/>
        </w:trPr>
        <w:tc>
          <w:tcPr>
            <w:tcW w:w="3460" w:type="dxa"/>
            <w:vAlign w:val="bottom"/>
            <w:tcBorders>
              <w:right w:val="single" w:sz="8" w:color="CFF0FC"/>
            </w:tcBorders>
            <w:vMerge w:val="continue"/>
            <w:shd w:val="clear" w:color="auto" w:fill="CFF0FC"/>
          </w:tcPr>
          <w:p>
            <w:pPr>
              <w:spacing w:after="0"/>
              <w:rPr>
                <w:sz w:val="18"/>
                <w:szCs w:val="18"/>
                <w:color w:val="auto"/>
              </w:rPr>
            </w:pPr>
          </w:p>
        </w:tc>
        <w:tc>
          <w:tcPr>
            <w:tcW w:w="800" w:type="dxa"/>
            <w:vAlign w:val="bottom"/>
            <w:shd w:val="clear" w:color="auto" w:fill="CFF0FC"/>
          </w:tcPr>
          <w:p>
            <w:pPr>
              <w:jc w:val="right"/>
              <w:spacing w:after="0"/>
              <w:rPr>
                <w:sz w:val="20"/>
                <w:szCs w:val="20"/>
                <w:color w:val="auto"/>
              </w:rPr>
            </w:pPr>
            <w:r>
              <w:rPr>
                <w:rFonts w:ascii="Arial" w:cs="Arial" w:eastAsia="Arial" w:hAnsi="Arial"/>
                <w:sz w:val="16"/>
                <w:szCs w:val="16"/>
                <w:color w:val="auto"/>
              </w:rPr>
              <w:t>264.7</w:t>
            </w:r>
          </w:p>
        </w:tc>
        <w:tc>
          <w:tcPr>
            <w:tcW w:w="560" w:type="dxa"/>
            <w:vAlign w:val="bottom"/>
            <w:tcBorders>
              <w:left w:val="single" w:sz="8" w:color="CFF0FC"/>
            </w:tcBorders>
            <w:gridSpan w:val="2"/>
            <w:shd w:val="clear" w:color="auto" w:fill="CFF0FC"/>
          </w:tcPr>
          <w:p>
            <w:pPr>
              <w:jc w:val="right"/>
              <w:ind w:right="155"/>
              <w:spacing w:after="0"/>
              <w:rPr>
                <w:sz w:val="20"/>
                <w:szCs w:val="20"/>
                <w:color w:val="auto"/>
              </w:rPr>
            </w:pPr>
            <w:r>
              <w:rPr>
                <w:rFonts w:ascii="Arial" w:cs="Arial" w:eastAsia="Arial" w:hAnsi="Arial"/>
                <w:sz w:val="16"/>
                <w:szCs w:val="16"/>
                <w:color w:val="auto"/>
              </w:rPr>
              <w:t>$</w:t>
            </w:r>
          </w:p>
        </w:tc>
        <w:tc>
          <w:tcPr>
            <w:tcW w:w="300" w:type="dxa"/>
            <w:vAlign w:val="bottom"/>
            <w:shd w:val="clear" w:color="auto" w:fill="CFF0FC"/>
          </w:tcPr>
          <w:p>
            <w:pPr>
              <w:jc w:val="right"/>
              <w:spacing w:after="0"/>
              <w:rPr>
                <w:sz w:val="20"/>
                <w:szCs w:val="20"/>
                <w:color w:val="auto"/>
              </w:rPr>
            </w:pPr>
            <w:r>
              <w:rPr>
                <w:rFonts w:ascii="Arial" w:cs="Arial" w:eastAsia="Arial" w:hAnsi="Arial"/>
                <w:sz w:val="16"/>
                <w:szCs w:val="16"/>
                <w:color w:val="auto"/>
              </w:rPr>
              <w:t>2.6</w:t>
            </w:r>
          </w:p>
        </w:tc>
        <w:tc>
          <w:tcPr>
            <w:tcW w:w="380" w:type="dxa"/>
            <w:vAlign w:val="bottom"/>
            <w:gridSpan w:val="2"/>
            <w:shd w:val="clear" w:color="auto" w:fill="CFF0FC"/>
          </w:tcPr>
          <w:p>
            <w:pPr>
              <w:jc w:val="right"/>
              <w:ind w:right="60"/>
              <w:spacing w:after="0"/>
              <w:rPr>
                <w:sz w:val="20"/>
                <w:szCs w:val="20"/>
                <w:color w:val="auto"/>
              </w:rPr>
            </w:pPr>
            <w:r>
              <w:rPr>
                <w:rFonts w:ascii="Arial" w:cs="Arial" w:eastAsia="Arial" w:hAnsi="Arial"/>
                <w:sz w:val="16"/>
                <w:szCs w:val="16"/>
                <w:color w:val="auto"/>
              </w:rPr>
              <w:t>$</w:t>
            </w:r>
          </w:p>
        </w:tc>
        <w:tc>
          <w:tcPr>
            <w:tcW w:w="900" w:type="dxa"/>
            <w:vAlign w:val="bottom"/>
            <w:shd w:val="clear" w:color="auto" w:fill="CFF0FC"/>
          </w:tcPr>
          <w:p>
            <w:pPr>
              <w:jc w:val="right"/>
              <w:spacing w:after="0"/>
              <w:rPr>
                <w:sz w:val="20"/>
                <w:szCs w:val="20"/>
                <w:color w:val="auto"/>
              </w:rPr>
            </w:pPr>
            <w:r>
              <w:rPr>
                <w:rFonts w:ascii="Arial" w:cs="Arial" w:eastAsia="Arial" w:hAnsi="Arial"/>
                <w:sz w:val="16"/>
                <w:szCs w:val="16"/>
                <w:color w:val="auto"/>
              </w:rPr>
              <w:t>4,600.5</w:t>
            </w:r>
          </w:p>
        </w:tc>
        <w:tc>
          <w:tcPr>
            <w:tcW w:w="400" w:type="dxa"/>
            <w:vAlign w:val="bottom"/>
            <w:gridSpan w:val="2"/>
            <w:shd w:val="clear" w:color="auto" w:fill="CFF0FC"/>
          </w:tcPr>
          <w:p>
            <w:pPr>
              <w:jc w:val="right"/>
              <w:ind w:right="60"/>
              <w:spacing w:after="0"/>
              <w:rPr>
                <w:sz w:val="20"/>
                <w:szCs w:val="20"/>
                <w:color w:val="auto"/>
              </w:rPr>
            </w:pPr>
            <w:r>
              <w:rPr>
                <w:rFonts w:ascii="Arial" w:cs="Arial" w:eastAsia="Arial" w:hAnsi="Arial"/>
                <w:sz w:val="16"/>
                <w:szCs w:val="16"/>
                <w:color w:val="auto"/>
              </w:rPr>
              <w:t>$</w:t>
            </w:r>
          </w:p>
        </w:tc>
        <w:tc>
          <w:tcPr>
            <w:tcW w:w="880" w:type="dxa"/>
            <w:vAlign w:val="bottom"/>
            <w:shd w:val="clear" w:color="auto" w:fill="CFF0FC"/>
          </w:tcPr>
          <w:p>
            <w:pPr>
              <w:jc w:val="right"/>
              <w:spacing w:after="0"/>
              <w:rPr>
                <w:sz w:val="20"/>
                <w:szCs w:val="20"/>
                <w:color w:val="auto"/>
              </w:rPr>
            </w:pPr>
            <w:r>
              <w:rPr>
                <w:rFonts w:ascii="Arial" w:cs="Arial" w:eastAsia="Arial" w:hAnsi="Arial"/>
                <w:sz w:val="16"/>
                <w:szCs w:val="16"/>
                <w:color w:val="auto"/>
              </w:rPr>
              <w:t>1,800.7</w:t>
            </w:r>
          </w:p>
        </w:tc>
        <w:tc>
          <w:tcPr>
            <w:tcW w:w="260" w:type="dxa"/>
            <w:vAlign w:val="bottom"/>
            <w:tcBorders>
              <w:right w:val="single" w:sz="8" w:color="CFF0FC"/>
            </w:tcBorders>
            <w:shd w:val="clear" w:color="auto" w:fill="CFF0FC"/>
          </w:tcPr>
          <w:p>
            <w:pPr>
              <w:spacing w:after="0"/>
              <w:rPr>
                <w:sz w:val="18"/>
                <w:szCs w:val="18"/>
                <w:color w:val="auto"/>
              </w:rPr>
            </w:pPr>
          </w:p>
        </w:tc>
        <w:tc>
          <w:tcPr>
            <w:tcW w:w="100" w:type="dxa"/>
            <w:vAlign w:val="bottom"/>
            <w:shd w:val="clear" w:color="auto" w:fill="CFF0FC"/>
          </w:tcPr>
          <w:p>
            <w:pPr>
              <w:jc w:val="right"/>
              <w:spacing w:after="0"/>
              <w:rPr>
                <w:sz w:val="20"/>
                <w:szCs w:val="20"/>
                <w:color w:val="auto"/>
              </w:rPr>
            </w:pPr>
            <w:r>
              <w:rPr>
                <w:rFonts w:ascii="Arial" w:cs="Arial" w:eastAsia="Arial" w:hAnsi="Arial"/>
                <w:sz w:val="15"/>
                <w:szCs w:val="15"/>
                <w:color w:val="auto"/>
                <w:w w:val="71"/>
              </w:rPr>
              <w:t>$</w:t>
            </w:r>
          </w:p>
        </w:tc>
        <w:tc>
          <w:tcPr>
            <w:tcW w:w="1280" w:type="dxa"/>
            <w:vAlign w:val="bottom"/>
            <w:gridSpan w:val="2"/>
            <w:shd w:val="clear" w:color="auto" w:fill="CFF0FC"/>
          </w:tcPr>
          <w:p>
            <w:pPr>
              <w:jc w:val="right"/>
              <w:ind w:right="80"/>
              <w:spacing w:after="0"/>
              <w:rPr>
                <w:sz w:val="20"/>
                <w:szCs w:val="20"/>
                <w:color w:val="auto"/>
              </w:rPr>
            </w:pPr>
            <w:r>
              <w:rPr>
                <w:rFonts w:ascii="Arial" w:cs="Arial" w:eastAsia="Arial" w:hAnsi="Arial"/>
                <w:sz w:val="16"/>
                <w:szCs w:val="16"/>
                <w:color w:val="auto"/>
              </w:rPr>
              <w:t>(192.1)</w:t>
            </w:r>
          </w:p>
        </w:tc>
        <w:tc>
          <w:tcPr>
            <w:tcW w:w="940" w:type="dxa"/>
            <w:vAlign w:val="bottom"/>
            <w:tcBorders>
              <w:right w:val="single" w:sz="8" w:color="CFF0FC"/>
            </w:tcBorders>
            <w:gridSpan w:val="4"/>
            <w:shd w:val="clear" w:color="auto" w:fill="CFF0FC"/>
          </w:tcPr>
          <w:p>
            <w:pPr>
              <w:jc w:val="right"/>
              <w:ind w:right="200"/>
              <w:spacing w:after="0"/>
              <w:rPr>
                <w:sz w:val="20"/>
                <w:szCs w:val="20"/>
                <w:color w:val="auto"/>
              </w:rPr>
            </w:pPr>
            <w:r>
              <w:rPr>
                <w:rFonts w:ascii="Arial" w:cs="Arial" w:eastAsia="Arial" w:hAnsi="Arial"/>
                <w:sz w:val="16"/>
                <w:szCs w:val="16"/>
                <w:color w:val="auto"/>
              </w:rPr>
              <w:t>$ (477.5)</w:t>
            </w:r>
          </w:p>
        </w:tc>
        <w:tc>
          <w:tcPr>
            <w:tcW w:w="140" w:type="dxa"/>
            <w:vAlign w:val="bottom"/>
            <w:shd w:val="clear" w:color="auto" w:fill="CFF0FC"/>
          </w:tcPr>
          <w:p>
            <w:pPr>
              <w:jc w:val="right"/>
              <w:spacing w:after="0"/>
              <w:rPr>
                <w:sz w:val="20"/>
                <w:szCs w:val="20"/>
                <w:color w:val="auto"/>
              </w:rPr>
            </w:pPr>
            <w:r>
              <w:rPr>
                <w:rFonts w:ascii="Arial" w:cs="Arial" w:eastAsia="Arial" w:hAnsi="Arial"/>
                <w:sz w:val="15"/>
                <w:szCs w:val="15"/>
                <w:color w:val="auto"/>
                <w:w w:val="71"/>
              </w:rPr>
              <w:t>$</w:t>
            </w:r>
          </w:p>
        </w:tc>
        <w:tc>
          <w:tcPr>
            <w:tcW w:w="720" w:type="dxa"/>
            <w:vAlign w:val="bottom"/>
            <w:shd w:val="clear" w:color="auto" w:fill="CFF0FC"/>
          </w:tcPr>
          <w:p>
            <w:pPr>
              <w:jc w:val="right"/>
              <w:spacing w:after="0"/>
              <w:rPr>
                <w:sz w:val="20"/>
                <w:szCs w:val="20"/>
                <w:color w:val="auto"/>
              </w:rPr>
            </w:pPr>
            <w:r>
              <w:rPr>
                <w:rFonts w:ascii="Arial" w:cs="Arial" w:eastAsia="Arial" w:hAnsi="Arial"/>
                <w:sz w:val="16"/>
                <w:szCs w:val="16"/>
                <w:color w:val="auto"/>
              </w:rPr>
              <w:t>5,734.2</w:t>
            </w:r>
          </w:p>
        </w:tc>
        <w:tc>
          <w:tcPr>
            <w:tcW w:w="120" w:type="dxa"/>
            <w:vAlign w:val="bottom"/>
            <w:tcBorders>
              <w:left w:val="single" w:sz="8" w:color="CFF0FC"/>
            </w:tcBorders>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3460" w:type="dxa"/>
            <w:vAlign w:val="bottom"/>
            <w:tcBorders>
              <w:top w:val="single" w:sz="8" w:color="CFF0FC"/>
            </w:tcBorders>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Borders>
              <w:top w:val="single" w:sz="8" w:color="CFF0FC"/>
            </w:tcBorders>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Borders>
              <w:top w:val="single" w:sz="8" w:color="CFF0FC"/>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Borders>
              <w:top w:val="single" w:sz="8" w:color="CFF0FC"/>
            </w:tcBorders>
          </w:tcPr>
          <w:p>
            <w:pPr>
              <w:spacing w:after="0" w:line="20" w:lineRule="exact"/>
              <w:rPr>
                <w:sz w:val="1"/>
                <w:szCs w:val="1"/>
                <w:color w:val="auto"/>
              </w:rPr>
            </w:pPr>
          </w:p>
        </w:tc>
        <w:tc>
          <w:tcPr>
            <w:tcW w:w="1040" w:type="dxa"/>
            <w:vAlign w:val="bottom"/>
            <w:tcBorders>
              <w:top w:val="single" w:sz="8" w:color="auto"/>
              <w:bottom w:val="single" w:sz="8" w:color="auto"/>
            </w:tcBorders>
            <w:gridSpan w:val="2"/>
          </w:tcPr>
          <w:p>
            <w:pPr>
              <w:spacing w:after="0" w:line="20" w:lineRule="exact"/>
              <w:rPr>
                <w:sz w:val="1"/>
                <w:szCs w:val="1"/>
                <w:color w:val="auto"/>
              </w:rPr>
            </w:pPr>
          </w:p>
        </w:tc>
        <w:tc>
          <w:tcPr>
            <w:tcW w:w="260" w:type="dxa"/>
            <w:vAlign w:val="bottom"/>
            <w:tcBorders>
              <w:top w:val="single" w:sz="8" w:color="CFF0FC"/>
            </w:tcBorders>
          </w:tcPr>
          <w:p>
            <w:pPr>
              <w:spacing w:after="0" w:line="20" w:lineRule="exact"/>
              <w:rPr>
                <w:sz w:val="1"/>
                <w:szCs w:val="1"/>
                <w:color w:val="auto"/>
              </w:rPr>
            </w:pPr>
          </w:p>
        </w:tc>
        <w:tc>
          <w:tcPr>
            <w:tcW w:w="1240" w:type="dxa"/>
            <w:vAlign w:val="bottom"/>
            <w:tcBorders>
              <w:top w:val="single" w:sz="8" w:color="auto"/>
              <w:bottom w:val="single" w:sz="8" w:color="auto"/>
            </w:tcBorders>
            <w:gridSpan w:val="2"/>
          </w:tcPr>
          <w:p>
            <w:pPr>
              <w:spacing w:after="0" w:line="20" w:lineRule="exact"/>
              <w:rPr>
                <w:sz w:val="1"/>
                <w:szCs w:val="1"/>
                <w:color w:val="auto"/>
              </w:rPr>
            </w:pPr>
          </w:p>
        </w:tc>
        <w:tc>
          <w:tcPr>
            <w:tcW w:w="140" w:type="dxa"/>
            <w:vAlign w:val="bottom"/>
            <w:tcBorders>
              <w:top w:val="single" w:sz="8" w:color="CFF0FC"/>
            </w:tcBorders>
          </w:tcPr>
          <w:p>
            <w:pPr>
              <w:spacing w:after="0" w:line="20" w:lineRule="exact"/>
              <w:rPr>
                <w:sz w:val="1"/>
                <w:szCs w:val="1"/>
                <w:color w:val="auto"/>
              </w:rPr>
            </w:pPr>
          </w:p>
        </w:tc>
        <w:tc>
          <w:tcPr>
            <w:tcW w:w="120" w:type="dxa"/>
            <w:vAlign w:val="bottom"/>
            <w:tcBorders>
              <w:top w:val="single" w:sz="8" w:color="CFF0FC"/>
            </w:tcBorders>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48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Borders>
              <w:top w:val="single" w:sz="8" w:color="CFF0FC"/>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FF0F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618"/>
        </w:trPr>
        <w:tc>
          <w:tcPr>
            <w:tcW w:w="3460" w:type="dxa"/>
            <w:vAlign w:val="bottom"/>
          </w:tcPr>
          <w:p>
            <w:pPr>
              <w:spacing w:after="0"/>
              <w:rPr>
                <w:sz w:val="24"/>
                <w:szCs w:val="24"/>
                <w:color w:val="auto"/>
              </w:rPr>
            </w:pPr>
          </w:p>
        </w:tc>
        <w:tc>
          <w:tcPr>
            <w:tcW w:w="800" w:type="dxa"/>
            <w:vAlign w:val="bottom"/>
            <w:tcBorders>
              <w:bottom w:val="single" w:sz="8" w:color="auto"/>
            </w:tcBorders>
          </w:tcPr>
          <w:p>
            <w:pPr>
              <w:spacing w:after="0"/>
              <w:rPr>
                <w:sz w:val="24"/>
                <w:szCs w:val="24"/>
                <w:color w:val="auto"/>
              </w:rPr>
            </w:pPr>
          </w:p>
        </w:tc>
        <w:tc>
          <w:tcPr>
            <w:tcW w:w="260" w:type="dxa"/>
            <w:vAlign w:val="bottom"/>
            <w:tcBorders>
              <w:bottom w:val="single" w:sz="8" w:color="auto"/>
            </w:tcBorders>
          </w:tcPr>
          <w:p>
            <w:pPr>
              <w:spacing w:after="0"/>
              <w:rPr>
                <w:sz w:val="24"/>
                <w:szCs w:val="24"/>
                <w:color w:val="auto"/>
              </w:rPr>
            </w:pPr>
          </w:p>
        </w:tc>
        <w:tc>
          <w:tcPr>
            <w:tcW w:w="300" w:type="dxa"/>
            <w:vAlign w:val="bottom"/>
            <w:tcBorders>
              <w:bottom w:val="single" w:sz="8" w:color="auto"/>
            </w:tcBorders>
          </w:tcPr>
          <w:p>
            <w:pPr>
              <w:spacing w:after="0"/>
              <w:rPr>
                <w:sz w:val="24"/>
                <w:szCs w:val="24"/>
                <w:color w:val="auto"/>
              </w:rPr>
            </w:pPr>
          </w:p>
        </w:tc>
        <w:tc>
          <w:tcPr>
            <w:tcW w:w="300" w:type="dxa"/>
            <w:vAlign w:val="bottom"/>
            <w:tcBorders>
              <w:bottom w:val="single" w:sz="8" w:color="auto"/>
            </w:tcBorders>
          </w:tcPr>
          <w:p>
            <w:pPr>
              <w:spacing w:after="0"/>
              <w:rPr>
                <w:sz w:val="24"/>
                <w:szCs w:val="24"/>
                <w:color w:val="auto"/>
              </w:rPr>
            </w:pPr>
          </w:p>
        </w:tc>
        <w:tc>
          <w:tcPr>
            <w:tcW w:w="240" w:type="dxa"/>
            <w:vAlign w:val="bottom"/>
            <w:tcBorders>
              <w:bottom w:val="single" w:sz="8" w:color="auto"/>
            </w:tcBorders>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3820" w:type="dxa"/>
            <w:vAlign w:val="bottom"/>
            <w:tcBorders>
              <w:bottom w:val="single" w:sz="8" w:color="auto"/>
            </w:tcBorders>
            <w:gridSpan w:val="8"/>
          </w:tcPr>
          <w:p>
            <w:pPr>
              <w:jc w:val="right"/>
              <w:ind w:right="900"/>
              <w:spacing w:after="0"/>
              <w:rPr>
                <w:sz w:val="20"/>
                <w:szCs w:val="20"/>
                <w:color w:val="auto"/>
              </w:rPr>
            </w:pPr>
            <w:r>
              <w:rPr>
                <w:rFonts w:ascii="Arial" w:cs="Arial" w:eastAsia="Arial" w:hAnsi="Arial"/>
                <w:sz w:val="14"/>
                <w:szCs w:val="14"/>
                <w:b w:val="1"/>
                <w:bCs w:val="1"/>
                <w:color w:val="auto"/>
              </w:rPr>
              <w:t>Three Months Ended March 31, 2020</w:t>
            </w:r>
          </w:p>
        </w:tc>
        <w:tc>
          <w:tcPr>
            <w:tcW w:w="120" w:type="dxa"/>
            <w:vAlign w:val="bottom"/>
            <w:tcBorders>
              <w:bottom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480" w:type="dxa"/>
            <w:vAlign w:val="bottom"/>
            <w:tcBorders>
              <w:bottom w:val="single" w:sz="8" w:color="auto"/>
            </w:tcBorders>
          </w:tcPr>
          <w:p>
            <w:pPr>
              <w:spacing w:after="0"/>
              <w:rPr>
                <w:sz w:val="24"/>
                <w:szCs w:val="24"/>
                <w:color w:val="auto"/>
              </w:rPr>
            </w:pPr>
          </w:p>
        </w:tc>
        <w:tc>
          <w:tcPr>
            <w:tcW w:w="260" w:type="dxa"/>
            <w:vAlign w:val="bottom"/>
            <w:tcBorders>
              <w:bottom w:val="single" w:sz="8" w:color="auto"/>
            </w:tcBorders>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720" w:type="dxa"/>
            <w:vAlign w:val="bottom"/>
            <w:tcBorders>
              <w:bottom w:val="single" w:sz="8" w:color="auto"/>
            </w:tcBorders>
          </w:tcPr>
          <w:p>
            <w:pPr>
              <w:spacing w:after="0"/>
              <w:rPr>
                <w:sz w:val="24"/>
                <w:szCs w:val="24"/>
                <w:color w:val="auto"/>
              </w:rPr>
            </w:pPr>
          </w:p>
        </w:tc>
        <w:tc>
          <w:tcPr>
            <w:tcW w:w="1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37"/>
        </w:trPr>
        <w:tc>
          <w:tcPr>
            <w:tcW w:w="3460" w:type="dxa"/>
            <w:vAlign w:val="bottom"/>
          </w:tcPr>
          <w:p>
            <w:pPr>
              <w:spacing w:after="0"/>
              <w:rPr>
                <w:sz w:val="20"/>
                <w:szCs w:val="20"/>
                <w:color w:val="auto"/>
              </w:rPr>
            </w:pPr>
          </w:p>
        </w:tc>
        <w:tc>
          <w:tcPr>
            <w:tcW w:w="1360" w:type="dxa"/>
            <w:vAlign w:val="bottom"/>
            <w:tcBorders>
              <w:bottom w:val="single" w:sz="8" w:color="auto"/>
            </w:tcBorders>
            <w:gridSpan w:val="3"/>
          </w:tcPr>
          <w:p>
            <w:pPr>
              <w:jc w:val="right"/>
              <w:ind w:right="15"/>
              <w:spacing w:after="0"/>
              <w:rPr>
                <w:sz w:val="20"/>
                <w:szCs w:val="20"/>
                <w:color w:val="auto"/>
              </w:rPr>
            </w:pPr>
            <w:r>
              <w:rPr>
                <w:rFonts w:ascii="Arial" w:cs="Arial" w:eastAsia="Arial" w:hAnsi="Arial"/>
                <w:sz w:val="14"/>
                <w:szCs w:val="14"/>
                <w:b w:val="1"/>
                <w:bCs w:val="1"/>
                <w:color w:val="auto"/>
              </w:rPr>
              <w:t>Common Stock</w:t>
            </w:r>
          </w:p>
        </w:tc>
        <w:tc>
          <w:tcPr>
            <w:tcW w:w="300" w:type="dxa"/>
            <w:vAlign w:val="bottom"/>
            <w:tcBorders>
              <w:bottom w:val="single" w:sz="8" w:color="auto"/>
            </w:tcBorders>
          </w:tcPr>
          <w:p>
            <w:pPr>
              <w:spacing w:after="0"/>
              <w:rPr>
                <w:sz w:val="20"/>
                <w:szCs w:val="20"/>
                <w:color w:val="auto"/>
              </w:rPr>
            </w:pPr>
          </w:p>
        </w:tc>
        <w:tc>
          <w:tcPr>
            <w:tcW w:w="24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90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88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280" w:type="dxa"/>
            <w:vAlign w:val="bottom"/>
            <w:gridSpan w:val="2"/>
            <w:vMerge w:val="restart"/>
          </w:tcPr>
          <w:p>
            <w:pPr>
              <w:jc w:val="center"/>
              <w:ind w:right="280"/>
              <w:spacing w:after="0"/>
              <w:rPr>
                <w:sz w:val="20"/>
                <w:szCs w:val="20"/>
                <w:color w:val="auto"/>
              </w:rPr>
            </w:pPr>
            <w:r>
              <w:rPr>
                <w:rFonts w:ascii="Arial" w:cs="Arial" w:eastAsia="Arial" w:hAnsi="Arial"/>
                <w:sz w:val="14"/>
                <w:szCs w:val="14"/>
                <w:b w:val="1"/>
                <w:bCs w:val="1"/>
                <w:color w:val="auto"/>
                <w:w w:val="90"/>
              </w:rPr>
              <w:t>Accumulated</w:t>
            </w:r>
          </w:p>
        </w:tc>
        <w:tc>
          <w:tcPr>
            <w:tcW w:w="1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48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146"/>
        </w:trPr>
        <w:tc>
          <w:tcPr>
            <w:tcW w:w="3460" w:type="dxa"/>
            <w:vAlign w:val="bottom"/>
          </w:tcPr>
          <w:p>
            <w:pPr>
              <w:spacing w:after="0"/>
              <w:rPr>
                <w:sz w:val="12"/>
                <w:szCs w:val="12"/>
                <w:color w:val="auto"/>
              </w:rPr>
            </w:pPr>
          </w:p>
        </w:tc>
        <w:tc>
          <w:tcPr>
            <w:tcW w:w="800" w:type="dxa"/>
            <w:vAlign w:val="bottom"/>
          </w:tcPr>
          <w:p>
            <w:pPr>
              <w:jc w:val="center"/>
              <w:spacing w:after="0" w:line="147" w:lineRule="exact"/>
              <w:rPr>
                <w:sz w:val="20"/>
                <w:szCs w:val="20"/>
                <w:color w:val="auto"/>
              </w:rPr>
            </w:pPr>
            <w:r>
              <w:rPr>
                <w:rFonts w:ascii="Arial" w:cs="Arial" w:eastAsia="Arial" w:hAnsi="Arial"/>
                <w:sz w:val="14"/>
                <w:szCs w:val="14"/>
                <w:b w:val="1"/>
                <w:bCs w:val="1"/>
                <w:color w:val="auto"/>
                <w:w w:val="98"/>
              </w:rPr>
              <w:t>Number</w:t>
            </w:r>
          </w:p>
        </w:tc>
        <w:tc>
          <w:tcPr>
            <w:tcW w:w="26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90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280" w:type="dxa"/>
            <w:vAlign w:val="bottom"/>
            <w:gridSpan w:val="2"/>
            <w:vMerge w:val="continue"/>
          </w:tcPr>
          <w:p>
            <w:pPr>
              <w:spacing w:after="0"/>
              <w:rPr>
                <w:sz w:val="12"/>
                <w:szCs w:val="12"/>
                <w:color w:val="auto"/>
              </w:rPr>
            </w:pPr>
          </w:p>
        </w:tc>
        <w:tc>
          <w:tcPr>
            <w:tcW w:w="1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62"/>
        </w:trPr>
        <w:tc>
          <w:tcPr>
            <w:tcW w:w="3460" w:type="dxa"/>
            <w:vAlign w:val="bottom"/>
          </w:tcPr>
          <w:p>
            <w:pPr>
              <w:spacing w:after="0"/>
              <w:rPr>
                <w:sz w:val="14"/>
                <w:szCs w:val="14"/>
                <w:color w:val="auto"/>
              </w:rPr>
            </w:pPr>
          </w:p>
        </w:tc>
        <w:tc>
          <w:tcPr>
            <w:tcW w:w="800" w:type="dxa"/>
            <w:vAlign w:val="bottom"/>
          </w:tcPr>
          <w:p>
            <w:pPr>
              <w:jc w:val="center"/>
              <w:spacing w:after="0"/>
              <w:rPr>
                <w:sz w:val="20"/>
                <w:szCs w:val="20"/>
                <w:color w:val="auto"/>
              </w:rPr>
            </w:pPr>
            <w:r>
              <w:rPr>
                <w:rFonts w:ascii="Arial" w:cs="Arial" w:eastAsia="Arial" w:hAnsi="Arial"/>
                <w:sz w:val="14"/>
                <w:szCs w:val="14"/>
                <w:b w:val="1"/>
                <w:bCs w:val="1"/>
                <w:color w:val="auto"/>
                <w:w w:val="90"/>
              </w:rPr>
              <w:t>of</w:t>
            </w:r>
          </w:p>
        </w:tc>
        <w:tc>
          <w:tcPr>
            <w:tcW w:w="26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900" w:type="dxa"/>
            <w:vAlign w:val="bottom"/>
          </w:tcPr>
          <w:p>
            <w:pPr>
              <w:jc w:val="center"/>
              <w:ind w:right="82"/>
              <w:spacing w:after="0"/>
              <w:rPr>
                <w:sz w:val="20"/>
                <w:szCs w:val="20"/>
                <w:color w:val="auto"/>
              </w:rPr>
            </w:pPr>
            <w:r>
              <w:rPr>
                <w:rFonts w:ascii="Arial" w:cs="Arial" w:eastAsia="Arial" w:hAnsi="Arial"/>
                <w:sz w:val="14"/>
                <w:szCs w:val="14"/>
                <w:b w:val="1"/>
                <w:bCs w:val="1"/>
                <w:color w:val="auto"/>
                <w:w w:val="96"/>
              </w:rPr>
              <w:t>Additional</w:t>
            </w:r>
          </w:p>
        </w:tc>
        <w:tc>
          <w:tcPr>
            <w:tcW w:w="24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280" w:type="dxa"/>
            <w:vAlign w:val="bottom"/>
            <w:gridSpan w:val="2"/>
          </w:tcPr>
          <w:p>
            <w:pPr>
              <w:jc w:val="center"/>
              <w:ind w:right="280"/>
              <w:spacing w:after="0"/>
              <w:rPr>
                <w:sz w:val="20"/>
                <w:szCs w:val="20"/>
                <w:color w:val="auto"/>
              </w:rPr>
            </w:pPr>
            <w:r>
              <w:rPr>
                <w:rFonts w:ascii="Arial" w:cs="Arial" w:eastAsia="Arial" w:hAnsi="Arial"/>
                <w:sz w:val="14"/>
                <w:szCs w:val="14"/>
                <w:b w:val="1"/>
                <w:bCs w:val="1"/>
                <w:color w:val="auto"/>
                <w:w w:val="96"/>
              </w:rPr>
              <w:t>Other</w:t>
            </w:r>
          </w:p>
        </w:tc>
        <w:tc>
          <w:tcPr>
            <w:tcW w:w="1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840" w:type="dxa"/>
            <w:vAlign w:val="bottom"/>
            <w:gridSpan w:val="2"/>
          </w:tcPr>
          <w:p>
            <w:pPr>
              <w:jc w:val="center"/>
              <w:ind w:right="280"/>
              <w:spacing w:after="0"/>
              <w:rPr>
                <w:sz w:val="20"/>
                <w:szCs w:val="20"/>
                <w:color w:val="auto"/>
              </w:rPr>
            </w:pPr>
            <w:r>
              <w:rPr>
                <w:rFonts w:ascii="Arial" w:cs="Arial" w:eastAsia="Arial" w:hAnsi="Arial"/>
                <w:sz w:val="14"/>
                <w:szCs w:val="14"/>
                <w:b w:val="1"/>
                <w:bCs w:val="1"/>
                <w:color w:val="auto"/>
                <w:w w:val="95"/>
              </w:rPr>
              <w:t>Total</w:t>
            </w:r>
          </w:p>
        </w:tc>
        <w:tc>
          <w:tcPr>
            <w:tcW w:w="0" w:type="dxa"/>
            <w:vAlign w:val="bottom"/>
          </w:tcPr>
          <w:p>
            <w:pPr>
              <w:spacing w:after="0"/>
              <w:rPr>
                <w:sz w:val="1"/>
                <w:szCs w:val="1"/>
                <w:color w:val="auto"/>
              </w:rPr>
            </w:pPr>
          </w:p>
        </w:tc>
      </w:tr>
      <w:tr>
        <w:trPr>
          <w:trHeight w:val="162"/>
        </w:trPr>
        <w:tc>
          <w:tcPr>
            <w:tcW w:w="3460" w:type="dxa"/>
            <w:vAlign w:val="bottom"/>
          </w:tcPr>
          <w:p>
            <w:pPr>
              <w:spacing w:after="0"/>
              <w:rPr>
                <w:sz w:val="14"/>
                <w:szCs w:val="14"/>
                <w:color w:val="auto"/>
              </w:rPr>
            </w:pPr>
          </w:p>
        </w:tc>
        <w:tc>
          <w:tcPr>
            <w:tcW w:w="800" w:type="dxa"/>
            <w:vAlign w:val="bottom"/>
          </w:tcPr>
          <w:p>
            <w:pPr>
              <w:jc w:val="center"/>
              <w:spacing w:after="0"/>
              <w:rPr>
                <w:sz w:val="20"/>
                <w:szCs w:val="20"/>
                <w:color w:val="auto"/>
              </w:rPr>
            </w:pPr>
            <w:r>
              <w:rPr>
                <w:rFonts w:ascii="Arial" w:cs="Arial" w:eastAsia="Arial" w:hAnsi="Arial"/>
                <w:sz w:val="14"/>
                <w:szCs w:val="14"/>
                <w:b w:val="1"/>
                <w:bCs w:val="1"/>
                <w:color w:val="auto"/>
                <w:w w:val="90"/>
              </w:rPr>
              <w:t>Issued</w:t>
            </w:r>
          </w:p>
        </w:tc>
        <w:tc>
          <w:tcPr>
            <w:tcW w:w="26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900" w:type="dxa"/>
            <w:vAlign w:val="bottom"/>
          </w:tcPr>
          <w:p>
            <w:pPr>
              <w:jc w:val="center"/>
              <w:ind w:right="82"/>
              <w:spacing w:after="0"/>
              <w:rPr>
                <w:sz w:val="20"/>
                <w:szCs w:val="20"/>
                <w:color w:val="auto"/>
              </w:rPr>
            </w:pPr>
            <w:r>
              <w:rPr>
                <w:rFonts w:ascii="Arial" w:cs="Arial" w:eastAsia="Arial" w:hAnsi="Arial"/>
                <w:sz w:val="14"/>
                <w:szCs w:val="14"/>
                <w:b w:val="1"/>
                <w:bCs w:val="1"/>
                <w:color w:val="auto"/>
                <w:w w:val="98"/>
              </w:rPr>
              <w:t>Paid-in</w:t>
            </w:r>
          </w:p>
        </w:tc>
        <w:tc>
          <w:tcPr>
            <w:tcW w:w="24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140" w:type="dxa"/>
            <w:vAlign w:val="bottom"/>
            <w:gridSpan w:val="2"/>
          </w:tcPr>
          <w:p>
            <w:pPr>
              <w:ind w:left="80"/>
              <w:spacing w:after="0"/>
              <w:rPr>
                <w:sz w:val="20"/>
                <w:szCs w:val="20"/>
                <w:color w:val="auto"/>
              </w:rPr>
            </w:pPr>
            <w:r>
              <w:rPr>
                <w:rFonts w:ascii="Arial" w:cs="Arial" w:eastAsia="Arial" w:hAnsi="Arial"/>
                <w:sz w:val="14"/>
                <w:szCs w:val="14"/>
                <w:b w:val="1"/>
                <w:bCs w:val="1"/>
                <w:color w:val="auto"/>
              </w:rPr>
              <w:t>Retained</w:t>
            </w:r>
          </w:p>
        </w:tc>
        <w:tc>
          <w:tcPr>
            <w:tcW w:w="100" w:type="dxa"/>
            <w:vAlign w:val="bottom"/>
          </w:tcPr>
          <w:p>
            <w:pPr>
              <w:spacing w:after="0"/>
              <w:rPr>
                <w:sz w:val="14"/>
                <w:szCs w:val="14"/>
                <w:color w:val="auto"/>
              </w:rPr>
            </w:pPr>
          </w:p>
        </w:tc>
        <w:tc>
          <w:tcPr>
            <w:tcW w:w="1280" w:type="dxa"/>
            <w:vAlign w:val="bottom"/>
            <w:gridSpan w:val="2"/>
          </w:tcPr>
          <w:p>
            <w:pPr>
              <w:jc w:val="center"/>
              <w:ind w:right="280"/>
              <w:spacing w:after="0"/>
              <w:rPr>
                <w:sz w:val="20"/>
                <w:szCs w:val="20"/>
                <w:color w:val="auto"/>
              </w:rPr>
            </w:pPr>
            <w:r>
              <w:rPr>
                <w:rFonts w:ascii="Arial" w:cs="Arial" w:eastAsia="Arial" w:hAnsi="Arial"/>
                <w:sz w:val="14"/>
                <w:szCs w:val="14"/>
                <w:b w:val="1"/>
                <w:bCs w:val="1"/>
                <w:color w:val="auto"/>
                <w:w w:val="91"/>
              </w:rPr>
              <w:t>Comprehensive</w:t>
            </w:r>
          </w:p>
        </w:tc>
        <w:tc>
          <w:tcPr>
            <w:tcW w:w="120" w:type="dxa"/>
            <w:vAlign w:val="bottom"/>
          </w:tcPr>
          <w:p>
            <w:pPr>
              <w:spacing w:after="0"/>
              <w:rPr>
                <w:sz w:val="14"/>
                <w:szCs w:val="14"/>
                <w:color w:val="auto"/>
              </w:rPr>
            </w:pPr>
          </w:p>
        </w:tc>
        <w:tc>
          <w:tcPr>
            <w:tcW w:w="820" w:type="dxa"/>
            <w:vAlign w:val="bottom"/>
            <w:gridSpan w:val="3"/>
          </w:tcPr>
          <w:p>
            <w:pPr>
              <w:jc w:val="center"/>
              <w:ind w:right="280"/>
              <w:spacing w:after="0"/>
              <w:rPr>
                <w:sz w:val="20"/>
                <w:szCs w:val="20"/>
                <w:color w:val="auto"/>
              </w:rPr>
            </w:pPr>
            <w:r>
              <w:rPr>
                <w:rFonts w:ascii="Arial" w:cs="Arial" w:eastAsia="Arial" w:hAnsi="Arial"/>
                <w:sz w:val="14"/>
                <w:szCs w:val="14"/>
                <w:b w:val="1"/>
                <w:bCs w:val="1"/>
                <w:color w:val="auto"/>
                <w:w w:val="91"/>
              </w:rPr>
              <w:t>Treasury</w:t>
            </w:r>
          </w:p>
        </w:tc>
        <w:tc>
          <w:tcPr>
            <w:tcW w:w="980" w:type="dxa"/>
            <w:vAlign w:val="bottom"/>
            <w:gridSpan w:val="3"/>
          </w:tcPr>
          <w:p>
            <w:pPr>
              <w:jc w:val="center"/>
              <w:ind w:right="140"/>
              <w:spacing w:after="0"/>
              <w:rPr>
                <w:sz w:val="20"/>
                <w:szCs w:val="20"/>
                <w:color w:val="auto"/>
              </w:rPr>
            </w:pPr>
            <w:r>
              <w:rPr>
                <w:rFonts w:ascii="Arial" w:cs="Arial" w:eastAsia="Arial" w:hAnsi="Arial"/>
                <w:sz w:val="14"/>
                <w:szCs w:val="14"/>
                <w:b w:val="1"/>
                <w:bCs w:val="1"/>
                <w:color w:val="auto"/>
                <w:w w:val="90"/>
              </w:rPr>
              <w:t>Stockholders’</w:t>
            </w:r>
          </w:p>
        </w:tc>
        <w:tc>
          <w:tcPr>
            <w:tcW w:w="0" w:type="dxa"/>
            <w:vAlign w:val="bottom"/>
          </w:tcPr>
          <w:p>
            <w:pPr>
              <w:spacing w:after="0"/>
              <w:rPr>
                <w:sz w:val="1"/>
                <w:szCs w:val="1"/>
                <w:color w:val="auto"/>
              </w:rPr>
            </w:pPr>
          </w:p>
        </w:tc>
      </w:tr>
      <w:tr>
        <w:trPr>
          <w:trHeight w:val="171"/>
        </w:trPr>
        <w:tc>
          <w:tcPr>
            <w:tcW w:w="3460" w:type="dxa"/>
            <w:vAlign w:val="bottom"/>
            <w:tcBorders>
              <w:bottom w:val="single" w:sz="8" w:color="CFF0FC"/>
            </w:tcBorders>
          </w:tcPr>
          <w:p>
            <w:pPr>
              <w:spacing w:after="0"/>
              <w:rPr>
                <w:sz w:val="14"/>
                <w:szCs w:val="14"/>
                <w:color w:val="auto"/>
              </w:rPr>
            </w:pPr>
          </w:p>
        </w:tc>
        <w:tc>
          <w:tcPr>
            <w:tcW w:w="80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85"/>
              </w:rPr>
              <w:t>Shares</w:t>
            </w:r>
          </w:p>
        </w:tc>
        <w:tc>
          <w:tcPr>
            <w:tcW w:w="260" w:type="dxa"/>
            <w:vAlign w:val="bottom"/>
            <w:tcBorders>
              <w:bottom w:val="single" w:sz="8" w:color="CFF0FC"/>
            </w:tcBorders>
          </w:tcPr>
          <w:p>
            <w:pPr>
              <w:spacing w:after="0"/>
              <w:rPr>
                <w:sz w:val="14"/>
                <w:szCs w:val="14"/>
                <w:color w:val="auto"/>
              </w:rPr>
            </w:pPr>
          </w:p>
        </w:tc>
        <w:tc>
          <w:tcPr>
            <w:tcW w:w="600" w:type="dxa"/>
            <w:vAlign w:val="bottom"/>
            <w:tcBorders>
              <w:bottom w:val="single" w:sz="8" w:color="auto"/>
            </w:tcBorders>
            <w:gridSpan w:val="2"/>
          </w:tcPr>
          <w:p>
            <w:pPr>
              <w:jc w:val="right"/>
              <w:spacing w:after="0"/>
              <w:rPr>
                <w:sz w:val="20"/>
                <w:szCs w:val="20"/>
                <w:color w:val="auto"/>
              </w:rPr>
            </w:pPr>
            <w:r>
              <w:rPr>
                <w:rFonts w:ascii="Arial" w:cs="Arial" w:eastAsia="Arial" w:hAnsi="Arial"/>
                <w:sz w:val="14"/>
                <w:szCs w:val="14"/>
                <w:b w:val="1"/>
                <w:bCs w:val="1"/>
                <w:color w:val="auto"/>
                <w:w w:val="98"/>
              </w:rPr>
              <w:t>Amount</w:t>
            </w:r>
          </w:p>
        </w:tc>
        <w:tc>
          <w:tcPr>
            <w:tcW w:w="240" w:type="dxa"/>
            <w:vAlign w:val="bottom"/>
            <w:tcBorders>
              <w:bottom w:val="single" w:sz="8" w:color="CFF0FC"/>
            </w:tcBorders>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900" w:type="dxa"/>
            <w:vAlign w:val="bottom"/>
            <w:tcBorders>
              <w:bottom w:val="single" w:sz="8" w:color="auto"/>
            </w:tcBorders>
          </w:tcPr>
          <w:p>
            <w:pPr>
              <w:jc w:val="center"/>
              <w:ind w:right="82"/>
              <w:spacing w:after="0"/>
              <w:rPr>
                <w:sz w:val="20"/>
                <w:szCs w:val="20"/>
                <w:color w:val="auto"/>
              </w:rPr>
            </w:pPr>
            <w:r>
              <w:rPr>
                <w:rFonts w:ascii="Arial" w:cs="Arial" w:eastAsia="Arial" w:hAnsi="Arial"/>
                <w:sz w:val="14"/>
                <w:szCs w:val="14"/>
                <w:b w:val="1"/>
                <w:bCs w:val="1"/>
                <w:color w:val="auto"/>
                <w:w w:val="98"/>
              </w:rPr>
              <w:t>Capital</w:t>
            </w:r>
          </w:p>
        </w:tc>
        <w:tc>
          <w:tcPr>
            <w:tcW w:w="240" w:type="dxa"/>
            <w:vAlign w:val="bottom"/>
            <w:tcBorders>
              <w:bottom w:val="single" w:sz="8" w:color="CFF0FC"/>
            </w:tcBorders>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880" w:type="dxa"/>
            <w:vAlign w:val="bottom"/>
            <w:tcBorders>
              <w:bottom w:val="single" w:sz="8" w:color="auto"/>
            </w:tcBorders>
          </w:tcPr>
          <w:p>
            <w:pPr>
              <w:ind w:left="60"/>
              <w:spacing w:after="0"/>
              <w:rPr>
                <w:sz w:val="20"/>
                <w:szCs w:val="20"/>
                <w:color w:val="auto"/>
              </w:rPr>
            </w:pPr>
            <w:r>
              <w:rPr>
                <w:rFonts w:ascii="Arial" w:cs="Arial" w:eastAsia="Arial" w:hAnsi="Arial"/>
                <w:sz w:val="14"/>
                <w:szCs w:val="14"/>
                <w:b w:val="1"/>
                <w:bCs w:val="1"/>
                <w:color w:val="auto"/>
              </w:rPr>
              <w:t>Earnings</w:t>
            </w:r>
          </w:p>
        </w:tc>
        <w:tc>
          <w:tcPr>
            <w:tcW w:w="260" w:type="dxa"/>
            <w:vAlign w:val="bottom"/>
            <w:tcBorders>
              <w:bottom w:val="single" w:sz="8" w:color="CFF0FC"/>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1140" w:type="dxa"/>
            <w:vAlign w:val="bottom"/>
            <w:tcBorders>
              <w:bottom w:val="single" w:sz="8" w:color="auto"/>
            </w:tcBorders>
          </w:tcPr>
          <w:p>
            <w:pPr>
              <w:jc w:val="center"/>
              <w:ind w:right="62"/>
              <w:spacing w:after="0"/>
              <w:rPr>
                <w:sz w:val="20"/>
                <w:szCs w:val="20"/>
                <w:color w:val="auto"/>
              </w:rPr>
            </w:pPr>
            <w:r>
              <w:rPr>
                <w:rFonts w:ascii="Arial" w:cs="Arial" w:eastAsia="Arial" w:hAnsi="Arial"/>
                <w:sz w:val="14"/>
                <w:szCs w:val="14"/>
                <w:b w:val="1"/>
                <w:bCs w:val="1"/>
                <w:color w:val="auto"/>
                <w:w w:val="85"/>
              </w:rPr>
              <w:t>Loss</w:t>
            </w:r>
          </w:p>
        </w:tc>
        <w:tc>
          <w:tcPr>
            <w:tcW w:w="140" w:type="dxa"/>
            <w:vAlign w:val="bottom"/>
            <w:tcBorders>
              <w:bottom w:val="single" w:sz="8" w:color="CFF0FC"/>
            </w:tcBorders>
          </w:tcPr>
          <w:p>
            <w:pPr>
              <w:spacing w:after="0"/>
              <w:rPr>
                <w:sz w:val="14"/>
                <w:szCs w:val="14"/>
                <w:color w:val="auto"/>
              </w:rPr>
            </w:pPr>
          </w:p>
        </w:tc>
        <w:tc>
          <w:tcPr>
            <w:tcW w:w="120" w:type="dxa"/>
            <w:vAlign w:val="bottom"/>
            <w:tcBorders>
              <w:bottom w:val="single" w:sz="8" w:color="CFF0FC"/>
            </w:tcBorders>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480" w:type="dxa"/>
            <w:vAlign w:val="bottom"/>
            <w:tcBorders>
              <w:bottom w:val="single" w:sz="8" w:color="auto"/>
            </w:tcBorders>
          </w:tcPr>
          <w:p>
            <w:pPr>
              <w:jc w:val="center"/>
              <w:ind w:right="40"/>
              <w:spacing w:after="0"/>
              <w:rPr>
                <w:sz w:val="20"/>
                <w:szCs w:val="20"/>
                <w:color w:val="auto"/>
              </w:rPr>
            </w:pPr>
            <w:r>
              <w:rPr>
                <w:rFonts w:ascii="Arial" w:cs="Arial" w:eastAsia="Arial" w:hAnsi="Arial"/>
                <w:sz w:val="14"/>
                <w:szCs w:val="14"/>
                <w:b w:val="1"/>
                <w:bCs w:val="1"/>
                <w:color w:val="auto"/>
                <w:w w:val="94"/>
              </w:rPr>
              <w:t>Stock</w:t>
            </w:r>
          </w:p>
        </w:tc>
        <w:tc>
          <w:tcPr>
            <w:tcW w:w="260" w:type="dxa"/>
            <w:vAlign w:val="bottom"/>
            <w:tcBorders>
              <w:bottom w:val="single" w:sz="8" w:color="CFF0FC"/>
            </w:tcBorders>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720" w:type="dxa"/>
            <w:vAlign w:val="bottom"/>
            <w:tcBorders>
              <w:bottom w:val="single" w:sz="8" w:color="auto"/>
            </w:tcBorders>
          </w:tcPr>
          <w:p>
            <w:pPr>
              <w:jc w:val="center"/>
              <w:ind w:right="101"/>
              <w:spacing w:after="0"/>
              <w:rPr>
                <w:sz w:val="20"/>
                <w:szCs w:val="20"/>
                <w:color w:val="auto"/>
              </w:rPr>
            </w:pPr>
            <w:r>
              <w:rPr>
                <w:rFonts w:ascii="Arial" w:cs="Arial" w:eastAsia="Arial" w:hAnsi="Arial"/>
                <w:sz w:val="14"/>
                <w:szCs w:val="14"/>
                <w:b w:val="1"/>
                <w:bCs w:val="1"/>
                <w:color w:val="auto"/>
                <w:w w:val="98"/>
              </w:rPr>
              <w:t>Equity</w:t>
            </w:r>
          </w:p>
        </w:tc>
        <w:tc>
          <w:tcPr>
            <w:tcW w:w="120" w:type="dxa"/>
            <w:vAlign w:val="bottom"/>
            <w:tcBorders>
              <w:bottom w:val="single" w:sz="8" w:color="CFF0FC"/>
            </w:tcBorders>
          </w:tcPr>
          <w:p>
            <w:pPr>
              <w:spacing w:after="0"/>
              <w:rPr>
                <w:sz w:val="14"/>
                <w:szCs w:val="14"/>
                <w:color w:val="auto"/>
              </w:rPr>
            </w:pPr>
          </w:p>
        </w:tc>
        <w:tc>
          <w:tcPr>
            <w:tcW w:w="0" w:type="dxa"/>
            <w:vAlign w:val="bottom"/>
          </w:tcPr>
          <w:p>
            <w:pPr>
              <w:spacing w:after="0"/>
              <w:rPr>
                <w:sz w:val="1"/>
                <w:szCs w:val="1"/>
                <w:color w:val="auto"/>
              </w:rPr>
            </w:pPr>
          </w:p>
        </w:tc>
      </w:tr>
      <w:tr>
        <w:trPr>
          <w:trHeight w:val="209"/>
        </w:trPr>
        <w:tc>
          <w:tcPr>
            <w:tcW w:w="3460" w:type="dxa"/>
            <w:vAlign w:val="bottom"/>
            <w:tcBorders>
              <w:right w:val="single" w:sz="8" w:color="CFF0FC"/>
            </w:tcBorders>
            <w:shd w:val="clear" w:color="auto" w:fill="CFF0FC"/>
          </w:tcPr>
          <w:p>
            <w:pPr>
              <w:spacing w:after="0"/>
              <w:rPr>
                <w:sz w:val="20"/>
                <w:szCs w:val="20"/>
                <w:color w:val="auto"/>
              </w:rPr>
            </w:pPr>
            <w:r>
              <w:rPr>
                <w:rFonts w:ascii="Arial" w:cs="Arial" w:eastAsia="Arial" w:hAnsi="Arial"/>
                <w:sz w:val="16"/>
                <w:szCs w:val="16"/>
                <w:color w:val="auto"/>
              </w:rPr>
              <w:t>Balance, at December 31, 2019</w:t>
            </w:r>
          </w:p>
        </w:tc>
        <w:tc>
          <w:tcPr>
            <w:tcW w:w="800" w:type="dxa"/>
            <w:vAlign w:val="bottom"/>
            <w:shd w:val="clear" w:color="auto" w:fill="CFF0FC"/>
          </w:tcPr>
          <w:p>
            <w:pPr>
              <w:jc w:val="right"/>
              <w:spacing w:after="0"/>
              <w:rPr>
                <w:sz w:val="20"/>
                <w:szCs w:val="20"/>
                <w:color w:val="auto"/>
              </w:rPr>
            </w:pPr>
            <w:r>
              <w:rPr>
                <w:rFonts w:ascii="Arial" w:cs="Arial" w:eastAsia="Arial" w:hAnsi="Arial"/>
                <w:sz w:val="16"/>
                <w:szCs w:val="16"/>
                <w:color w:val="auto"/>
              </w:rPr>
              <w:t>257.6</w:t>
            </w:r>
          </w:p>
        </w:tc>
        <w:tc>
          <w:tcPr>
            <w:tcW w:w="560" w:type="dxa"/>
            <w:vAlign w:val="bottom"/>
            <w:tcBorders>
              <w:left w:val="single" w:sz="8" w:color="CFF0FC"/>
            </w:tcBorders>
            <w:gridSpan w:val="2"/>
            <w:shd w:val="clear" w:color="auto" w:fill="CFF0FC"/>
          </w:tcPr>
          <w:p>
            <w:pPr>
              <w:jc w:val="right"/>
              <w:ind w:right="175"/>
              <w:spacing w:after="0"/>
              <w:rPr>
                <w:sz w:val="20"/>
                <w:szCs w:val="20"/>
                <w:color w:val="auto"/>
              </w:rPr>
            </w:pPr>
            <w:r>
              <w:rPr>
                <w:rFonts w:ascii="Arial" w:cs="Arial" w:eastAsia="Arial" w:hAnsi="Arial"/>
                <w:sz w:val="16"/>
                <w:szCs w:val="16"/>
                <w:color w:val="auto"/>
              </w:rPr>
              <w:t>$</w:t>
            </w:r>
          </w:p>
        </w:tc>
        <w:tc>
          <w:tcPr>
            <w:tcW w:w="300" w:type="dxa"/>
            <w:vAlign w:val="bottom"/>
            <w:shd w:val="clear" w:color="auto" w:fill="CFF0FC"/>
          </w:tcPr>
          <w:p>
            <w:pPr>
              <w:jc w:val="right"/>
              <w:spacing w:after="0"/>
              <w:rPr>
                <w:sz w:val="20"/>
                <w:szCs w:val="20"/>
                <w:color w:val="auto"/>
              </w:rPr>
            </w:pPr>
            <w:r>
              <w:rPr>
                <w:rFonts w:ascii="Arial" w:cs="Arial" w:eastAsia="Arial" w:hAnsi="Arial"/>
                <w:sz w:val="16"/>
                <w:szCs w:val="16"/>
                <w:color w:val="auto"/>
              </w:rPr>
              <w:t>2.6</w:t>
            </w:r>
          </w:p>
        </w:tc>
        <w:tc>
          <w:tcPr>
            <w:tcW w:w="380" w:type="dxa"/>
            <w:vAlign w:val="bottom"/>
            <w:gridSpan w:val="2"/>
            <w:shd w:val="clear" w:color="auto" w:fill="CFF0FC"/>
          </w:tcPr>
          <w:p>
            <w:pPr>
              <w:jc w:val="right"/>
              <w:ind w:right="60"/>
              <w:spacing w:after="0"/>
              <w:rPr>
                <w:sz w:val="20"/>
                <w:szCs w:val="20"/>
                <w:color w:val="auto"/>
              </w:rPr>
            </w:pPr>
            <w:r>
              <w:rPr>
                <w:rFonts w:ascii="Arial" w:cs="Arial" w:eastAsia="Arial" w:hAnsi="Arial"/>
                <w:sz w:val="16"/>
                <w:szCs w:val="16"/>
                <w:color w:val="auto"/>
              </w:rPr>
              <w:t>$</w:t>
            </w:r>
          </w:p>
        </w:tc>
        <w:tc>
          <w:tcPr>
            <w:tcW w:w="900" w:type="dxa"/>
            <w:vAlign w:val="bottom"/>
            <w:shd w:val="clear" w:color="auto" w:fill="CFF0FC"/>
          </w:tcPr>
          <w:p>
            <w:pPr>
              <w:jc w:val="right"/>
              <w:spacing w:after="0"/>
              <w:rPr>
                <w:sz w:val="20"/>
                <w:szCs w:val="20"/>
                <w:color w:val="auto"/>
              </w:rPr>
            </w:pPr>
            <w:r>
              <w:rPr>
                <w:rFonts w:ascii="Arial" w:cs="Arial" w:eastAsia="Arial" w:hAnsi="Arial"/>
                <w:sz w:val="16"/>
                <w:szCs w:val="16"/>
                <w:color w:val="auto"/>
              </w:rPr>
              <w:t>4,266.9</w:t>
            </w:r>
          </w:p>
        </w:tc>
        <w:tc>
          <w:tcPr>
            <w:tcW w:w="400" w:type="dxa"/>
            <w:vAlign w:val="bottom"/>
            <w:gridSpan w:val="2"/>
            <w:shd w:val="clear" w:color="auto" w:fill="CFF0FC"/>
          </w:tcPr>
          <w:p>
            <w:pPr>
              <w:jc w:val="right"/>
              <w:ind w:right="80"/>
              <w:spacing w:after="0"/>
              <w:rPr>
                <w:sz w:val="20"/>
                <w:szCs w:val="20"/>
                <w:color w:val="auto"/>
              </w:rPr>
            </w:pPr>
            <w:r>
              <w:rPr>
                <w:rFonts w:ascii="Arial" w:cs="Arial" w:eastAsia="Arial" w:hAnsi="Arial"/>
                <w:sz w:val="16"/>
                <w:szCs w:val="16"/>
                <w:color w:val="auto"/>
              </w:rPr>
              <w:t>$</w:t>
            </w:r>
          </w:p>
        </w:tc>
        <w:tc>
          <w:tcPr>
            <w:tcW w:w="880" w:type="dxa"/>
            <w:vAlign w:val="bottom"/>
            <w:shd w:val="clear" w:color="auto" w:fill="CFF0FC"/>
          </w:tcPr>
          <w:p>
            <w:pPr>
              <w:jc w:val="right"/>
              <w:spacing w:after="0"/>
              <w:rPr>
                <w:sz w:val="20"/>
                <w:szCs w:val="20"/>
                <w:color w:val="auto"/>
              </w:rPr>
            </w:pPr>
            <w:r>
              <w:rPr>
                <w:rFonts w:ascii="Arial" w:cs="Arial" w:eastAsia="Arial" w:hAnsi="Arial"/>
                <w:sz w:val="16"/>
                <w:szCs w:val="16"/>
                <w:color w:val="auto"/>
              </w:rPr>
              <w:t>1,177.9</w:t>
            </w:r>
          </w:p>
        </w:tc>
        <w:tc>
          <w:tcPr>
            <w:tcW w:w="260" w:type="dxa"/>
            <w:vAlign w:val="bottom"/>
            <w:tcBorders>
              <w:right w:val="single" w:sz="8" w:color="CFF0FC"/>
            </w:tcBorders>
            <w:shd w:val="clear" w:color="auto" w:fill="CFF0FC"/>
          </w:tcPr>
          <w:p>
            <w:pPr>
              <w:spacing w:after="0"/>
              <w:rPr>
                <w:sz w:val="18"/>
                <w:szCs w:val="18"/>
                <w:color w:val="auto"/>
              </w:rPr>
            </w:pPr>
          </w:p>
        </w:tc>
        <w:tc>
          <w:tcPr>
            <w:tcW w:w="100" w:type="dxa"/>
            <w:vAlign w:val="bottom"/>
            <w:shd w:val="clear" w:color="auto" w:fill="CFF0FC"/>
          </w:tcPr>
          <w:p>
            <w:pPr>
              <w:jc w:val="right"/>
              <w:spacing w:after="0"/>
              <w:rPr>
                <w:sz w:val="20"/>
                <w:szCs w:val="20"/>
                <w:color w:val="auto"/>
              </w:rPr>
            </w:pPr>
            <w:r>
              <w:rPr>
                <w:rFonts w:ascii="Arial" w:cs="Arial" w:eastAsia="Arial" w:hAnsi="Arial"/>
                <w:sz w:val="10"/>
                <w:szCs w:val="10"/>
                <w:color w:val="auto"/>
                <w:w w:val="71"/>
              </w:rPr>
              <w:t>$</w:t>
            </w:r>
          </w:p>
        </w:tc>
        <w:tc>
          <w:tcPr>
            <w:tcW w:w="1280" w:type="dxa"/>
            <w:vAlign w:val="bottom"/>
            <w:gridSpan w:val="2"/>
            <w:shd w:val="clear" w:color="auto" w:fill="CFF0FC"/>
          </w:tcPr>
          <w:p>
            <w:pPr>
              <w:jc w:val="right"/>
              <w:ind w:right="100"/>
              <w:spacing w:after="0"/>
              <w:rPr>
                <w:sz w:val="20"/>
                <w:szCs w:val="20"/>
                <w:color w:val="auto"/>
              </w:rPr>
            </w:pPr>
            <w:r>
              <w:rPr>
                <w:rFonts w:ascii="Arial" w:cs="Arial" w:eastAsia="Arial" w:hAnsi="Arial"/>
                <w:sz w:val="16"/>
                <w:szCs w:val="16"/>
                <w:color w:val="auto"/>
              </w:rPr>
              <w:t>(253.0)</w:t>
            </w:r>
          </w:p>
        </w:tc>
        <w:tc>
          <w:tcPr>
            <w:tcW w:w="200" w:type="dxa"/>
            <w:vAlign w:val="bottom"/>
            <w:gridSpan w:val="2"/>
            <w:shd w:val="clear" w:color="auto" w:fill="CFF0FC"/>
          </w:tcPr>
          <w:p>
            <w:pPr>
              <w:jc w:val="right"/>
              <w:spacing w:after="0"/>
              <w:rPr>
                <w:sz w:val="20"/>
                <w:szCs w:val="20"/>
                <w:color w:val="auto"/>
              </w:rPr>
            </w:pPr>
            <w:r>
              <w:rPr>
                <w:rFonts w:ascii="Arial" w:cs="Arial" w:eastAsia="Arial" w:hAnsi="Arial"/>
                <w:sz w:val="16"/>
                <w:szCs w:val="16"/>
                <w:color w:val="auto"/>
              </w:rPr>
              <w:t>$</w:t>
            </w:r>
          </w:p>
        </w:tc>
        <w:tc>
          <w:tcPr>
            <w:tcW w:w="740" w:type="dxa"/>
            <w:vAlign w:val="bottom"/>
            <w:tcBorders>
              <w:right w:val="single" w:sz="8" w:color="CFF0FC"/>
            </w:tcBorders>
            <w:gridSpan w:val="2"/>
            <w:shd w:val="clear" w:color="auto" w:fill="CFF0FC"/>
          </w:tcPr>
          <w:p>
            <w:pPr>
              <w:jc w:val="right"/>
              <w:ind w:right="200"/>
              <w:spacing w:after="0"/>
              <w:rPr>
                <w:sz w:val="20"/>
                <w:szCs w:val="20"/>
                <w:color w:val="auto"/>
              </w:rPr>
            </w:pPr>
            <w:r>
              <w:rPr>
                <w:rFonts w:ascii="Arial" w:cs="Arial" w:eastAsia="Arial" w:hAnsi="Arial"/>
                <w:sz w:val="16"/>
                <w:szCs w:val="16"/>
                <w:color w:val="auto"/>
              </w:rPr>
              <w:t>(78.3)</w:t>
            </w:r>
          </w:p>
        </w:tc>
        <w:tc>
          <w:tcPr>
            <w:tcW w:w="140" w:type="dxa"/>
            <w:vAlign w:val="bottom"/>
            <w:shd w:val="clear" w:color="auto" w:fill="CFF0FC"/>
          </w:tcPr>
          <w:p>
            <w:pPr>
              <w:jc w:val="right"/>
              <w:ind w:right="14"/>
              <w:spacing w:after="0"/>
              <w:rPr>
                <w:sz w:val="20"/>
                <w:szCs w:val="20"/>
                <w:color w:val="auto"/>
              </w:rPr>
            </w:pPr>
            <w:r>
              <w:rPr>
                <w:rFonts w:ascii="Arial" w:cs="Arial" w:eastAsia="Arial" w:hAnsi="Arial"/>
                <w:sz w:val="10"/>
                <w:szCs w:val="10"/>
                <w:color w:val="auto"/>
                <w:w w:val="71"/>
              </w:rPr>
              <w:t>$</w:t>
            </w:r>
          </w:p>
        </w:tc>
        <w:tc>
          <w:tcPr>
            <w:tcW w:w="720" w:type="dxa"/>
            <w:vAlign w:val="bottom"/>
            <w:shd w:val="clear" w:color="auto" w:fill="CFF0FC"/>
          </w:tcPr>
          <w:p>
            <w:pPr>
              <w:jc w:val="right"/>
              <w:spacing w:after="0"/>
              <w:rPr>
                <w:sz w:val="20"/>
                <w:szCs w:val="20"/>
                <w:color w:val="auto"/>
              </w:rPr>
            </w:pPr>
            <w:r>
              <w:rPr>
                <w:rFonts w:ascii="Arial" w:cs="Arial" w:eastAsia="Arial" w:hAnsi="Arial"/>
                <w:sz w:val="16"/>
                <w:szCs w:val="16"/>
                <w:color w:val="auto"/>
              </w:rPr>
              <w:t>5,116.1</w:t>
            </w:r>
          </w:p>
        </w:tc>
        <w:tc>
          <w:tcPr>
            <w:tcW w:w="120" w:type="dxa"/>
            <w:vAlign w:val="bottom"/>
            <w:tcBorders>
              <w:left w:val="single" w:sz="8" w:color="CFF0FC"/>
            </w:tcBorders>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3"/>
        </w:trPr>
        <w:tc>
          <w:tcPr>
            <w:tcW w:w="3460" w:type="dxa"/>
            <w:vAlign w:val="bottom"/>
          </w:tcPr>
          <w:p>
            <w:pPr>
              <w:ind w:left="140"/>
              <w:spacing w:after="0"/>
              <w:rPr>
                <w:sz w:val="20"/>
                <w:szCs w:val="20"/>
                <w:color w:val="auto"/>
              </w:rPr>
            </w:pPr>
            <w:r>
              <w:rPr>
                <w:rFonts w:ascii="Arial" w:cs="Arial" w:eastAsia="Arial" w:hAnsi="Arial"/>
                <w:sz w:val="16"/>
                <w:szCs w:val="16"/>
                <w:color w:val="auto"/>
              </w:rPr>
              <w:t>Net income</w:t>
            </w:r>
          </w:p>
        </w:tc>
        <w:tc>
          <w:tcPr>
            <w:tcW w:w="800" w:type="dxa"/>
            <w:vAlign w:val="bottom"/>
          </w:tcPr>
          <w:p>
            <w:pPr>
              <w:jc w:val="right"/>
              <w:spacing w:after="0"/>
              <w:rPr>
                <w:sz w:val="20"/>
                <w:szCs w:val="20"/>
                <w:color w:val="auto"/>
              </w:rPr>
            </w:pPr>
            <w:r>
              <w:rPr>
                <w:rFonts w:ascii="Arial" w:cs="Arial" w:eastAsia="Arial" w:hAnsi="Arial"/>
                <w:sz w:val="16"/>
                <w:szCs w:val="16"/>
                <w:color w:val="auto"/>
              </w:rPr>
              <w:t>—</w:t>
            </w:r>
          </w:p>
        </w:tc>
        <w:tc>
          <w:tcPr>
            <w:tcW w:w="26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300" w:type="dxa"/>
            <w:vAlign w:val="bottom"/>
          </w:tcPr>
          <w:p>
            <w:pPr>
              <w:jc w:val="right"/>
              <w:spacing w:after="0"/>
              <w:rPr>
                <w:sz w:val="20"/>
                <w:szCs w:val="20"/>
                <w:color w:val="auto"/>
              </w:rPr>
            </w:pPr>
            <w:r>
              <w:rPr>
                <w:rFonts w:ascii="Arial" w:cs="Arial" w:eastAsia="Arial" w:hAnsi="Arial"/>
                <w:sz w:val="16"/>
                <w:szCs w:val="16"/>
                <w:color w:val="auto"/>
              </w:rPr>
              <w:t>—</w:t>
            </w:r>
          </w:p>
        </w:tc>
        <w:tc>
          <w:tcPr>
            <w:tcW w:w="2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Arial" w:cs="Arial" w:eastAsia="Arial" w:hAnsi="Arial"/>
                <w:sz w:val="16"/>
                <w:szCs w:val="16"/>
                <w:color w:val="auto"/>
              </w:rPr>
              <w:t>—</w:t>
            </w:r>
          </w:p>
        </w:tc>
        <w:tc>
          <w:tcPr>
            <w:tcW w:w="2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Arial" w:cs="Arial" w:eastAsia="Arial" w:hAnsi="Arial"/>
                <w:sz w:val="16"/>
                <w:szCs w:val="16"/>
                <w:color w:val="auto"/>
              </w:rPr>
              <w:t>99.2</w:t>
            </w:r>
          </w:p>
        </w:tc>
        <w:tc>
          <w:tcPr>
            <w:tcW w:w="2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80" w:type="dxa"/>
            <w:vAlign w:val="bottom"/>
            <w:gridSpan w:val="2"/>
          </w:tcPr>
          <w:p>
            <w:pPr>
              <w:jc w:val="right"/>
              <w:ind w:right="160"/>
              <w:spacing w:after="0"/>
              <w:rPr>
                <w:sz w:val="20"/>
                <w:szCs w:val="20"/>
                <w:color w:val="auto"/>
              </w:rPr>
            </w:pPr>
            <w:r>
              <w:rPr>
                <w:rFonts w:ascii="Arial" w:cs="Arial" w:eastAsia="Arial" w:hAnsi="Arial"/>
                <w:sz w:val="16"/>
                <w:szCs w:val="16"/>
                <w:color w:val="auto"/>
              </w:rPr>
              <w:t>—</w:t>
            </w: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40" w:type="dxa"/>
            <w:vAlign w:val="bottom"/>
            <w:gridSpan w:val="2"/>
          </w:tcPr>
          <w:p>
            <w:pPr>
              <w:jc w:val="right"/>
              <w:ind w:right="280"/>
              <w:spacing w:after="0"/>
              <w:rPr>
                <w:sz w:val="20"/>
                <w:szCs w:val="20"/>
                <w:color w:val="auto"/>
              </w:rPr>
            </w:pPr>
            <w:r>
              <w:rPr>
                <w:rFonts w:ascii="Arial" w:cs="Arial" w:eastAsia="Arial" w:hAnsi="Arial"/>
                <w:sz w:val="16"/>
                <w:szCs w:val="16"/>
                <w:color w:val="auto"/>
              </w:rPr>
              <w:t>—</w:t>
            </w:r>
          </w:p>
        </w:tc>
        <w:tc>
          <w:tcPr>
            <w:tcW w:w="14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Arial" w:cs="Arial" w:eastAsia="Arial" w:hAnsi="Arial"/>
                <w:sz w:val="16"/>
                <w:szCs w:val="16"/>
                <w:color w:val="auto"/>
              </w:rPr>
              <w:t>99.2</w:t>
            </w: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9"/>
        </w:trPr>
        <w:tc>
          <w:tcPr>
            <w:tcW w:w="3460" w:type="dxa"/>
            <w:vAlign w:val="bottom"/>
            <w:tcBorders>
              <w:right w:val="single" w:sz="8" w:color="CFF0FC"/>
            </w:tcBorders>
            <w:shd w:val="clear" w:color="auto" w:fill="CFF0FC"/>
          </w:tcPr>
          <w:p>
            <w:pPr>
              <w:ind w:left="140"/>
              <w:spacing w:after="0"/>
              <w:rPr>
                <w:sz w:val="20"/>
                <w:szCs w:val="20"/>
                <w:color w:val="auto"/>
              </w:rPr>
            </w:pPr>
            <w:r>
              <w:rPr>
                <w:rFonts w:ascii="Arial" w:cs="Arial" w:eastAsia="Arial" w:hAnsi="Arial"/>
                <w:sz w:val="16"/>
                <w:szCs w:val="16"/>
                <w:color w:val="auto"/>
              </w:rPr>
              <w:t>Foreign exchange translation adjustment</w:t>
            </w:r>
          </w:p>
        </w:tc>
        <w:tc>
          <w:tcPr>
            <w:tcW w:w="800" w:type="dxa"/>
            <w:vAlign w:val="bottom"/>
            <w:shd w:val="clear" w:color="auto" w:fill="CFF0FC"/>
          </w:tcPr>
          <w:p>
            <w:pPr>
              <w:jc w:val="right"/>
              <w:spacing w:after="0"/>
              <w:rPr>
                <w:sz w:val="20"/>
                <w:szCs w:val="20"/>
                <w:color w:val="auto"/>
              </w:rPr>
            </w:pPr>
            <w:r>
              <w:rPr>
                <w:rFonts w:ascii="Arial" w:cs="Arial" w:eastAsia="Arial" w:hAnsi="Arial"/>
                <w:sz w:val="16"/>
                <w:szCs w:val="16"/>
                <w:color w:val="auto"/>
              </w:rPr>
              <w:t>—</w:t>
            </w:r>
          </w:p>
        </w:tc>
        <w:tc>
          <w:tcPr>
            <w:tcW w:w="260" w:type="dxa"/>
            <w:vAlign w:val="bottom"/>
            <w:tcBorders>
              <w:left w:val="single" w:sz="8" w:color="CFF0FC"/>
              <w:right w:val="single" w:sz="8" w:color="CFF0FC"/>
            </w:tcBorders>
            <w:shd w:val="clear" w:color="auto" w:fill="CFF0FC"/>
          </w:tcPr>
          <w:p>
            <w:pPr>
              <w:spacing w:after="0"/>
              <w:rPr>
                <w:sz w:val="19"/>
                <w:szCs w:val="19"/>
                <w:color w:val="auto"/>
              </w:rPr>
            </w:pPr>
          </w:p>
        </w:tc>
        <w:tc>
          <w:tcPr>
            <w:tcW w:w="300" w:type="dxa"/>
            <w:vAlign w:val="bottom"/>
            <w:shd w:val="clear" w:color="auto" w:fill="CFF0FC"/>
          </w:tcPr>
          <w:p>
            <w:pPr>
              <w:spacing w:after="0"/>
              <w:rPr>
                <w:sz w:val="19"/>
                <w:szCs w:val="19"/>
                <w:color w:val="auto"/>
              </w:rPr>
            </w:pPr>
          </w:p>
        </w:tc>
        <w:tc>
          <w:tcPr>
            <w:tcW w:w="300" w:type="dxa"/>
            <w:vAlign w:val="bottom"/>
            <w:shd w:val="clear" w:color="auto" w:fill="CFF0FC"/>
          </w:tcPr>
          <w:p>
            <w:pPr>
              <w:jc w:val="right"/>
              <w:spacing w:after="0"/>
              <w:rPr>
                <w:sz w:val="20"/>
                <w:szCs w:val="20"/>
                <w:color w:val="auto"/>
              </w:rPr>
            </w:pPr>
            <w:r>
              <w:rPr>
                <w:rFonts w:ascii="Arial" w:cs="Arial" w:eastAsia="Arial" w:hAnsi="Arial"/>
                <w:sz w:val="16"/>
                <w:szCs w:val="16"/>
                <w:color w:val="auto"/>
              </w:rPr>
              <w:t>—</w:t>
            </w:r>
          </w:p>
        </w:tc>
        <w:tc>
          <w:tcPr>
            <w:tcW w:w="24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900" w:type="dxa"/>
            <w:vAlign w:val="bottom"/>
            <w:shd w:val="clear" w:color="auto" w:fill="CFF0FC"/>
          </w:tcPr>
          <w:p>
            <w:pPr>
              <w:jc w:val="right"/>
              <w:spacing w:after="0"/>
              <w:rPr>
                <w:sz w:val="20"/>
                <w:szCs w:val="20"/>
                <w:color w:val="auto"/>
              </w:rPr>
            </w:pPr>
            <w:r>
              <w:rPr>
                <w:rFonts w:ascii="Arial" w:cs="Arial" w:eastAsia="Arial" w:hAnsi="Arial"/>
                <w:sz w:val="16"/>
                <w:szCs w:val="16"/>
                <w:color w:val="auto"/>
              </w:rPr>
              <w:t>—</w:t>
            </w:r>
          </w:p>
        </w:tc>
        <w:tc>
          <w:tcPr>
            <w:tcW w:w="24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1140" w:type="dxa"/>
            <w:vAlign w:val="bottom"/>
            <w:tcBorders>
              <w:right w:val="single" w:sz="8" w:color="CFF0FC"/>
            </w:tcBorders>
            <w:gridSpan w:val="2"/>
            <w:shd w:val="clear" w:color="auto" w:fill="CFF0FC"/>
          </w:tcPr>
          <w:p>
            <w:pPr>
              <w:jc w:val="right"/>
              <w:ind w:right="280"/>
              <w:spacing w:after="0"/>
              <w:rPr>
                <w:sz w:val="20"/>
                <w:szCs w:val="20"/>
                <w:color w:val="auto"/>
              </w:rPr>
            </w:pPr>
            <w:r>
              <w:rPr>
                <w:rFonts w:ascii="Arial" w:cs="Arial" w:eastAsia="Arial" w:hAnsi="Arial"/>
                <w:sz w:val="16"/>
                <w:szCs w:val="16"/>
                <w:color w:val="auto"/>
              </w:rPr>
              <w:t>—</w:t>
            </w:r>
          </w:p>
        </w:tc>
        <w:tc>
          <w:tcPr>
            <w:tcW w:w="100" w:type="dxa"/>
            <w:vAlign w:val="bottom"/>
            <w:shd w:val="clear" w:color="auto" w:fill="CFF0FC"/>
          </w:tcPr>
          <w:p>
            <w:pPr>
              <w:spacing w:after="0"/>
              <w:rPr>
                <w:sz w:val="19"/>
                <w:szCs w:val="19"/>
                <w:color w:val="auto"/>
              </w:rPr>
            </w:pPr>
          </w:p>
        </w:tc>
        <w:tc>
          <w:tcPr>
            <w:tcW w:w="1280" w:type="dxa"/>
            <w:vAlign w:val="bottom"/>
            <w:gridSpan w:val="2"/>
            <w:shd w:val="clear" w:color="auto" w:fill="CFF0FC"/>
          </w:tcPr>
          <w:p>
            <w:pPr>
              <w:jc w:val="right"/>
              <w:ind w:right="100"/>
              <w:spacing w:after="0"/>
              <w:rPr>
                <w:sz w:val="20"/>
                <w:szCs w:val="20"/>
                <w:color w:val="auto"/>
              </w:rPr>
            </w:pPr>
            <w:r>
              <w:rPr>
                <w:rFonts w:ascii="Arial" w:cs="Arial" w:eastAsia="Arial" w:hAnsi="Arial"/>
                <w:sz w:val="16"/>
                <w:szCs w:val="16"/>
                <w:color w:val="auto"/>
              </w:rPr>
              <w:t>(150.7)</w:t>
            </w:r>
          </w:p>
        </w:tc>
        <w:tc>
          <w:tcPr>
            <w:tcW w:w="120" w:type="dxa"/>
            <w:vAlign w:val="bottom"/>
            <w:tcBorders>
              <w:right w:val="single" w:sz="8" w:color="CFF0FC"/>
            </w:tcBorders>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740" w:type="dxa"/>
            <w:vAlign w:val="bottom"/>
            <w:tcBorders>
              <w:right w:val="single" w:sz="8" w:color="CFF0FC"/>
            </w:tcBorders>
            <w:gridSpan w:val="2"/>
            <w:shd w:val="clear" w:color="auto" w:fill="CFF0FC"/>
          </w:tcPr>
          <w:p>
            <w:pPr>
              <w:jc w:val="right"/>
              <w:ind w:right="280"/>
              <w:spacing w:after="0"/>
              <w:rPr>
                <w:sz w:val="20"/>
                <w:szCs w:val="20"/>
                <w:color w:val="auto"/>
              </w:rPr>
            </w:pPr>
            <w:r>
              <w:rPr>
                <w:rFonts w:ascii="Arial" w:cs="Arial" w:eastAsia="Arial" w:hAnsi="Arial"/>
                <w:sz w:val="16"/>
                <w:szCs w:val="16"/>
                <w:color w:val="auto"/>
              </w:rPr>
              <w:t>—</w:t>
            </w:r>
          </w:p>
        </w:tc>
        <w:tc>
          <w:tcPr>
            <w:tcW w:w="140" w:type="dxa"/>
            <w:vAlign w:val="bottom"/>
            <w:shd w:val="clear" w:color="auto" w:fill="CFF0FC"/>
          </w:tcPr>
          <w:p>
            <w:pPr>
              <w:spacing w:after="0"/>
              <w:rPr>
                <w:sz w:val="19"/>
                <w:szCs w:val="19"/>
                <w:color w:val="auto"/>
              </w:rPr>
            </w:pPr>
          </w:p>
        </w:tc>
        <w:tc>
          <w:tcPr>
            <w:tcW w:w="840" w:type="dxa"/>
            <w:vAlign w:val="bottom"/>
            <w:gridSpan w:val="2"/>
            <w:shd w:val="clear" w:color="auto" w:fill="CFF0FC"/>
          </w:tcPr>
          <w:p>
            <w:pPr>
              <w:jc w:val="right"/>
              <w:ind w:right="60"/>
              <w:spacing w:after="0"/>
              <w:rPr>
                <w:sz w:val="20"/>
                <w:szCs w:val="20"/>
                <w:color w:val="auto"/>
              </w:rPr>
            </w:pPr>
            <w:r>
              <w:rPr>
                <w:rFonts w:ascii="Arial" w:cs="Arial" w:eastAsia="Arial" w:hAnsi="Arial"/>
                <w:sz w:val="16"/>
                <w:szCs w:val="16"/>
                <w:color w:val="auto"/>
              </w:rPr>
              <w:t>(150.7)</w:t>
            </w:r>
          </w:p>
        </w:tc>
        <w:tc>
          <w:tcPr>
            <w:tcW w:w="0" w:type="dxa"/>
            <w:vAlign w:val="bottom"/>
          </w:tcPr>
          <w:p>
            <w:pPr>
              <w:spacing w:after="0"/>
              <w:rPr>
                <w:sz w:val="1"/>
                <w:szCs w:val="1"/>
                <w:color w:val="auto"/>
              </w:rPr>
            </w:pPr>
          </w:p>
        </w:tc>
      </w:tr>
      <w:tr>
        <w:trPr>
          <w:trHeight w:val="213"/>
        </w:trPr>
        <w:tc>
          <w:tcPr>
            <w:tcW w:w="3460" w:type="dxa"/>
            <w:vAlign w:val="bottom"/>
          </w:tcPr>
          <w:p>
            <w:pPr>
              <w:ind w:left="140"/>
              <w:spacing w:after="0"/>
              <w:rPr>
                <w:sz w:val="20"/>
                <w:szCs w:val="20"/>
                <w:color w:val="auto"/>
              </w:rPr>
            </w:pPr>
            <w:r>
              <w:rPr>
                <w:rFonts w:ascii="Arial" w:cs="Arial" w:eastAsia="Arial" w:hAnsi="Arial"/>
                <w:sz w:val="16"/>
                <w:szCs w:val="16"/>
                <w:color w:val="auto"/>
              </w:rPr>
              <w:t>Net change in interest rate swaps</w:t>
            </w:r>
          </w:p>
        </w:tc>
        <w:tc>
          <w:tcPr>
            <w:tcW w:w="800" w:type="dxa"/>
            <w:vAlign w:val="bottom"/>
          </w:tcPr>
          <w:p>
            <w:pPr>
              <w:jc w:val="right"/>
              <w:spacing w:after="0"/>
              <w:rPr>
                <w:sz w:val="20"/>
                <w:szCs w:val="20"/>
                <w:color w:val="auto"/>
              </w:rPr>
            </w:pPr>
            <w:r>
              <w:rPr>
                <w:rFonts w:ascii="Arial" w:cs="Arial" w:eastAsia="Arial" w:hAnsi="Arial"/>
                <w:sz w:val="16"/>
                <w:szCs w:val="16"/>
                <w:color w:val="auto"/>
              </w:rPr>
              <w:t>—</w:t>
            </w:r>
          </w:p>
        </w:tc>
        <w:tc>
          <w:tcPr>
            <w:tcW w:w="26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300" w:type="dxa"/>
            <w:vAlign w:val="bottom"/>
          </w:tcPr>
          <w:p>
            <w:pPr>
              <w:jc w:val="right"/>
              <w:spacing w:after="0"/>
              <w:rPr>
                <w:sz w:val="20"/>
                <w:szCs w:val="20"/>
                <w:color w:val="auto"/>
              </w:rPr>
            </w:pPr>
            <w:r>
              <w:rPr>
                <w:rFonts w:ascii="Arial" w:cs="Arial" w:eastAsia="Arial" w:hAnsi="Arial"/>
                <w:sz w:val="16"/>
                <w:szCs w:val="16"/>
                <w:color w:val="auto"/>
              </w:rPr>
              <w:t>—</w:t>
            </w:r>
          </w:p>
        </w:tc>
        <w:tc>
          <w:tcPr>
            <w:tcW w:w="2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Arial" w:cs="Arial" w:eastAsia="Arial" w:hAnsi="Arial"/>
                <w:sz w:val="16"/>
                <w:szCs w:val="16"/>
                <w:color w:val="auto"/>
              </w:rPr>
              <w:t>—</w:t>
            </w:r>
          </w:p>
        </w:tc>
        <w:tc>
          <w:tcPr>
            <w:tcW w:w="2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140" w:type="dxa"/>
            <w:vAlign w:val="bottom"/>
            <w:gridSpan w:val="2"/>
          </w:tcPr>
          <w:p>
            <w:pPr>
              <w:jc w:val="right"/>
              <w:ind w:right="280"/>
              <w:spacing w:after="0"/>
              <w:rPr>
                <w:sz w:val="20"/>
                <w:szCs w:val="20"/>
                <w:color w:val="auto"/>
              </w:rPr>
            </w:pPr>
            <w:r>
              <w:rPr>
                <w:rFonts w:ascii="Arial" w:cs="Arial" w:eastAsia="Arial" w:hAnsi="Arial"/>
                <w:sz w:val="16"/>
                <w:szCs w:val="16"/>
                <w:color w:val="auto"/>
              </w:rPr>
              <w:t>—</w:t>
            </w:r>
          </w:p>
        </w:tc>
        <w:tc>
          <w:tcPr>
            <w:tcW w:w="100" w:type="dxa"/>
            <w:vAlign w:val="bottom"/>
          </w:tcPr>
          <w:p>
            <w:pPr>
              <w:spacing w:after="0"/>
              <w:rPr>
                <w:sz w:val="18"/>
                <w:szCs w:val="18"/>
                <w:color w:val="auto"/>
              </w:rPr>
            </w:pPr>
          </w:p>
        </w:tc>
        <w:tc>
          <w:tcPr>
            <w:tcW w:w="1280" w:type="dxa"/>
            <w:vAlign w:val="bottom"/>
            <w:gridSpan w:val="2"/>
          </w:tcPr>
          <w:p>
            <w:pPr>
              <w:jc w:val="right"/>
              <w:ind w:right="100"/>
              <w:spacing w:after="0"/>
              <w:rPr>
                <w:sz w:val="20"/>
                <w:szCs w:val="20"/>
                <w:color w:val="auto"/>
              </w:rPr>
            </w:pPr>
            <w:r>
              <w:rPr>
                <w:rFonts w:ascii="Arial" w:cs="Arial" w:eastAsia="Arial" w:hAnsi="Arial"/>
                <w:sz w:val="16"/>
                <w:szCs w:val="16"/>
                <w:color w:val="auto"/>
              </w:rPr>
              <w:t>(2.4)</w:t>
            </w: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40" w:type="dxa"/>
            <w:vAlign w:val="bottom"/>
            <w:gridSpan w:val="2"/>
          </w:tcPr>
          <w:p>
            <w:pPr>
              <w:jc w:val="right"/>
              <w:ind w:right="280"/>
              <w:spacing w:after="0"/>
              <w:rPr>
                <w:sz w:val="20"/>
                <w:szCs w:val="20"/>
                <w:color w:val="auto"/>
              </w:rPr>
            </w:pPr>
            <w:r>
              <w:rPr>
                <w:rFonts w:ascii="Arial" w:cs="Arial" w:eastAsia="Arial" w:hAnsi="Arial"/>
                <w:sz w:val="16"/>
                <w:szCs w:val="16"/>
                <w:color w:val="auto"/>
              </w:rPr>
              <w:t>—</w:t>
            </w:r>
          </w:p>
        </w:tc>
        <w:tc>
          <w:tcPr>
            <w:tcW w:w="140" w:type="dxa"/>
            <w:vAlign w:val="bottom"/>
          </w:tcPr>
          <w:p>
            <w:pPr>
              <w:spacing w:after="0"/>
              <w:rPr>
                <w:sz w:val="18"/>
                <w:szCs w:val="18"/>
                <w:color w:val="auto"/>
              </w:rPr>
            </w:pPr>
          </w:p>
        </w:tc>
        <w:tc>
          <w:tcPr>
            <w:tcW w:w="840" w:type="dxa"/>
            <w:vAlign w:val="bottom"/>
            <w:gridSpan w:val="2"/>
          </w:tcPr>
          <w:p>
            <w:pPr>
              <w:jc w:val="right"/>
              <w:ind w:right="60"/>
              <w:spacing w:after="0"/>
              <w:rPr>
                <w:sz w:val="20"/>
                <w:szCs w:val="20"/>
                <w:color w:val="auto"/>
              </w:rPr>
            </w:pPr>
            <w:r>
              <w:rPr>
                <w:rFonts w:ascii="Arial" w:cs="Arial" w:eastAsia="Arial" w:hAnsi="Arial"/>
                <w:sz w:val="16"/>
                <w:szCs w:val="16"/>
                <w:color w:val="auto"/>
              </w:rPr>
              <w:t>(2.4)</w:t>
            </w:r>
          </w:p>
        </w:tc>
        <w:tc>
          <w:tcPr>
            <w:tcW w:w="0" w:type="dxa"/>
            <w:vAlign w:val="bottom"/>
          </w:tcPr>
          <w:p>
            <w:pPr>
              <w:spacing w:after="0"/>
              <w:rPr>
                <w:sz w:val="1"/>
                <w:szCs w:val="1"/>
                <w:color w:val="auto"/>
              </w:rPr>
            </w:pPr>
          </w:p>
        </w:tc>
      </w:tr>
      <w:tr>
        <w:trPr>
          <w:trHeight w:val="219"/>
        </w:trPr>
        <w:tc>
          <w:tcPr>
            <w:tcW w:w="3460" w:type="dxa"/>
            <w:vAlign w:val="bottom"/>
            <w:tcBorders>
              <w:right w:val="single" w:sz="8" w:color="CFF0FC"/>
            </w:tcBorders>
            <w:shd w:val="clear" w:color="auto" w:fill="CFF0FC"/>
          </w:tcPr>
          <w:p>
            <w:pPr>
              <w:ind w:left="140"/>
              <w:spacing w:after="0"/>
              <w:rPr>
                <w:sz w:val="20"/>
                <w:szCs w:val="20"/>
                <w:color w:val="auto"/>
              </w:rPr>
            </w:pPr>
            <w:r>
              <w:rPr>
                <w:rFonts w:ascii="Arial" w:cs="Arial" w:eastAsia="Arial" w:hAnsi="Arial"/>
                <w:sz w:val="16"/>
                <w:szCs w:val="16"/>
                <w:color w:val="auto"/>
              </w:rPr>
              <w:t>Stock-based compensation expense</w:t>
            </w:r>
          </w:p>
        </w:tc>
        <w:tc>
          <w:tcPr>
            <w:tcW w:w="800" w:type="dxa"/>
            <w:vAlign w:val="bottom"/>
            <w:shd w:val="clear" w:color="auto" w:fill="CFF0FC"/>
          </w:tcPr>
          <w:p>
            <w:pPr>
              <w:jc w:val="right"/>
              <w:spacing w:after="0"/>
              <w:rPr>
                <w:sz w:val="20"/>
                <w:szCs w:val="20"/>
                <w:color w:val="auto"/>
              </w:rPr>
            </w:pPr>
            <w:r>
              <w:rPr>
                <w:rFonts w:ascii="Arial" w:cs="Arial" w:eastAsia="Arial" w:hAnsi="Arial"/>
                <w:sz w:val="16"/>
                <w:szCs w:val="16"/>
                <w:color w:val="auto"/>
              </w:rPr>
              <w:t>—</w:t>
            </w:r>
          </w:p>
        </w:tc>
        <w:tc>
          <w:tcPr>
            <w:tcW w:w="260" w:type="dxa"/>
            <w:vAlign w:val="bottom"/>
            <w:tcBorders>
              <w:left w:val="single" w:sz="8" w:color="CFF0FC"/>
              <w:right w:val="single" w:sz="8" w:color="CFF0FC"/>
            </w:tcBorders>
            <w:shd w:val="clear" w:color="auto" w:fill="CFF0FC"/>
          </w:tcPr>
          <w:p>
            <w:pPr>
              <w:spacing w:after="0"/>
              <w:rPr>
                <w:sz w:val="19"/>
                <w:szCs w:val="19"/>
                <w:color w:val="auto"/>
              </w:rPr>
            </w:pPr>
          </w:p>
        </w:tc>
        <w:tc>
          <w:tcPr>
            <w:tcW w:w="300" w:type="dxa"/>
            <w:vAlign w:val="bottom"/>
            <w:shd w:val="clear" w:color="auto" w:fill="CFF0FC"/>
          </w:tcPr>
          <w:p>
            <w:pPr>
              <w:spacing w:after="0"/>
              <w:rPr>
                <w:sz w:val="19"/>
                <w:szCs w:val="19"/>
                <w:color w:val="auto"/>
              </w:rPr>
            </w:pPr>
          </w:p>
        </w:tc>
        <w:tc>
          <w:tcPr>
            <w:tcW w:w="300" w:type="dxa"/>
            <w:vAlign w:val="bottom"/>
            <w:shd w:val="clear" w:color="auto" w:fill="CFF0FC"/>
          </w:tcPr>
          <w:p>
            <w:pPr>
              <w:jc w:val="right"/>
              <w:spacing w:after="0"/>
              <w:rPr>
                <w:sz w:val="20"/>
                <w:szCs w:val="20"/>
                <w:color w:val="auto"/>
              </w:rPr>
            </w:pPr>
            <w:r>
              <w:rPr>
                <w:rFonts w:ascii="Arial" w:cs="Arial" w:eastAsia="Arial" w:hAnsi="Arial"/>
                <w:sz w:val="16"/>
                <w:szCs w:val="16"/>
                <w:color w:val="auto"/>
              </w:rPr>
              <w:t>—</w:t>
            </w:r>
          </w:p>
        </w:tc>
        <w:tc>
          <w:tcPr>
            <w:tcW w:w="24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900" w:type="dxa"/>
            <w:vAlign w:val="bottom"/>
            <w:shd w:val="clear" w:color="auto" w:fill="CFF0FC"/>
          </w:tcPr>
          <w:p>
            <w:pPr>
              <w:jc w:val="right"/>
              <w:spacing w:after="0"/>
              <w:rPr>
                <w:sz w:val="20"/>
                <w:szCs w:val="20"/>
                <w:color w:val="auto"/>
              </w:rPr>
            </w:pPr>
            <w:r>
              <w:rPr>
                <w:rFonts w:ascii="Arial" w:cs="Arial" w:eastAsia="Arial" w:hAnsi="Arial"/>
                <w:sz w:val="16"/>
                <w:szCs w:val="16"/>
                <w:color w:val="auto"/>
              </w:rPr>
              <w:t>22.5</w:t>
            </w:r>
          </w:p>
        </w:tc>
        <w:tc>
          <w:tcPr>
            <w:tcW w:w="24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1140" w:type="dxa"/>
            <w:vAlign w:val="bottom"/>
            <w:tcBorders>
              <w:right w:val="single" w:sz="8" w:color="CFF0FC"/>
            </w:tcBorders>
            <w:gridSpan w:val="2"/>
            <w:shd w:val="clear" w:color="auto" w:fill="CFF0FC"/>
          </w:tcPr>
          <w:p>
            <w:pPr>
              <w:jc w:val="right"/>
              <w:ind w:right="280"/>
              <w:spacing w:after="0"/>
              <w:rPr>
                <w:sz w:val="20"/>
                <w:szCs w:val="20"/>
                <w:color w:val="auto"/>
              </w:rPr>
            </w:pPr>
            <w:r>
              <w:rPr>
                <w:rFonts w:ascii="Arial" w:cs="Arial" w:eastAsia="Arial" w:hAnsi="Arial"/>
                <w:sz w:val="16"/>
                <w:szCs w:val="16"/>
                <w:color w:val="auto"/>
              </w:rPr>
              <w:t>—</w:t>
            </w:r>
          </w:p>
        </w:tc>
        <w:tc>
          <w:tcPr>
            <w:tcW w:w="100" w:type="dxa"/>
            <w:vAlign w:val="bottom"/>
            <w:shd w:val="clear" w:color="auto" w:fill="CFF0FC"/>
          </w:tcPr>
          <w:p>
            <w:pPr>
              <w:spacing w:after="0"/>
              <w:rPr>
                <w:sz w:val="19"/>
                <w:szCs w:val="19"/>
                <w:color w:val="auto"/>
              </w:rPr>
            </w:pPr>
          </w:p>
        </w:tc>
        <w:tc>
          <w:tcPr>
            <w:tcW w:w="1280" w:type="dxa"/>
            <w:vAlign w:val="bottom"/>
            <w:gridSpan w:val="2"/>
            <w:shd w:val="clear" w:color="auto" w:fill="CFF0FC"/>
          </w:tcPr>
          <w:p>
            <w:pPr>
              <w:jc w:val="right"/>
              <w:ind w:right="160"/>
              <w:spacing w:after="0"/>
              <w:rPr>
                <w:sz w:val="20"/>
                <w:szCs w:val="20"/>
                <w:color w:val="auto"/>
              </w:rPr>
            </w:pPr>
            <w:r>
              <w:rPr>
                <w:rFonts w:ascii="Arial" w:cs="Arial" w:eastAsia="Arial" w:hAnsi="Arial"/>
                <w:sz w:val="16"/>
                <w:szCs w:val="16"/>
                <w:color w:val="auto"/>
              </w:rPr>
              <w:t>—</w:t>
            </w:r>
          </w:p>
        </w:tc>
        <w:tc>
          <w:tcPr>
            <w:tcW w:w="120" w:type="dxa"/>
            <w:vAlign w:val="bottom"/>
            <w:tcBorders>
              <w:right w:val="single" w:sz="8" w:color="CFF0FC"/>
            </w:tcBorders>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740" w:type="dxa"/>
            <w:vAlign w:val="bottom"/>
            <w:tcBorders>
              <w:right w:val="single" w:sz="8" w:color="CFF0FC"/>
            </w:tcBorders>
            <w:gridSpan w:val="2"/>
            <w:shd w:val="clear" w:color="auto" w:fill="CFF0FC"/>
          </w:tcPr>
          <w:p>
            <w:pPr>
              <w:jc w:val="right"/>
              <w:ind w:right="280"/>
              <w:spacing w:after="0"/>
              <w:rPr>
                <w:sz w:val="20"/>
                <w:szCs w:val="20"/>
                <w:color w:val="auto"/>
              </w:rPr>
            </w:pPr>
            <w:r>
              <w:rPr>
                <w:rFonts w:ascii="Arial" w:cs="Arial" w:eastAsia="Arial" w:hAnsi="Arial"/>
                <w:sz w:val="16"/>
                <w:szCs w:val="16"/>
                <w:color w:val="auto"/>
              </w:rPr>
              <w:t>—</w:t>
            </w:r>
          </w:p>
        </w:tc>
        <w:tc>
          <w:tcPr>
            <w:tcW w:w="140" w:type="dxa"/>
            <w:vAlign w:val="bottom"/>
            <w:shd w:val="clear" w:color="auto" w:fill="CFF0FC"/>
          </w:tcPr>
          <w:p>
            <w:pPr>
              <w:spacing w:after="0"/>
              <w:rPr>
                <w:sz w:val="19"/>
                <w:szCs w:val="19"/>
                <w:color w:val="auto"/>
              </w:rPr>
            </w:pPr>
          </w:p>
        </w:tc>
        <w:tc>
          <w:tcPr>
            <w:tcW w:w="720" w:type="dxa"/>
            <w:vAlign w:val="bottom"/>
            <w:shd w:val="clear" w:color="auto" w:fill="CFF0FC"/>
          </w:tcPr>
          <w:p>
            <w:pPr>
              <w:jc w:val="right"/>
              <w:spacing w:after="0"/>
              <w:rPr>
                <w:sz w:val="20"/>
                <w:szCs w:val="20"/>
                <w:color w:val="auto"/>
              </w:rPr>
            </w:pPr>
            <w:r>
              <w:rPr>
                <w:rFonts w:ascii="Arial" w:cs="Arial" w:eastAsia="Arial" w:hAnsi="Arial"/>
                <w:sz w:val="16"/>
                <w:szCs w:val="16"/>
                <w:color w:val="auto"/>
              </w:rPr>
              <w:t>22.5</w:t>
            </w:r>
          </w:p>
        </w:tc>
        <w:tc>
          <w:tcPr>
            <w:tcW w:w="120" w:type="dxa"/>
            <w:vAlign w:val="bottom"/>
            <w:tcBorders>
              <w:left w:val="single" w:sz="8" w:color="CFF0FC"/>
            </w:tcBorders>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13"/>
        </w:trPr>
        <w:tc>
          <w:tcPr>
            <w:tcW w:w="3460" w:type="dxa"/>
            <w:vAlign w:val="bottom"/>
          </w:tcPr>
          <w:p>
            <w:pPr>
              <w:ind w:left="140"/>
              <w:spacing w:after="0"/>
              <w:rPr>
                <w:sz w:val="20"/>
                <w:szCs w:val="20"/>
                <w:color w:val="auto"/>
              </w:rPr>
            </w:pPr>
            <w:r>
              <w:rPr>
                <w:rFonts w:ascii="Arial" w:cs="Arial" w:eastAsia="Arial" w:hAnsi="Arial"/>
                <w:sz w:val="16"/>
                <w:szCs w:val="16"/>
                <w:color w:val="auto"/>
              </w:rPr>
              <w:t>Exercise of options, net of withholding taxes</w:t>
            </w:r>
          </w:p>
        </w:tc>
        <w:tc>
          <w:tcPr>
            <w:tcW w:w="800" w:type="dxa"/>
            <w:vAlign w:val="bottom"/>
          </w:tcPr>
          <w:p>
            <w:pPr>
              <w:jc w:val="right"/>
              <w:spacing w:after="0"/>
              <w:rPr>
                <w:sz w:val="20"/>
                <w:szCs w:val="20"/>
                <w:color w:val="auto"/>
              </w:rPr>
            </w:pPr>
            <w:r>
              <w:rPr>
                <w:rFonts w:ascii="Arial" w:cs="Arial" w:eastAsia="Arial" w:hAnsi="Arial"/>
                <w:sz w:val="16"/>
                <w:szCs w:val="16"/>
                <w:color w:val="auto"/>
              </w:rPr>
              <w:t>1.4</w:t>
            </w:r>
          </w:p>
        </w:tc>
        <w:tc>
          <w:tcPr>
            <w:tcW w:w="26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300" w:type="dxa"/>
            <w:vAlign w:val="bottom"/>
          </w:tcPr>
          <w:p>
            <w:pPr>
              <w:jc w:val="right"/>
              <w:spacing w:after="0"/>
              <w:rPr>
                <w:sz w:val="20"/>
                <w:szCs w:val="20"/>
                <w:color w:val="auto"/>
              </w:rPr>
            </w:pPr>
            <w:r>
              <w:rPr>
                <w:rFonts w:ascii="Arial" w:cs="Arial" w:eastAsia="Arial" w:hAnsi="Arial"/>
                <w:sz w:val="16"/>
                <w:szCs w:val="16"/>
                <w:color w:val="auto"/>
              </w:rPr>
              <w:t>—</w:t>
            </w:r>
          </w:p>
        </w:tc>
        <w:tc>
          <w:tcPr>
            <w:tcW w:w="2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Arial" w:cs="Arial" w:eastAsia="Arial" w:hAnsi="Arial"/>
                <w:sz w:val="16"/>
                <w:szCs w:val="16"/>
                <w:color w:val="auto"/>
              </w:rPr>
              <w:t>34.8</w:t>
            </w:r>
          </w:p>
        </w:tc>
        <w:tc>
          <w:tcPr>
            <w:tcW w:w="2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140" w:type="dxa"/>
            <w:vAlign w:val="bottom"/>
            <w:gridSpan w:val="2"/>
          </w:tcPr>
          <w:p>
            <w:pPr>
              <w:jc w:val="right"/>
              <w:ind w:right="280"/>
              <w:spacing w:after="0"/>
              <w:rPr>
                <w:sz w:val="20"/>
                <w:szCs w:val="20"/>
                <w:color w:val="auto"/>
              </w:rPr>
            </w:pPr>
            <w:r>
              <w:rPr>
                <w:rFonts w:ascii="Arial" w:cs="Arial" w:eastAsia="Arial" w:hAnsi="Arial"/>
                <w:sz w:val="16"/>
                <w:szCs w:val="16"/>
                <w:color w:val="auto"/>
              </w:rPr>
              <w:t>—</w:t>
            </w:r>
          </w:p>
        </w:tc>
        <w:tc>
          <w:tcPr>
            <w:tcW w:w="100" w:type="dxa"/>
            <w:vAlign w:val="bottom"/>
          </w:tcPr>
          <w:p>
            <w:pPr>
              <w:spacing w:after="0"/>
              <w:rPr>
                <w:sz w:val="18"/>
                <w:szCs w:val="18"/>
                <w:color w:val="auto"/>
              </w:rPr>
            </w:pPr>
          </w:p>
        </w:tc>
        <w:tc>
          <w:tcPr>
            <w:tcW w:w="1280" w:type="dxa"/>
            <w:vAlign w:val="bottom"/>
            <w:gridSpan w:val="2"/>
          </w:tcPr>
          <w:p>
            <w:pPr>
              <w:jc w:val="right"/>
              <w:ind w:right="160"/>
              <w:spacing w:after="0"/>
              <w:rPr>
                <w:sz w:val="20"/>
                <w:szCs w:val="20"/>
                <w:color w:val="auto"/>
              </w:rPr>
            </w:pPr>
            <w:r>
              <w:rPr>
                <w:rFonts w:ascii="Arial" w:cs="Arial" w:eastAsia="Arial" w:hAnsi="Arial"/>
                <w:sz w:val="16"/>
                <w:szCs w:val="16"/>
                <w:color w:val="auto"/>
              </w:rPr>
              <w:t>—</w:t>
            </w: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40" w:type="dxa"/>
            <w:vAlign w:val="bottom"/>
            <w:gridSpan w:val="2"/>
          </w:tcPr>
          <w:p>
            <w:pPr>
              <w:jc w:val="right"/>
              <w:ind w:right="280"/>
              <w:spacing w:after="0"/>
              <w:rPr>
                <w:sz w:val="20"/>
                <w:szCs w:val="20"/>
                <w:color w:val="auto"/>
              </w:rPr>
            </w:pPr>
            <w:r>
              <w:rPr>
                <w:rFonts w:ascii="Arial" w:cs="Arial" w:eastAsia="Arial" w:hAnsi="Arial"/>
                <w:sz w:val="16"/>
                <w:szCs w:val="16"/>
                <w:color w:val="auto"/>
              </w:rPr>
              <w:t>—</w:t>
            </w:r>
          </w:p>
        </w:tc>
        <w:tc>
          <w:tcPr>
            <w:tcW w:w="14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Arial" w:cs="Arial" w:eastAsia="Arial" w:hAnsi="Arial"/>
                <w:sz w:val="16"/>
                <w:szCs w:val="16"/>
                <w:color w:val="auto"/>
              </w:rPr>
              <w:t>34.8</w:t>
            </w: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460" w:type="dxa"/>
            <w:vAlign w:val="bottom"/>
            <w:tcBorders>
              <w:right w:val="single" w:sz="8" w:color="CFF0FC"/>
            </w:tcBorders>
            <w:shd w:val="clear" w:color="auto" w:fill="CFF0FC"/>
          </w:tcPr>
          <w:p>
            <w:pPr>
              <w:ind w:left="140"/>
              <w:spacing w:after="0"/>
              <w:rPr>
                <w:sz w:val="20"/>
                <w:szCs w:val="20"/>
                <w:color w:val="auto"/>
              </w:rPr>
            </w:pPr>
            <w:r>
              <w:rPr>
                <w:rFonts w:ascii="Arial" w:cs="Arial" w:eastAsia="Arial" w:hAnsi="Arial"/>
                <w:sz w:val="16"/>
                <w:szCs w:val="16"/>
                <w:color w:val="auto"/>
              </w:rPr>
              <w:t>Cash dividends declared - $0.125 per share</w:t>
            </w:r>
          </w:p>
        </w:tc>
        <w:tc>
          <w:tcPr>
            <w:tcW w:w="800" w:type="dxa"/>
            <w:vAlign w:val="bottom"/>
            <w:shd w:val="clear" w:color="auto" w:fill="CFF0FC"/>
          </w:tcPr>
          <w:p>
            <w:pPr>
              <w:jc w:val="right"/>
              <w:spacing w:after="0"/>
              <w:rPr>
                <w:sz w:val="20"/>
                <w:szCs w:val="20"/>
                <w:color w:val="auto"/>
              </w:rPr>
            </w:pPr>
            <w:r>
              <w:rPr>
                <w:rFonts w:ascii="Arial" w:cs="Arial" w:eastAsia="Arial" w:hAnsi="Arial"/>
                <w:sz w:val="16"/>
                <w:szCs w:val="16"/>
                <w:color w:val="auto"/>
              </w:rPr>
              <w:t>—</w:t>
            </w:r>
          </w:p>
        </w:tc>
        <w:tc>
          <w:tcPr>
            <w:tcW w:w="260" w:type="dxa"/>
            <w:vAlign w:val="bottom"/>
            <w:tcBorders>
              <w:left w:val="single" w:sz="8" w:color="CFF0FC"/>
              <w:right w:val="single" w:sz="8" w:color="CFF0FC"/>
            </w:tcBorders>
            <w:shd w:val="clear" w:color="auto" w:fill="CFF0FC"/>
          </w:tcPr>
          <w:p>
            <w:pPr>
              <w:spacing w:after="0"/>
              <w:rPr>
                <w:sz w:val="18"/>
                <w:szCs w:val="18"/>
                <w:color w:val="auto"/>
              </w:rPr>
            </w:pPr>
          </w:p>
        </w:tc>
        <w:tc>
          <w:tcPr>
            <w:tcW w:w="300" w:type="dxa"/>
            <w:vAlign w:val="bottom"/>
            <w:shd w:val="clear" w:color="auto" w:fill="CFF0FC"/>
          </w:tcPr>
          <w:p>
            <w:pPr>
              <w:spacing w:after="0"/>
              <w:rPr>
                <w:sz w:val="18"/>
                <w:szCs w:val="18"/>
                <w:color w:val="auto"/>
              </w:rPr>
            </w:pPr>
          </w:p>
        </w:tc>
        <w:tc>
          <w:tcPr>
            <w:tcW w:w="300" w:type="dxa"/>
            <w:vAlign w:val="bottom"/>
            <w:shd w:val="clear" w:color="auto" w:fill="CFF0FC"/>
          </w:tcPr>
          <w:p>
            <w:pPr>
              <w:jc w:val="right"/>
              <w:spacing w:after="0"/>
              <w:rPr>
                <w:sz w:val="20"/>
                <w:szCs w:val="20"/>
                <w:color w:val="auto"/>
              </w:rPr>
            </w:pPr>
            <w:r>
              <w:rPr>
                <w:rFonts w:ascii="Arial" w:cs="Arial" w:eastAsia="Arial" w:hAnsi="Arial"/>
                <w:sz w:val="16"/>
                <w:szCs w:val="16"/>
                <w:color w:val="auto"/>
              </w:rPr>
              <w:t>—</w:t>
            </w:r>
          </w:p>
        </w:tc>
        <w:tc>
          <w:tcPr>
            <w:tcW w:w="24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900" w:type="dxa"/>
            <w:vAlign w:val="bottom"/>
            <w:shd w:val="clear" w:color="auto" w:fill="CFF0FC"/>
          </w:tcPr>
          <w:p>
            <w:pPr>
              <w:jc w:val="right"/>
              <w:spacing w:after="0"/>
              <w:rPr>
                <w:sz w:val="20"/>
                <w:szCs w:val="20"/>
                <w:color w:val="auto"/>
              </w:rPr>
            </w:pPr>
            <w:r>
              <w:rPr>
                <w:rFonts w:ascii="Arial" w:cs="Arial" w:eastAsia="Arial" w:hAnsi="Arial"/>
                <w:sz w:val="16"/>
                <w:szCs w:val="16"/>
                <w:color w:val="auto"/>
              </w:rPr>
              <w:t>0.1</w:t>
            </w:r>
          </w:p>
        </w:tc>
        <w:tc>
          <w:tcPr>
            <w:tcW w:w="24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1140" w:type="dxa"/>
            <w:vAlign w:val="bottom"/>
            <w:tcBorders>
              <w:right w:val="single" w:sz="8" w:color="CFF0FC"/>
            </w:tcBorders>
            <w:gridSpan w:val="2"/>
            <w:shd w:val="clear" w:color="auto" w:fill="CFF0FC"/>
          </w:tcPr>
          <w:p>
            <w:pPr>
              <w:jc w:val="right"/>
              <w:ind w:right="200"/>
              <w:spacing w:after="0"/>
              <w:rPr>
                <w:sz w:val="20"/>
                <w:szCs w:val="20"/>
                <w:color w:val="auto"/>
              </w:rPr>
            </w:pPr>
            <w:r>
              <w:rPr>
                <w:rFonts w:ascii="Arial" w:cs="Arial" w:eastAsia="Arial" w:hAnsi="Arial"/>
                <w:sz w:val="16"/>
                <w:szCs w:val="16"/>
                <w:color w:val="auto"/>
              </w:rPr>
              <w:t>(32.0)</w:t>
            </w:r>
          </w:p>
        </w:tc>
        <w:tc>
          <w:tcPr>
            <w:tcW w:w="100" w:type="dxa"/>
            <w:vAlign w:val="bottom"/>
            <w:shd w:val="clear" w:color="auto" w:fill="CFF0FC"/>
          </w:tcPr>
          <w:p>
            <w:pPr>
              <w:spacing w:after="0"/>
              <w:rPr>
                <w:sz w:val="18"/>
                <w:szCs w:val="18"/>
                <w:color w:val="auto"/>
              </w:rPr>
            </w:pPr>
          </w:p>
        </w:tc>
        <w:tc>
          <w:tcPr>
            <w:tcW w:w="1280" w:type="dxa"/>
            <w:vAlign w:val="bottom"/>
            <w:gridSpan w:val="2"/>
            <w:shd w:val="clear" w:color="auto" w:fill="CFF0FC"/>
          </w:tcPr>
          <w:p>
            <w:pPr>
              <w:jc w:val="right"/>
              <w:ind w:right="160"/>
              <w:spacing w:after="0"/>
              <w:rPr>
                <w:sz w:val="20"/>
                <w:szCs w:val="20"/>
                <w:color w:val="auto"/>
              </w:rPr>
            </w:pPr>
            <w:r>
              <w:rPr>
                <w:rFonts w:ascii="Arial" w:cs="Arial" w:eastAsia="Arial" w:hAnsi="Arial"/>
                <w:sz w:val="16"/>
                <w:szCs w:val="16"/>
                <w:color w:val="auto"/>
              </w:rPr>
              <w:t>—</w:t>
            </w:r>
          </w:p>
        </w:tc>
        <w:tc>
          <w:tcPr>
            <w:tcW w:w="120" w:type="dxa"/>
            <w:vAlign w:val="bottom"/>
            <w:tcBorders>
              <w:right w:val="single" w:sz="8" w:color="CFF0FC"/>
            </w:tcBorders>
            <w:shd w:val="clear" w:color="auto" w:fill="CFF0FC"/>
          </w:tcPr>
          <w:p>
            <w:pPr>
              <w:spacing w:after="0"/>
              <w:rPr>
                <w:sz w:val="18"/>
                <w:szCs w:val="18"/>
                <w:color w:val="auto"/>
              </w:rPr>
            </w:pPr>
          </w:p>
        </w:tc>
        <w:tc>
          <w:tcPr>
            <w:tcW w:w="80" w:type="dxa"/>
            <w:vAlign w:val="bottom"/>
            <w:shd w:val="clear" w:color="auto" w:fill="CFF0FC"/>
          </w:tcPr>
          <w:p>
            <w:pPr>
              <w:spacing w:after="0"/>
              <w:rPr>
                <w:sz w:val="18"/>
                <w:szCs w:val="18"/>
                <w:color w:val="auto"/>
              </w:rPr>
            </w:pPr>
          </w:p>
        </w:tc>
        <w:tc>
          <w:tcPr>
            <w:tcW w:w="740" w:type="dxa"/>
            <w:vAlign w:val="bottom"/>
            <w:tcBorders>
              <w:right w:val="single" w:sz="8" w:color="CFF0FC"/>
            </w:tcBorders>
            <w:gridSpan w:val="2"/>
            <w:shd w:val="clear" w:color="auto" w:fill="CFF0FC"/>
          </w:tcPr>
          <w:p>
            <w:pPr>
              <w:jc w:val="right"/>
              <w:ind w:right="280"/>
              <w:spacing w:after="0"/>
              <w:rPr>
                <w:sz w:val="20"/>
                <w:szCs w:val="20"/>
                <w:color w:val="auto"/>
              </w:rPr>
            </w:pPr>
            <w:r>
              <w:rPr>
                <w:rFonts w:ascii="Arial" w:cs="Arial" w:eastAsia="Arial" w:hAnsi="Arial"/>
                <w:sz w:val="16"/>
                <w:szCs w:val="16"/>
                <w:color w:val="auto"/>
              </w:rPr>
              <w:t>—</w:t>
            </w:r>
          </w:p>
        </w:tc>
        <w:tc>
          <w:tcPr>
            <w:tcW w:w="140" w:type="dxa"/>
            <w:vAlign w:val="bottom"/>
            <w:shd w:val="clear" w:color="auto" w:fill="CFF0FC"/>
          </w:tcPr>
          <w:p>
            <w:pPr>
              <w:spacing w:after="0"/>
              <w:rPr>
                <w:sz w:val="18"/>
                <w:szCs w:val="18"/>
                <w:color w:val="auto"/>
              </w:rPr>
            </w:pPr>
          </w:p>
        </w:tc>
        <w:tc>
          <w:tcPr>
            <w:tcW w:w="840" w:type="dxa"/>
            <w:vAlign w:val="bottom"/>
            <w:gridSpan w:val="2"/>
            <w:shd w:val="clear" w:color="auto" w:fill="CFF0FC"/>
          </w:tcPr>
          <w:p>
            <w:pPr>
              <w:jc w:val="right"/>
              <w:ind w:right="60"/>
              <w:spacing w:after="0"/>
              <w:rPr>
                <w:sz w:val="20"/>
                <w:szCs w:val="20"/>
                <w:color w:val="auto"/>
              </w:rPr>
            </w:pPr>
            <w:r>
              <w:rPr>
                <w:rFonts w:ascii="Arial" w:cs="Arial" w:eastAsia="Arial" w:hAnsi="Arial"/>
                <w:sz w:val="16"/>
                <w:szCs w:val="16"/>
                <w:color w:val="auto"/>
              </w:rPr>
              <w:t>(31.9)</w:t>
            </w:r>
          </w:p>
        </w:tc>
        <w:tc>
          <w:tcPr>
            <w:tcW w:w="0" w:type="dxa"/>
            <w:vAlign w:val="bottom"/>
          </w:tcPr>
          <w:p>
            <w:pPr>
              <w:spacing w:after="0"/>
              <w:rPr>
                <w:sz w:val="1"/>
                <w:szCs w:val="1"/>
                <w:color w:val="auto"/>
              </w:rPr>
            </w:pPr>
          </w:p>
        </w:tc>
      </w:tr>
      <w:tr>
        <w:trPr>
          <w:trHeight w:val="20"/>
        </w:trPr>
        <w:tc>
          <w:tcPr>
            <w:tcW w:w="3460" w:type="dxa"/>
            <w:vAlign w:val="bottom"/>
            <w:tcBorders>
              <w:right w:val="single" w:sz="8" w:color="auto"/>
            </w:tcBorders>
          </w:tcPr>
          <w:p>
            <w:pPr>
              <w:spacing w:after="0" w:line="20" w:lineRule="exact"/>
              <w:rPr>
                <w:sz w:val="1"/>
                <w:szCs w:val="1"/>
                <w:color w:val="auto"/>
              </w:rPr>
            </w:pPr>
          </w:p>
        </w:tc>
        <w:tc>
          <w:tcPr>
            <w:tcW w:w="800" w:type="dxa"/>
            <w:vAlign w:val="bottom"/>
            <w:shd w:val="clear" w:color="auto" w:fill="000000"/>
          </w:tcPr>
          <w:p>
            <w:pPr>
              <w:spacing w:after="0" w:line="20" w:lineRule="exact"/>
              <w:rPr>
                <w:sz w:val="1"/>
                <w:szCs w:val="1"/>
                <w:color w:val="auto"/>
              </w:rPr>
            </w:pPr>
          </w:p>
        </w:tc>
        <w:tc>
          <w:tcPr>
            <w:tcW w:w="260" w:type="dxa"/>
            <w:vAlign w:val="bottom"/>
            <w:tcBorders>
              <w:right w:val="single" w:sz="8" w:color="auto"/>
            </w:tcBorders>
          </w:tcPr>
          <w:p>
            <w:pPr>
              <w:spacing w:after="0" w:line="20" w:lineRule="exact"/>
              <w:rPr>
                <w:sz w:val="1"/>
                <w:szCs w:val="1"/>
                <w:color w:val="auto"/>
              </w:rPr>
            </w:pPr>
          </w:p>
        </w:tc>
        <w:tc>
          <w:tcPr>
            <w:tcW w:w="300" w:type="dxa"/>
            <w:vAlign w:val="bottom"/>
            <w:shd w:val="clear" w:color="auto" w:fill="000000"/>
          </w:tcPr>
          <w:p>
            <w:pPr>
              <w:spacing w:after="0" w:line="20" w:lineRule="exact"/>
              <w:rPr>
                <w:sz w:val="1"/>
                <w:szCs w:val="1"/>
                <w:color w:val="auto"/>
              </w:rPr>
            </w:pPr>
          </w:p>
        </w:tc>
        <w:tc>
          <w:tcPr>
            <w:tcW w:w="300" w:type="dxa"/>
            <w:vAlign w:val="bottom"/>
            <w:shd w:val="clear" w:color="auto" w:fill="000000"/>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900" w:type="dxa"/>
            <w:vAlign w:val="bottom"/>
            <w:shd w:val="clear" w:color="auto" w:fill="000000"/>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880" w:type="dxa"/>
            <w:vAlign w:val="bottom"/>
            <w:shd w:val="clear" w:color="auto" w:fill="000000"/>
          </w:tcPr>
          <w:p>
            <w:pPr>
              <w:spacing w:after="0" w:line="20" w:lineRule="exact"/>
              <w:rPr>
                <w:sz w:val="1"/>
                <w:szCs w:val="1"/>
                <w:color w:val="auto"/>
              </w:rPr>
            </w:pPr>
          </w:p>
        </w:tc>
        <w:tc>
          <w:tcPr>
            <w:tcW w:w="260" w:type="dxa"/>
            <w:vAlign w:val="bottom"/>
            <w:tcBorders>
              <w:right w:val="single" w:sz="8" w:color="auto"/>
            </w:tcBorders>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1140" w:type="dxa"/>
            <w:vAlign w:val="bottom"/>
            <w:shd w:val="clear" w:color="auto" w:fill="00000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20" w:type="dxa"/>
            <w:vAlign w:val="bottom"/>
            <w:tcBorders>
              <w:right w:val="single" w:sz="8" w:color="auto"/>
            </w:tcBorders>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480" w:type="dxa"/>
            <w:vAlign w:val="bottom"/>
            <w:shd w:val="clear" w:color="auto" w:fill="000000"/>
          </w:tcPr>
          <w:p>
            <w:pPr>
              <w:spacing w:after="0" w:line="20" w:lineRule="exact"/>
              <w:rPr>
                <w:sz w:val="1"/>
                <w:szCs w:val="1"/>
                <w:color w:val="auto"/>
              </w:rPr>
            </w:pPr>
          </w:p>
        </w:tc>
        <w:tc>
          <w:tcPr>
            <w:tcW w:w="260" w:type="dxa"/>
            <w:vAlign w:val="bottom"/>
            <w:tcBorders>
              <w:right w:val="single" w:sz="8" w:color="auto"/>
            </w:tcBorders>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72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3460" w:type="dxa"/>
            <w:vAlign w:val="bottom"/>
          </w:tcPr>
          <w:p>
            <w:pPr>
              <w:spacing w:after="0"/>
              <w:rPr>
                <w:sz w:val="20"/>
                <w:szCs w:val="20"/>
                <w:color w:val="auto"/>
              </w:rPr>
            </w:pPr>
            <w:r>
              <w:rPr>
                <w:rFonts w:ascii="Arial" w:cs="Arial" w:eastAsia="Arial" w:hAnsi="Arial"/>
                <w:sz w:val="16"/>
                <w:szCs w:val="16"/>
                <w:color w:val="auto"/>
              </w:rPr>
              <w:t>Balance, at March 31, 2020</w:t>
            </w:r>
          </w:p>
        </w:tc>
        <w:tc>
          <w:tcPr>
            <w:tcW w:w="800" w:type="dxa"/>
            <w:vAlign w:val="bottom"/>
          </w:tcPr>
          <w:p>
            <w:pPr>
              <w:jc w:val="right"/>
              <w:spacing w:after="0"/>
              <w:rPr>
                <w:sz w:val="20"/>
                <w:szCs w:val="20"/>
                <w:color w:val="auto"/>
              </w:rPr>
            </w:pPr>
            <w:r>
              <w:rPr>
                <w:rFonts w:ascii="Arial" w:cs="Arial" w:eastAsia="Arial" w:hAnsi="Arial"/>
                <w:sz w:val="16"/>
                <w:szCs w:val="16"/>
                <w:color w:val="auto"/>
              </w:rPr>
              <w:t>259.0</w:t>
            </w:r>
          </w:p>
        </w:tc>
        <w:tc>
          <w:tcPr>
            <w:tcW w:w="260" w:type="dxa"/>
            <w:vAlign w:val="bottom"/>
          </w:tcPr>
          <w:p>
            <w:pPr>
              <w:spacing w:after="0"/>
              <w:rPr>
                <w:sz w:val="18"/>
                <w:szCs w:val="18"/>
                <w:color w:val="auto"/>
              </w:rPr>
            </w:pPr>
          </w:p>
        </w:tc>
        <w:tc>
          <w:tcPr>
            <w:tcW w:w="300" w:type="dxa"/>
            <w:vAlign w:val="bottom"/>
          </w:tcPr>
          <w:p>
            <w:pPr>
              <w:jc w:val="right"/>
              <w:ind w:right="175"/>
              <w:spacing w:after="0"/>
              <w:rPr>
                <w:sz w:val="20"/>
                <w:szCs w:val="20"/>
                <w:color w:val="auto"/>
              </w:rPr>
            </w:pPr>
            <w:r>
              <w:rPr>
                <w:rFonts w:ascii="Arial" w:cs="Arial" w:eastAsia="Arial" w:hAnsi="Arial"/>
                <w:sz w:val="10"/>
                <w:szCs w:val="10"/>
                <w:color w:val="auto"/>
                <w:w w:val="71"/>
              </w:rPr>
              <w:t>$</w:t>
            </w:r>
          </w:p>
        </w:tc>
        <w:tc>
          <w:tcPr>
            <w:tcW w:w="300" w:type="dxa"/>
            <w:vAlign w:val="bottom"/>
          </w:tcPr>
          <w:p>
            <w:pPr>
              <w:jc w:val="right"/>
              <w:spacing w:after="0"/>
              <w:rPr>
                <w:sz w:val="20"/>
                <w:szCs w:val="20"/>
                <w:color w:val="auto"/>
              </w:rPr>
            </w:pPr>
            <w:r>
              <w:rPr>
                <w:rFonts w:ascii="Arial" w:cs="Arial" w:eastAsia="Arial" w:hAnsi="Arial"/>
                <w:sz w:val="16"/>
                <w:szCs w:val="16"/>
                <w:color w:val="auto"/>
              </w:rPr>
              <w:t>2.6</w:t>
            </w:r>
          </w:p>
        </w:tc>
        <w:tc>
          <w:tcPr>
            <w:tcW w:w="380" w:type="dxa"/>
            <w:vAlign w:val="bottom"/>
            <w:gridSpan w:val="2"/>
          </w:tcPr>
          <w:p>
            <w:pPr>
              <w:jc w:val="right"/>
              <w:ind w:right="60"/>
              <w:spacing w:after="0"/>
              <w:rPr>
                <w:sz w:val="20"/>
                <w:szCs w:val="20"/>
                <w:color w:val="auto"/>
              </w:rPr>
            </w:pPr>
            <w:r>
              <w:rPr>
                <w:rFonts w:ascii="Arial" w:cs="Arial" w:eastAsia="Arial" w:hAnsi="Arial"/>
                <w:sz w:val="16"/>
                <w:szCs w:val="16"/>
                <w:color w:val="auto"/>
              </w:rPr>
              <w:t>$</w:t>
            </w:r>
          </w:p>
        </w:tc>
        <w:tc>
          <w:tcPr>
            <w:tcW w:w="900" w:type="dxa"/>
            <w:vAlign w:val="bottom"/>
          </w:tcPr>
          <w:p>
            <w:pPr>
              <w:jc w:val="right"/>
              <w:spacing w:after="0"/>
              <w:rPr>
                <w:sz w:val="20"/>
                <w:szCs w:val="20"/>
                <w:color w:val="auto"/>
              </w:rPr>
            </w:pPr>
            <w:r>
              <w:rPr>
                <w:rFonts w:ascii="Arial" w:cs="Arial" w:eastAsia="Arial" w:hAnsi="Arial"/>
                <w:sz w:val="16"/>
                <w:szCs w:val="16"/>
                <w:color w:val="auto"/>
              </w:rPr>
              <w:t>4,324.3</w:t>
            </w:r>
          </w:p>
        </w:tc>
        <w:tc>
          <w:tcPr>
            <w:tcW w:w="400" w:type="dxa"/>
            <w:vAlign w:val="bottom"/>
            <w:gridSpan w:val="2"/>
          </w:tcPr>
          <w:p>
            <w:pPr>
              <w:jc w:val="right"/>
              <w:ind w:right="80"/>
              <w:spacing w:after="0"/>
              <w:rPr>
                <w:sz w:val="20"/>
                <w:szCs w:val="20"/>
                <w:color w:val="auto"/>
              </w:rPr>
            </w:pPr>
            <w:r>
              <w:rPr>
                <w:rFonts w:ascii="Arial" w:cs="Arial" w:eastAsia="Arial" w:hAnsi="Arial"/>
                <w:sz w:val="16"/>
                <w:szCs w:val="16"/>
                <w:color w:val="auto"/>
              </w:rPr>
              <w:t>$</w:t>
            </w:r>
          </w:p>
        </w:tc>
        <w:tc>
          <w:tcPr>
            <w:tcW w:w="880" w:type="dxa"/>
            <w:vAlign w:val="bottom"/>
          </w:tcPr>
          <w:p>
            <w:pPr>
              <w:jc w:val="right"/>
              <w:spacing w:after="0"/>
              <w:rPr>
                <w:sz w:val="20"/>
                <w:szCs w:val="20"/>
                <w:color w:val="auto"/>
              </w:rPr>
            </w:pPr>
            <w:r>
              <w:rPr>
                <w:rFonts w:ascii="Arial" w:cs="Arial" w:eastAsia="Arial" w:hAnsi="Arial"/>
                <w:sz w:val="16"/>
                <w:szCs w:val="16"/>
                <w:color w:val="auto"/>
              </w:rPr>
              <w:t>1,245.1</w:t>
            </w:r>
          </w:p>
        </w:tc>
        <w:tc>
          <w:tcPr>
            <w:tcW w:w="260" w:type="dxa"/>
            <w:vAlign w:val="bottom"/>
          </w:tcPr>
          <w:p>
            <w:pPr>
              <w:spacing w:after="0"/>
              <w:rPr>
                <w:sz w:val="18"/>
                <w:szCs w:val="18"/>
                <w:color w:val="auto"/>
              </w:rPr>
            </w:pPr>
          </w:p>
        </w:tc>
        <w:tc>
          <w:tcPr>
            <w:tcW w:w="100" w:type="dxa"/>
            <w:vAlign w:val="bottom"/>
          </w:tcPr>
          <w:p>
            <w:pPr>
              <w:jc w:val="right"/>
              <w:spacing w:after="0"/>
              <w:rPr>
                <w:sz w:val="20"/>
                <w:szCs w:val="20"/>
                <w:color w:val="auto"/>
              </w:rPr>
            </w:pPr>
            <w:r>
              <w:rPr>
                <w:rFonts w:ascii="Arial" w:cs="Arial" w:eastAsia="Arial" w:hAnsi="Arial"/>
                <w:sz w:val="10"/>
                <w:szCs w:val="10"/>
                <w:color w:val="auto"/>
                <w:w w:val="71"/>
              </w:rPr>
              <w:t>$</w:t>
            </w:r>
          </w:p>
        </w:tc>
        <w:tc>
          <w:tcPr>
            <w:tcW w:w="1280" w:type="dxa"/>
            <w:vAlign w:val="bottom"/>
            <w:gridSpan w:val="2"/>
          </w:tcPr>
          <w:p>
            <w:pPr>
              <w:jc w:val="right"/>
              <w:ind w:right="100"/>
              <w:spacing w:after="0"/>
              <w:rPr>
                <w:sz w:val="20"/>
                <w:szCs w:val="20"/>
                <w:color w:val="auto"/>
              </w:rPr>
            </w:pPr>
            <w:r>
              <w:rPr>
                <w:rFonts w:ascii="Arial" w:cs="Arial" w:eastAsia="Arial" w:hAnsi="Arial"/>
                <w:sz w:val="16"/>
                <w:szCs w:val="16"/>
                <w:color w:val="auto"/>
              </w:rPr>
              <w:t>(406.1)</w:t>
            </w:r>
          </w:p>
        </w:tc>
        <w:tc>
          <w:tcPr>
            <w:tcW w:w="200" w:type="dxa"/>
            <w:vAlign w:val="bottom"/>
            <w:gridSpan w:val="2"/>
          </w:tcPr>
          <w:p>
            <w:pPr>
              <w:jc w:val="right"/>
              <w:spacing w:after="0"/>
              <w:rPr>
                <w:sz w:val="20"/>
                <w:szCs w:val="20"/>
                <w:color w:val="auto"/>
              </w:rPr>
            </w:pPr>
            <w:r>
              <w:rPr>
                <w:rFonts w:ascii="Arial" w:cs="Arial" w:eastAsia="Arial" w:hAnsi="Arial"/>
                <w:sz w:val="16"/>
                <w:szCs w:val="16"/>
                <w:color w:val="auto"/>
              </w:rPr>
              <w:t>$</w:t>
            </w:r>
          </w:p>
        </w:tc>
        <w:tc>
          <w:tcPr>
            <w:tcW w:w="740" w:type="dxa"/>
            <w:vAlign w:val="bottom"/>
            <w:gridSpan w:val="2"/>
          </w:tcPr>
          <w:p>
            <w:pPr>
              <w:jc w:val="right"/>
              <w:ind w:right="200"/>
              <w:spacing w:after="0"/>
              <w:rPr>
                <w:sz w:val="20"/>
                <w:szCs w:val="20"/>
                <w:color w:val="auto"/>
              </w:rPr>
            </w:pPr>
            <w:r>
              <w:rPr>
                <w:rFonts w:ascii="Arial" w:cs="Arial" w:eastAsia="Arial" w:hAnsi="Arial"/>
                <w:sz w:val="16"/>
                <w:szCs w:val="16"/>
                <w:color w:val="auto"/>
              </w:rPr>
              <w:t>(78.3)</w:t>
            </w:r>
          </w:p>
        </w:tc>
        <w:tc>
          <w:tcPr>
            <w:tcW w:w="140" w:type="dxa"/>
            <w:vAlign w:val="bottom"/>
          </w:tcPr>
          <w:p>
            <w:pPr>
              <w:jc w:val="right"/>
              <w:ind w:right="14"/>
              <w:spacing w:after="0"/>
              <w:rPr>
                <w:sz w:val="20"/>
                <w:szCs w:val="20"/>
                <w:color w:val="auto"/>
              </w:rPr>
            </w:pPr>
            <w:r>
              <w:rPr>
                <w:rFonts w:ascii="Arial" w:cs="Arial" w:eastAsia="Arial" w:hAnsi="Arial"/>
                <w:sz w:val="10"/>
                <w:szCs w:val="10"/>
                <w:color w:val="auto"/>
                <w:w w:val="71"/>
              </w:rPr>
              <w:t>$</w:t>
            </w:r>
          </w:p>
        </w:tc>
        <w:tc>
          <w:tcPr>
            <w:tcW w:w="720" w:type="dxa"/>
            <w:vAlign w:val="bottom"/>
          </w:tcPr>
          <w:p>
            <w:pPr>
              <w:jc w:val="right"/>
              <w:spacing w:after="0"/>
              <w:rPr>
                <w:sz w:val="20"/>
                <w:szCs w:val="20"/>
                <w:color w:val="auto"/>
              </w:rPr>
            </w:pPr>
            <w:r>
              <w:rPr>
                <w:rFonts w:ascii="Arial" w:cs="Arial" w:eastAsia="Arial" w:hAnsi="Arial"/>
                <w:sz w:val="16"/>
                <w:szCs w:val="16"/>
                <w:color w:val="auto"/>
              </w:rPr>
              <w:t>5,087.6</w:t>
            </w: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3460" w:type="dxa"/>
            <w:vAlign w:val="bottom"/>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14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48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34" w:lineRule="exact"/>
        <w:rPr>
          <w:sz w:val="20"/>
          <w:szCs w:val="20"/>
          <w:color w:val="auto"/>
        </w:rPr>
      </w:pPr>
    </w:p>
    <w:p>
      <w:pPr>
        <w:jc w:val="center"/>
        <w:spacing w:after="0"/>
        <w:rPr>
          <w:sz w:val="20"/>
          <w:szCs w:val="20"/>
          <w:color w:val="auto"/>
        </w:rPr>
      </w:pPr>
      <w:r>
        <w:rPr>
          <w:rFonts w:ascii="Arial" w:cs="Arial" w:eastAsia="Arial" w:hAnsi="Arial"/>
          <w:sz w:val="18"/>
          <w:szCs w:val="18"/>
          <w:i w:val="1"/>
          <w:iCs w:val="1"/>
          <w:color w:val="auto"/>
        </w:rPr>
        <w:t>The accompanying notes are an integral part of these condensed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24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37" w:right="339" w:bottom="1440" w:gutter="0" w:footer="0" w:header="0"/>
        </w:sectPr>
      </w:pPr>
    </w:p>
    <w:bookmarkStart w:id="6" w:name="page7"/>
    <w:bookmarkEnd w:id="6"/>
    <w:p>
      <w:pPr>
        <w:ind w:right="5340"/>
        <w:spacing w:after="0" w:line="266" w:lineRule="auto"/>
        <w:rPr>
          <w:sz w:val="20"/>
          <w:szCs w:val="20"/>
          <w:color w:val="auto"/>
        </w:rPr>
      </w:pPr>
      <w:r>
        <w:rPr>
          <w:rFonts w:ascii="Arial" w:cs="Arial" w:eastAsia="Arial" w:hAnsi="Arial"/>
          <w:sz w:val="18"/>
          <w:szCs w:val="18"/>
          <w:b w:val="1"/>
          <w:bCs w:val="1"/>
          <w:color w:val="auto"/>
        </w:rPr>
        <w:t>SS&amp;C TECHNOLOGIES HOLDINGS, INC. AND SUBSIDIARIES NOTES TO CONDENSED CONSOLIDATED FINANCIAL STATEMENTS (Unaudited)</w:t>
      </w:r>
    </w:p>
    <w:p>
      <w:pPr>
        <w:spacing w:after="0" w:line="9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1—Basis of Presentation</w:t>
      </w:r>
    </w:p>
    <w:p>
      <w:pPr>
        <w:spacing w:after="0" w:line="121" w:lineRule="exact"/>
        <w:rPr>
          <w:sz w:val="20"/>
          <w:szCs w:val="20"/>
          <w:color w:val="auto"/>
        </w:rPr>
      </w:pPr>
    </w:p>
    <w:p>
      <w:pPr>
        <w:ind w:right="20" w:firstLine="510"/>
        <w:spacing w:after="0" w:line="268" w:lineRule="auto"/>
        <w:rPr>
          <w:sz w:val="20"/>
          <w:szCs w:val="20"/>
          <w:color w:val="auto"/>
        </w:rPr>
      </w:pPr>
      <w:r>
        <w:rPr>
          <w:rFonts w:ascii="Arial" w:cs="Arial" w:eastAsia="Arial" w:hAnsi="Arial"/>
          <w:sz w:val="17"/>
          <w:szCs w:val="17"/>
          <w:color w:val="auto"/>
        </w:rPr>
        <w:t>The accompanying financial statements have been prepared in accordance with accounting principles generally accepted in the United States of America (“GAAP”). These accounting principles were applied on a basis consistent with those of the audited Consolidated Financial Statements contained in our Annual Report on Form 10-K for the year ended December 31, 2020, filed with the Securities and Exchange Commission (the “SEC”) on February 25, 2021 (the “2020 Form 10-K”). The inputs into our judgments and estimates consider the economic implications of COVID-19 on our critical and significant accounting estimates. In the opinion of management, the accompanying unaudited Condensed Consolidated Financial Statements contain all adjustments (consisting of only normal recurring adjustments, except as noted elsewhere in the notes to the Condensed Consolidated Financial Statements) necessary for a fair statement of our financial position as of March 31, 2021, the results of our operations for the three months ended March 31, 2021 and 2020, and our cash flows for the three months ended March 31, 2021 and 2020. These statements do not include all of the information and footnotes required by GAAP for annual financial statements. The Condensed Consolidated Financial Statements contained herein should be read in conjunction with the audited Consolidated Financial Statements and footnotes as of and for the year ended December 31, 2020, which were included in the 2020 Form 10-K. The December 31, 2020 Consolidated Balance Sheet data were derived from audited financial statements but do not include all disclosures required by GAAP for annual financial statements. The results of operations for the three months ended March 31, 2021 are not necessarily indicative of the expected results for any subsequent quarters or the full year.</w:t>
      </w:r>
    </w:p>
    <w:p>
      <w:pPr>
        <w:spacing w:after="0" w:line="294"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Recently Adopted Accounting Pronouncement</w:t>
      </w:r>
    </w:p>
    <w:p>
      <w:pPr>
        <w:spacing w:after="0" w:line="225" w:lineRule="exact"/>
        <w:rPr>
          <w:sz w:val="20"/>
          <w:szCs w:val="20"/>
          <w:color w:val="auto"/>
        </w:rPr>
      </w:pPr>
    </w:p>
    <w:p>
      <w:pPr>
        <w:ind w:right="60" w:firstLine="510"/>
        <w:spacing w:after="0" w:line="254" w:lineRule="auto"/>
        <w:rPr>
          <w:sz w:val="20"/>
          <w:szCs w:val="20"/>
          <w:color w:val="auto"/>
        </w:rPr>
      </w:pPr>
      <w:r>
        <w:rPr>
          <w:rFonts w:ascii="Arial" w:cs="Arial" w:eastAsia="Arial" w:hAnsi="Arial"/>
          <w:sz w:val="18"/>
          <w:szCs w:val="18"/>
          <w:color w:val="auto"/>
        </w:rPr>
        <w:t xml:space="preserve">In December 2019, the FASB issued ASU 2019-12, </w:t>
      </w:r>
      <w:r>
        <w:rPr>
          <w:rFonts w:ascii="Arial" w:cs="Arial" w:eastAsia="Arial" w:hAnsi="Arial"/>
          <w:sz w:val="18"/>
          <w:szCs w:val="18"/>
          <w:i w:val="1"/>
          <w:iCs w:val="1"/>
          <w:color w:val="auto"/>
        </w:rPr>
        <w:t>Simplifying the Accounting for Income Taxes (Topic 740)</w:t>
      </w:r>
      <w:r>
        <w:rPr>
          <w:rFonts w:ascii="Arial" w:cs="Arial" w:eastAsia="Arial" w:hAnsi="Arial"/>
          <w:sz w:val="18"/>
          <w:szCs w:val="18"/>
          <w:color w:val="auto"/>
        </w:rPr>
        <w:t>. ASU 2019-12 simplifies the accounting for income taxes by eliminating certain exceptions to the guidance in ASC 740 related to the approach for intraperiod tax allocation, the methodology for calculating income taxes in an interim period and the recognition of deferred tax liabilities for outside basis differences. The standard also simplifies aspects of the accounting for franchise taxes and enacted changes in tax laws or rates and clarifies the accounting for transactions that result in a step-up in the tax basis of goodwill. Certain amendments in this update must be applied on a prospective basis, certain amendments must be applied on a retrospective basis and certain amendments must be applied on a modified retrospective basis through a cumulative-effect adjustment to retained earnings as of the effective date. We adopted ASU 2019-12 effective January 1, 2021. The adoption of this standard did not have a material impact on our financial position, results of operations or cash flows.</w:t>
      </w:r>
    </w:p>
    <w:p>
      <w:pPr>
        <w:spacing w:after="0" w:line="300"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Recent Accounting Pronouncement Not Yet Effective</w:t>
      </w:r>
    </w:p>
    <w:p>
      <w:pPr>
        <w:spacing w:after="0" w:line="225" w:lineRule="exact"/>
        <w:rPr>
          <w:sz w:val="20"/>
          <w:szCs w:val="20"/>
          <w:color w:val="auto"/>
        </w:rPr>
      </w:pPr>
    </w:p>
    <w:p>
      <w:pPr>
        <w:ind w:right="80" w:firstLine="510"/>
        <w:spacing w:after="0" w:line="270" w:lineRule="auto"/>
        <w:rPr>
          <w:sz w:val="20"/>
          <w:szCs w:val="20"/>
          <w:color w:val="auto"/>
        </w:rPr>
      </w:pPr>
      <w:r>
        <w:rPr>
          <w:rFonts w:ascii="Arial" w:cs="Arial" w:eastAsia="Arial" w:hAnsi="Arial"/>
          <w:sz w:val="17"/>
          <w:szCs w:val="17"/>
          <w:color w:val="auto"/>
        </w:rPr>
        <w:t xml:space="preserve">In March 2020, the FASB issued ASU 2020-04, </w:t>
      </w:r>
      <w:r>
        <w:rPr>
          <w:rFonts w:ascii="Arial" w:cs="Arial" w:eastAsia="Arial" w:hAnsi="Arial"/>
          <w:sz w:val="17"/>
          <w:szCs w:val="17"/>
          <w:i w:val="1"/>
          <w:iCs w:val="1"/>
          <w:color w:val="auto"/>
        </w:rPr>
        <w:t>Reference Rate Reform (Topic 848): Facilitation of the Effects of Reference Rate Reform on</w:t>
      </w:r>
      <w:r>
        <w:rPr>
          <w:rFonts w:ascii="Arial" w:cs="Arial" w:eastAsia="Arial" w:hAnsi="Arial"/>
          <w:sz w:val="17"/>
          <w:szCs w:val="17"/>
          <w:color w:val="auto"/>
        </w:rPr>
        <w:t xml:space="preserve"> </w:t>
      </w:r>
      <w:r>
        <w:rPr>
          <w:rFonts w:ascii="Arial" w:cs="Arial" w:eastAsia="Arial" w:hAnsi="Arial"/>
          <w:sz w:val="17"/>
          <w:szCs w:val="17"/>
          <w:i w:val="1"/>
          <w:iCs w:val="1"/>
          <w:color w:val="auto"/>
        </w:rPr>
        <w:t>Financial Reporting</w:t>
      </w:r>
      <w:r>
        <w:rPr>
          <w:rFonts w:ascii="Arial" w:cs="Arial" w:eastAsia="Arial" w:hAnsi="Arial"/>
          <w:sz w:val="17"/>
          <w:szCs w:val="17"/>
          <w:color w:val="auto"/>
        </w:rPr>
        <w:t>. ASU 2020-04 provides optional expedients and exceptions for applying U.S. GAAP if certain criteria are met to contracts, hedging</w:t>
      </w:r>
      <w:r>
        <w:rPr>
          <w:rFonts w:ascii="Arial" w:cs="Arial" w:eastAsia="Arial" w:hAnsi="Arial"/>
          <w:sz w:val="17"/>
          <w:szCs w:val="17"/>
          <w:i w:val="1"/>
          <w:iCs w:val="1"/>
          <w:color w:val="auto"/>
        </w:rPr>
        <w:t xml:space="preserve"> </w:t>
      </w:r>
      <w:r>
        <w:rPr>
          <w:rFonts w:ascii="Arial" w:cs="Arial" w:eastAsia="Arial" w:hAnsi="Arial"/>
          <w:sz w:val="17"/>
          <w:szCs w:val="17"/>
          <w:color w:val="auto"/>
        </w:rPr>
        <w:t xml:space="preserve">relationships and other transactions that reference LIBOR or another reference rate expected to be discontinued. In January 2021, the FASB issued Update 2021-01, </w:t>
      </w:r>
      <w:r>
        <w:rPr>
          <w:rFonts w:ascii="Arial" w:cs="Arial" w:eastAsia="Arial" w:hAnsi="Arial"/>
          <w:sz w:val="17"/>
          <w:szCs w:val="17"/>
          <w:i w:val="1"/>
          <w:iCs w:val="1"/>
          <w:color w:val="auto"/>
        </w:rPr>
        <w:t>Reference Rate Reform (Topic 848): Scope</w:t>
      </w:r>
      <w:r>
        <w:rPr>
          <w:rFonts w:ascii="Arial" w:cs="Arial" w:eastAsia="Arial" w:hAnsi="Arial"/>
          <w:sz w:val="17"/>
          <w:szCs w:val="17"/>
          <w:color w:val="auto"/>
        </w:rPr>
        <w:t>. The update provides additional optional guidance on the transition from LIBOR to include derivative instruments that use an interest rate for margining, discounting or contract price alignment. The standard will ease, if warranted, the requirements for accounting for the future effects of the rate reform. An entity may elect to apply the amendments prospectively through December 31, 2022. A substantial portion of our indebtedness bears interest at variable interest rates, primarily based on USD-LIBOR. We continue to monitor the impact the discontinuance of LIBOR or another reference rate will have on our contracts, hedging relationships and other transactions. We are currently assessing the impact of this standard on our financial condition and results of operations.</w:t>
      </w:r>
    </w:p>
    <w:p>
      <w:pPr>
        <w:spacing w:after="0" w:line="17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2—Property, Plant and Equipment, net</w:t>
      </w:r>
    </w:p>
    <w:p>
      <w:pPr>
        <w:spacing w:after="0" w:line="229" w:lineRule="exact"/>
        <w:rPr>
          <w:sz w:val="20"/>
          <w:szCs w:val="20"/>
          <w:color w:val="auto"/>
        </w:rPr>
      </w:pPr>
    </w:p>
    <w:p>
      <w:pPr>
        <w:ind w:left="520"/>
        <w:spacing w:after="0"/>
        <w:rPr>
          <w:sz w:val="20"/>
          <w:szCs w:val="20"/>
          <w:color w:val="auto"/>
        </w:rPr>
      </w:pPr>
      <w:r>
        <w:rPr>
          <w:rFonts w:ascii="Arial" w:cs="Arial" w:eastAsia="Arial" w:hAnsi="Arial"/>
          <w:sz w:val="18"/>
          <w:szCs w:val="18"/>
          <w:color w:val="auto"/>
        </w:rPr>
        <w:t>Property, plant and equipment and the related accumulated depreciation are as follows (in millions):</w:t>
      </w:r>
    </w:p>
    <w:p>
      <w:pPr>
        <w:spacing w:after="0" w:line="82"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580" w:type="dxa"/>
            <w:vAlign w:val="bottom"/>
          </w:tcPr>
          <w:p>
            <w:pPr>
              <w:spacing w:after="0"/>
              <w:rPr>
                <w:sz w:val="14"/>
                <w:szCs w:val="14"/>
                <w:color w:val="auto"/>
              </w:rPr>
            </w:pPr>
          </w:p>
        </w:tc>
        <w:tc>
          <w:tcPr>
            <w:tcW w:w="4260" w:type="dxa"/>
            <w:vAlign w:val="bottom"/>
          </w:tcPr>
          <w:p>
            <w:pPr>
              <w:spacing w:after="0"/>
              <w:rPr>
                <w:sz w:val="14"/>
                <w:szCs w:val="14"/>
                <w:color w:val="auto"/>
              </w:rPr>
            </w:pPr>
          </w:p>
        </w:tc>
        <w:tc>
          <w:tcPr>
            <w:tcW w:w="28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300" w:type="dxa"/>
            <w:vAlign w:val="bottom"/>
            <w:gridSpan w:val="2"/>
          </w:tcPr>
          <w:p>
            <w:pPr>
              <w:jc w:val="right"/>
              <w:ind w:right="540"/>
              <w:spacing w:after="0"/>
              <w:rPr>
                <w:sz w:val="20"/>
                <w:szCs w:val="20"/>
                <w:color w:val="auto"/>
              </w:rPr>
            </w:pPr>
            <w:r>
              <w:rPr>
                <w:rFonts w:ascii="Arial" w:cs="Arial" w:eastAsia="Arial" w:hAnsi="Arial"/>
                <w:sz w:val="14"/>
                <w:szCs w:val="14"/>
                <w:b w:val="1"/>
                <w:bCs w:val="1"/>
                <w:color w:val="auto"/>
              </w:rPr>
              <w:t>March 31,</w:t>
            </w:r>
          </w:p>
        </w:tc>
        <w:tc>
          <w:tcPr>
            <w:tcW w:w="1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240" w:type="dxa"/>
            <w:vAlign w:val="bottom"/>
            <w:gridSpan w:val="2"/>
          </w:tcPr>
          <w:p>
            <w:pPr>
              <w:jc w:val="right"/>
              <w:ind w:right="340"/>
              <w:spacing w:after="0"/>
              <w:rPr>
                <w:sz w:val="20"/>
                <w:szCs w:val="20"/>
                <w:color w:val="auto"/>
              </w:rPr>
            </w:pPr>
            <w:r>
              <w:rPr>
                <w:rFonts w:ascii="Arial" w:cs="Arial" w:eastAsia="Arial" w:hAnsi="Arial"/>
                <w:sz w:val="14"/>
                <w:szCs w:val="14"/>
                <w:b w:val="1"/>
                <w:bCs w:val="1"/>
                <w:color w:val="auto"/>
                <w:w w:val="96"/>
              </w:rPr>
              <w:t>December 31,</w:t>
            </w:r>
          </w:p>
        </w:tc>
        <w:tc>
          <w:tcPr>
            <w:tcW w:w="5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1"/>
        </w:trPr>
        <w:tc>
          <w:tcPr>
            <w:tcW w:w="580" w:type="dxa"/>
            <w:vAlign w:val="bottom"/>
          </w:tcPr>
          <w:p>
            <w:pPr>
              <w:spacing w:after="0"/>
              <w:rPr>
                <w:sz w:val="14"/>
                <w:szCs w:val="14"/>
                <w:color w:val="auto"/>
              </w:rPr>
            </w:pPr>
          </w:p>
        </w:tc>
        <w:tc>
          <w:tcPr>
            <w:tcW w:w="4260" w:type="dxa"/>
            <w:vAlign w:val="bottom"/>
            <w:tcBorders>
              <w:bottom w:val="single" w:sz="8" w:color="CFF0FC"/>
            </w:tcBorders>
          </w:tcPr>
          <w:p>
            <w:pPr>
              <w:spacing w:after="0"/>
              <w:rPr>
                <w:sz w:val="14"/>
                <w:szCs w:val="14"/>
                <w:color w:val="auto"/>
              </w:rPr>
            </w:pPr>
          </w:p>
        </w:tc>
        <w:tc>
          <w:tcPr>
            <w:tcW w:w="2800" w:type="dxa"/>
            <w:vAlign w:val="bottom"/>
            <w:tcBorders>
              <w:bottom w:val="single" w:sz="8" w:color="CFF0FC"/>
            </w:tcBorders>
          </w:tcPr>
          <w:p>
            <w:pPr>
              <w:spacing w:after="0"/>
              <w:rPr>
                <w:sz w:val="14"/>
                <w:szCs w:val="14"/>
                <w:color w:val="auto"/>
              </w:rPr>
            </w:pPr>
          </w:p>
        </w:tc>
        <w:tc>
          <w:tcPr>
            <w:tcW w:w="220" w:type="dxa"/>
            <w:vAlign w:val="bottom"/>
            <w:tcBorders>
              <w:bottom w:val="single" w:sz="8" w:color="auto"/>
            </w:tcBorders>
          </w:tcPr>
          <w:p>
            <w:pPr>
              <w:spacing w:after="0"/>
              <w:rPr>
                <w:sz w:val="14"/>
                <w:szCs w:val="14"/>
                <w:color w:val="auto"/>
              </w:rPr>
            </w:pPr>
          </w:p>
        </w:tc>
        <w:tc>
          <w:tcPr>
            <w:tcW w:w="1120" w:type="dxa"/>
            <w:vAlign w:val="bottom"/>
            <w:tcBorders>
              <w:bottom w:val="single" w:sz="8" w:color="auto"/>
            </w:tcBorders>
          </w:tcPr>
          <w:p>
            <w:pPr>
              <w:jc w:val="right"/>
              <w:ind w:right="455"/>
              <w:spacing w:after="0"/>
              <w:rPr>
                <w:sz w:val="20"/>
                <w:szCs w:val="20"/>
                <w:color w:val="auto"/>
              </w:rPr>
            </w:pPr>
            <w:r>
              <w:rPr>
                <w:rFonts w:ascii="Arial" w:cs="Arial" w:eastAsia="Arial" w:hAnsi="Arial"/>
                <w:sz w:val="14"/>
                <w:szCs w:val="14"/>
                <w:b w:val="1"/>
                <w:bCs w:val="1"/>
                <w:color w:val="auto"/>
              </w:rPr>
              <w:t>2021</w:t>
            </w:r>
          </w:p>
        </w:tc>
        <w:tc>
          <w:tcPr>
            <w:tcW w:w="180" w:type="dxa"/>
            <w:vAlign w:val="bottom"/>
            <w:tcBorders>
              <w:bottom w:val="single" w:sz="8" w:color="CFF0FC"/>
            </w:tcBorders>
          </w:tcPr>
          <w:p>
            <w:pPr>
              <w:spacing w:after="0"/>
              <w:rPr>
                <w:sz w:val="14"/>
                <w:szCs w:val="14"/>
                <w:color w:val="auto"/>
              </w:rPr>
            </w:pPr>
          </w:p>
        </w:tc>
        <w:tc>
          <w:tcPr>
            <w:tcW w:w="120" w:type="dxa"/>
            <w:vAlign w:val="bottom"/>
            <w:tcBorders>
              <w:bottom w:val="single" w:sz="8" w:color="CFF0FC"/>
            </w:tcBorders>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1140" w:type="dxa"/>
            <w:vAlign w:val="bottom"/>
            <w:tcBorders>
              <w:bottom w:val="single" w:sz="8" w:color="auto"/>
            </w:tcBorders>
          </w:tcPr>
          <w:p>
            <w:pPr>
              <w:jc w:val="right"/>
              <w:ind w:right="435"/>
              <w:spacing w:after="0"/>
              <w:rPr>
                <w:sz w:val="20"/>
                <w:szCs w:val="20"/>
                <w:color w:val="auto"/>
              </w:rPr>
            </w:pPr>
            <w:r>
              <w:rPr>
                <w:rFonts w:ascii="Arial" w:cs="Arial" w:eastAsia="Arial" w:hAnsi="Arial"/>
                <w:sz w:val="14"/>
                <w:szCs w:val="14"/>
                <w:b w:val="1"/>
                <w:bCs w:val="1"/>
                <w:color w:val="auto"/>
              </w:rPr>
              <w:t>2020</w:t>
            </w:r>
          </w:p>
        </w:tc>
        <w:tc>
          <w:tcPr>
            <w:tcW w:w="100" w:type="dxa"/>
            <w:vAlign w:val="bottom"/>
            <w:tcBorders>
              <w:bottom w:val="single" w:sz="8" w:color="CFF0FC"/>
            </w:tcBorders>
          </w:tcPr>
          <w:p>
            <w:pPr>
              <w:spacing w:after="0"/>
              <w:rPr>
                <w:sz w:val="14"/>
                <w:szCs w:val="14"/>
                <w:color w:val="auto"/>
              </w:rPr>
            </w:pPr>
          </w:p>
        </w:tc>
        <w:tc>
          <w:tcPr>
            <w:tcW w:w="5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23"/>
        </w:trPr>
        <w:tc>
          <w:tcPr>
            <w:tcW w:w="580" w:type="dxa"/>
            <w:vAlign w:val="bottom"/>
          </w:tcPr>
          <w:p>
            <w:pPr>
              <w:spacing w:after="0"/>
              <w:rPr>
                <w:sz w:val="19"/>
                <w:szCs w:val="19"/>
                <w:color w:val="auto"/>
              </w:rPr>
            </w:pPr>
          </w:p>
        </w:tc>
        <w:tc>
          <w:tcPr>
            <w:tcW w:w="4260" w:type="dxa"/>
            <w:vAlign w:val="bottom"/>
            <w:shd w:val="clear" w:color="auto" w:fill="CFF0FC"/>
          </w:tcPr>
          <w:p>
            <w:pPr>
              <w:spacing w:after="0"/>
              <w:rPr>
                <w:sz w:val="20"/>
                <w:szCs w:val="20"/>
                <w:color w:val="auto"/>
              </w:rPr>
            </w:pPr>
            <w:r>
              <w:rPr>
                <w:rFonts w:ascii="Arial" w:cs="Arial" w:eastAsia="Arial" w:hAnsi="Arial"/>
                <w:sz w:val="18"/>
                <w:szCs w:val="18"/>
                <w:color w:val="auto"/>
              </w:rPr>
              <w:t>Land</w:t>
            </w:r>
          </w:p>
        </w:tc>
        <w:tc>
          <w:tcPr>
            <w:tcW w:w="2800" w:type="dxa"/>
            <w:vAlign w:val="bottom"/>
            <w:shd w:val="clear" w:color="auto" w:fill="CFF0FC"/>
          </w:tcPr>
          <w:p>
            <w:pPr>
              <w:spacing w:after="0"/>
              <w:rPr>
                <w:sz w:val="19"/>
                <w:szCs w:val="19"/>
                <w:color w:val="auto"/>
              </w:rPr>
            </w:pPr>
          </w:p>
        </w:tc>
        <w:tc>
          <w:tcPr>
            <w:tcW w:w="220" w:type="dxa"/>
            <w:vAlign w:val="bottom"/>
            <w:shd w:val="clear" w:color="auto" w:fill="CFF0FC"/>
          </w:tcPr>
          <w:p>
            <w:pPr>
              <w:jc w:val="right"/>
              <w:ind w:right="67"/>
              <w:spacing w:after="0"/>
              <w:rPr>
                <w:sz w:val="20"/>
                <w:szCs w:val="20"/>
                <w:color w:val="auto"/>
              </w:rPr>
            </w:pPr>
            <w:r>
              <w:rPr>
                <w:rFonts w:ascii="Arial" w:cs="Arial" w:eastAsia="Arial" w:hAnsi="Arial"/>
                <w:sz w:val="15"/>
                <w:szCs w:val="15"/>
                <w:color w:val="auto"/>
                <w:w w:val="71"/>
              </w:rPr>
              <w:t>$</w:t>
            </w:r>
          </w:p>
        </w:tc>
        <w:tc>
          <w:tcPr>
            <w:tcW w:w="11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54.2</w:t>
            </w:r>
          </w:p>
        </w:tc>
        <w:tc>
          <w:tcPr>
            <w:tcW w:w="18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160" w:type="dxa"/>
            <w:vAlign w:val="bottom"/>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11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48.0</w:t>
            </w:r>
          </w:p>
        </w:tc>
        <w:tc>
          <w:tcPr>
            <w:tcW w:w="100" w:type="dxa"/>
            <w:vAlign w:val="bottom"/>
            <w:shd w:val="clear" w:color="auto" w:fill="CFF0FC"/>
          </w:tcPr>
          <w:p>
            <w:pPr>
              <w:spacing w:after="0"/>
              <w:rPr>
                <w:sz w:val="19"/>
                <w:szCs w:val="19"/>
                <w:color w:val="auto"/>
              </w:rPr>
            </w:pPr>
          </w:p>
        </w:tc>
        <w:tc>
          <w:tcPr>
            <w:tcW w:w="5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580" w:type="dxa"/>
            <w:vAlign w:val="bottom"/>
          </w:tcPr>
          <w:p>
            <w:pPr>
              <w:spacing w:after="0"/>
              <w:rPr>
                <w:sz w:val="19"/>
                <w:szCs w:val="19"/>
                <w:color w:val="auto"/>
              </w:rPr>
            </w:pPr>
          </w:p>
        </w:tc>
        <w:tc>
          <w:tcPr>
            <w:tcW w:w="4260" w:type="dxa"/>
            <w:vAlign w:val="bottom"/>
          </w:tcPr>
          <w:p>
            <w:pPr>
              <w:spacing w:after="0"/>
              <w:rPr>
                <w:sz w:val="20"/>
                <w:szCs w:val="20"/>
                <w:color w:val="auto"/>
              </w:rPr>
            </w:pPr>
            <w:r>
              <w:rPr>
                <w:rFonts w:ascii="Arial" w:cs="Arial" w:eastAsia="Arial" w:hAnsi="Arial"/>
                <w:sz w:val="18"/>
                <w:szCs w:val="18"/>
                <w:color w:val="auto"/>
              </w:rPr>
              <w:t>Building and improvements</w:t>
            </w:r>
          </w:p>
        </w:tc>
        <w:tc>
          <w:tcPr>
            <w:tcW w:w="28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311.2</w:t>
            </w:r>
          </w:p>
        </w:tc>
        <w:tc>
          <w:tcPr>
            <w:tcW w:w="1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307.4</w:t>
            </w:r>
          </w:p>
        </w:tc>
        <w:tc>
          <w:tcPr>
            <w:tcW w:w="10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580" w:type="dxa"/>
            <w:vAlign w:val="bottom"/>
          </w:tcPr>
          <w:p>
            <w:pPr>
              <w:spacing w:after="0"/>
              <w:rPr>
                <w:sz w:val="19"/>
                <w:szCs w:val="19"/>
                <w:color w:val="auto"/>
              </w:rPr>
            </w:pPr>
          </w:p>
        </w:tc>
        <w:tc>
          <w:tcPr>
            <w:tcW w:w="4260" w:type="dxa"/>
            <w:vAlign w:val="bottom"/>
            <w:shd w:val="clear" w:color="auto" w:fill="CFF0FC"/>
          </w:tcPr>
          <w:p>
            <w:pPr>
              <w:spacing w:after="0"/>
              <w:rPr>
                <w:sz w:val="20"/>
                <w:szCs w:val="20"/>
                <w:color w:val="auto"/>
              </w:rPr>
            </w:pPr>
            <w:r>
              <w:rPr>
                <w:rFonts w:ascii="Arial" w:cs="Arial" w:eastAsia="Arial" w:hAnsi="Arial"/>
                <w:sz w:val="18"/>
                <w:szCs w:val="18"/>
                <w:color w:val="auto"/>
              </w:rPr>
              <w:t>Equipment, furniture, and fixtures</w:t>
            </w:r>
          </w:p>
        </w:tc>
        <w:tc>
          <w:tcPr>
            <w:tcW w:w="2800" w:type="dxa"/>
            <w:vAlign w:val="bottom"/>
            <w:shd w:val="clear" w:color="auto" w:fill="CFF0FC"/>
          </w:tcPr>
          <w:p>
            <w:pPr>
              <w:spacing w:after="0"/>
              <w:rPr>
                <w:sz w:val="19"/>
                <w:szCs w:val="19"/>
                <w:color w:val="auto"/>
              </w:rPr>
            </w:pPr>
          </w:p>
        </w:tc>
        <w:tc>
          <w:tcPr>
            <w:tcW w:w="220" w:type="dxa"/>
            <w:vAlign w:val="bottom"/>
            <w:tcBorders>
              <w:bottom w:val="single" w:sz="8" w:color="auto"/>
            </w:tcBorders>
            <w:shd w:val="clear" w:color="auto" w:fill="CFF0FC"/>
          </w:tcPr>
          <w:p>
            <w:pPr>
              <w:spacing w:after="0"/>
              <w:rPr>
                <w:sz w:val="19"/>
                <w:szCs w:val="19"/>
                <w:color w:val="auto"/>
              </w:rPr>
            </w:pPr>
          </w:p>
        </w:tc>
        <w:tc>
          <w:tcPr>
            <w:tcW w:w="11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448.1</w:t>
            </w:r>
          </w:p>
        </w:tc>
        <w:tc>
          <w:tcPr>
            <w:tcW w:w="18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160" w:type="dxa"/>
            <w:vAlign w:val="bottom"/>
            <w:tcBorders>
              <w:bottom w:val="single" w:sz="8" w:color="auto"/>
            </w:tcBorders>
            <w:shd w:val="clear" w:color="auto" w:fill="CFF0FC"/>
          </w:tcPr>
          <w:p>
            <w:pPr>
              <w:spacing w:after="0"/>
              <w:rPr>
                <w:sz w:val="19"/>
                <w:szCs w:val="19"/>
                <w:color w:val="auto"/>
              </w:rPr>
            </w:pPr>
          </w:p>
        </w:tc>
        <w:tc>
          <w:tcPr>
            <w:tcW w:w="11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463.1</w:t>
            </w:r>
          </w:p>
        </w:tc>
        <w:tc>
          <w:tcPr>
            <w:tcW w:w="100" w:type="dxa"/>
            <w:vAlign w:val="bottom"/>
            <w:shd w:val="clear" w:color="auto" w:fill="CFF0FC"/>
          </w:tcPr>
          <w:p>
            <w:pPr>
              <w:spacing w:after="0"/>
              <w:rPr>
                <w:sz w:val="19"/>
                <w:szCs w:val="19"/>
                <w:color w:val="auto"/>
              </w:rPr>
            </w:pPr>
          </w:p>
        </w:tc>
        <w:tc>
          <w:tcPr>
            <w:tcW w:w="5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580" w:type="dxa"/>
            <w:vAlign w:val="bottom"/>
          </w:tcPr>
          <w:p>
            <w:pPr>
              <w:spacing w:after="0"/>
              <w:rPr>
                <w:sz w:val="19"/>
                <w:szCs w:val="19"/>
                <w:color w:val="auto"/>
              </w:rPr>
            </w:pPr>
          </w:p>
        </w:tc>
        <w:tc>
          <w:tcPr>
            <w:tcW w:w="4260" w:type="dxa"/>
            <w:vAlign w:val="bottom"/>
          </w:tcPr>
          <w:p>
            <w:pPr>
              <w:spacing w:after="0"/>
              <w:rPr>
                <w:sz w:val="19"/>
                <w:szCs w:val="19"/>
                <w:color w:val="auto"/>
              </w:rPr>
            </w:pPr>
          </w:p>
        </w:tc>
        <w:tc>
          <w:tcPr>
            <w:tcW w:w="28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813.5</w:t>
            </w:r>
          </w:p>
        </w:tc>
        <w:tc>
          <w:tcPr>
            <w:tcW w:w="1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818.5</w:t>
            </w:r>
          </w:p>
        </w:tc>
        <w:tc>
          <w:tcPr>
            <w:tcW w:w="10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580" w:type="dxa"/>
            <w:vAlign w:val="bottom"/>
          </w:tcPr>
          <w:p>
            <w:pPr>
              <w:spacing w:after="0"/>
              <w:rPr>
                <w:sz w:val="19"/>
                <w:szCs w:val="19"/>
                <w:color w:val="auto"/>
              </w:rPr>
            </w:pPr>
          </w:p>
        </w:tc>
        <w:tc>
          <w:tcPr>
            <w:tcW w:w="4260" w:type="dxa"/>
            <w:vAlign w:val="bottom"/>
            <w:shd w:val="clear" w:color="auto" w:fill="CFF0FC"/>
          </w:tcPr>
          <w:p>
            <w:pPr>
              <w:spacing w:after="0"/>
              <w:rPr>
                <w:sz w:val="20"/>
                <w:szCs w:val="20"/>
                <w:color w:val="auto"/>
              </w:rPr>
            </w:pPr>
            <w:r>
              <w:rPr>
                <w:rFonts w:ascii="Arial" w:cs="Arial" w:eastAsia="Arial" w:hAnsi="Arial"/>
                <w:sz w:val="18"/>
                <w:szCs w:val="18"/>
                <w:color w:val="auto"/>
              </w:rPr>
              <w:t>Less: accumulated depreciation and amortization</w:t>
            </w:r>
          </w:p>
        </w:tc>
        <w:tc>
          <w:tcPr>
            <w:tcW w:w="280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1300" w:type="dxa"/>
            <w:vAlign w:val="bottom"/>
            <w:gridSpan w:val="2"/>
            <w:shd w:val="clear" w:color="auto" w:fill="CFF0FC"/>
          </w:tcPr>
          <w:p>
            <w:pPr>
              <w:jc w:val="right"/>
              <w:ind w:right="120"/>
              <w:spacing w:after="0"/>
              <w:rPr>
                <w:sz w:val="20"/>
                <w:szCs w:val="20"/>
                <w:color w:val="auto"/>
              </w:rPr>
            </w:pPr>
            <w:r>
              <w:rPr>
                <w:rFonts w:ascii="Arial" w:cs="Arial" w:eastAsia="Arial" w:hAnsi="Arial"/>
                <w:sz w:val="18"/>
                <w:szCs w:val="18"/>
                <w:color w:val="auto"/>
              </w:rPr>
              <w:t>(410.8)</w:t>
            </w:r>
          </w:p>
        </w:tc>
        <w:tc>
          <w:tcPr>
            <w:tcW w:w="12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1240" w:type="dxa"/>
            <w:vAlign w:val="bottom"/>
            <w:gridSpan w:val="2"/>
            <w:shd w:val="clear" w:color="auto" w:fill="CFF0FC"/>
          </w:tcPr>
          <w:p>
            <w:pPr>
              <w:jc w:val="right"/>
              <w:ind w:right="40"/>
              <w:spacing w:after="0"/>
              <w:rPr>
                <w:sz w:val="20"/>
                <w:szCs w:val="20"/>
                <w:color w:val="auto"/>
              </w:rPr>
            </w:pPr>
            <w:r>
              <w:rPr>
                <w:rFonts w:ascii="Arial" w:cs="Arial" w:eastAsia="Arial" w:hAnsi="Arial"/>
                <w:sz w:val="18"/>
                <w:szCs w:val="18"/>
                <w:color w:val="auto"/>
              </w:rPr>
              <w:t>(405.7)</w:t>
            </w:r>
          </w:p>
        </w:tc>
        <w:tc>
          <w:tcPr>
            <w:tcW w:w="5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580" w:type="dxa"/>
            <w:vAlign w:val="bottom"/>
          </w:tcPr>
          <w:p>
            <w:pPr>
              <w:spacing w:after="0"/>
              <w:rPr>
                <w:sz w:val="19"/>
                <w:szCs w:val="19"/>
                <w:color w:val="auto"/>
              </w:rPr>
            </w:pPr>
          </w:p>
        </w:tc>
        <w:tc>
          <w:tcPr>
            <w:tcW w:w="4260" w:type="dxa"/>
            <w:vAlign w:val="bottom"/>
          </w:tcPr>
          <w:p>
            <w:pPr>
              <w:spacing w:after="0"/>
              <w:rPr>
                <w:sz w:val="20"/>
                <w:szCs w:val="20"/>
                <w:color w:val="auto"/>
              </w:rPr>
            </w:pPr>
            <w:r>
              <w:rPr>
                <w:rFonts w:ascii="Arial" w:cs="Arial" w:eastAsia="Arial" w:hAnsi="Arial"/>
                <w:sz w:val="18"/>
                <w:szCs w:val="18"/>
                <w:color w:val="auto"/>
              </w:rPr>
              <w:t>Total property, plant and equipment, net</w:t>
            </w:r>
          </w:p>
        </w:tc>
        <w:tc>
          <w:tcPr>
            <w:tcW w:w="2800" w:type="dxa"/>
            <w:vAlign w:val="bottom"/>
          </w:tcPr>
          <w:p>
            <w:pPr>
              <w:spacing w:after="0"/>
              <w:rPr>
                <w:sz w:val="19"/>
                <w:szCs w:val="19"/>
                <w:color w:val="auto"/>
              </w:rPr>
            </w:pPr>
          </w:p>
        </w:tc>
        <w:tc>
          <w:tcPr>
            <w:tcW w:w="220" w:type="dxa"/>
            <w:vAlign w:val="bottom"/>
            <w:tcBorders>
              <w:top w:val="single" w:sz="8" w:color="auto"/>
              <w:bottom w:val="single" w:sz="8" w:color="auto"/>
            </w:tcBorders>
          </w:tcPr>
          <w:p>
            <w:pPr>
              <w:jc w:val="right"/>
              <w:ind w:right="67"/>
              <w:spacing w:after="0"/>
              <w:rPr>
                <w:sz w:val="20"/>
                <w:szCs w:val="20"/>
                <w:color w:val="auto"/>
              </w:rPr>
            </w:pPr>
            <w:r>
              <w:rPr>
                <w:rFonts w:ascii="Arial" w:cs="Arial" w:eastAsia="Arial" w:hAnsi="Arial"/>
                <w:sz w:val="15"/>
                <w:szCs w:val="15"/>
                <w:color w:val="auto"/>
                <w:w w:val="71"/>
              </w:rPr>
              <w:t>$</w:t>
            </w:r>
          </w:p>
        </w:tc>
        <w:tc>
          <w:tcPr>
            <w:tcW w:w="11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402.7</w:t>
            </w:r>
          </w:p>
        </w:tc>
        <w:tc>
          <w:tcPr>
            <w:tcW w:w="1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1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412.8</w:t>
            </w:r>
          </w:p>
        </w:tc>
        <w:tc>
          <w:tcPr>
            <w:tcW w:w="10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580" w:type="dxa"/>
            <w:vAlign w:val="bottom"/>
          </w:tcPr>
          <w:p>
            <w:pPr>
              <w:spacing w:after="0" w:line="20" w:lineRule="exact"/>
              <w:rPr>
                <w:sz w:val="1"/>
                <w:szCs w:val="1"/>
                <w:color w:val="auto"/>
              </w:rPr>
            </w:pPr>
          </w:p>
        </w:tc>
        <w:tc>
          <w:tcPr>
            <w:tcW w:w="4260" w:type="dxa"/>
            <w:vAlign w:val="bottom"/>
          </w:tcPr>
          <w:p>
            <w:pPr>
              <w:spacing w:after="0" w:line="20" w:lineRule="exact"/>
              <w:rPr>
                <w:sz w:val="1"/>
                <w:szCs w:val="1"/>
                <w:color w:val="auto"/>
              </w:rPr>
            </w:pPr>
          </w:p>
        </w:tc>
        <w:tc>
          <w:tcPr>
            <w:tcW w:w="2800" w:type="dxa"/>
            <w:vAlign w:val="bottom"/>
            <w:vMerge w:val="restart"/>
          </w:tcPr>
          <w:p>
            <w:pPr>
              <w:jc w:val="right"/>
              <w:ind w:right="1890"/>
              <w:spacing w:after="0"/>
              <w:rPr>
                <w:sz w:val="20"/>
                <w:szCs w:val="20"/>
                <w:color w:val="auto"/>
              </w:rPr>
            </w:pPr>
            <w:r>
              <w:rPr>
                <w:rFonts w:ascii="Arial" w:cs="Arial" w:eastAsia="Arial" w:hAnsi="Arial"/>
                <w:sz w:val="18"/>
                <w:szCs w:val="18"/>
                <w:color w:val="auto"/>
              </w:rPr>
              <w:t>7</w:t>
            </w:r>
          </w:p>
        </w:tc>
        <w:tc>
          <w:tcPr>
            <w:tcW w:w="22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12"/>
        </w:trPr>
        <w:tc>
          <w:tcPr>
            <w:tcW w:w="580" w:type="dxa"/>
            <w:vAlign w:val="bottom"/>
          </w:tcPr>
          <w:p>
            <w:pPr>
              <w:spacing w:after="0"/>
              <w:rPr>
                <w:sz w:val="24"/>
                <w:szCs w:val="24"/>
                <w:color w:val="auto"/>
              </w:rPr>
            </w:pPr>
          </w:p>
        </w:tc>
        <w:tc>
          <w:tcPr>
            <w:tcW w:w="4260" w:type="dxa"/>
            <w:vAlign w:val="bottom"/>
          </w:tcPr>
          <w:p>
            <w:pPr>
              <w:spacing w:after="0"/>
              <w:rPr>
                <w:sz w:val="24"/>
                <w:szCs w:val="24"/>
                <w:color w:val="auto"/>
              </w:rPr>
            </w:pPr>
          </w:p>
        </w:tc>
        <w:tc>
          <w:tcPr>
            <w:tcW w:w="2800" w:type="dxa"/>
            <w:vAlign w:val="bottom"/>
            <w:vMerge w:val="continue"/>
          </w:tcPr>
          <w:p>
            <w:pPr>
              <w:spacing w:after="0"/>
              <w:rPr>
                <w:sz w:val="24"/>
                <w:szCs w:val="24"/>
                <w:color w:val="auto"/>
              </w:rPr>
            </w:pPr>
          </w:p>
        </w:tc>
        <w:tc>
          <w:tcPr>
            <w:tcW w:w="22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15"/>
        </w:trPr>
        <w:tc>
          <w:tcPr>
            <w:tcW w:w="580" w:type="dxa"/>
            <w:vAlign w:val="bottom"/>
            <w:tcBorders>
              <w:bottom w:val="single" w:sz="8" w:color="9A9A9A"/>
            </w:tcBorders>
          </w:tcPr>
          <w:p>
            <w:pPr>
              <w:spacing w:after="0"/>
              <w:rPr>
                <w:sz w:val="10"/>
                <w:szCs w:val="10"/>
                <w:color w:val="auto"/>
              </w:rPr>
            </w:pPr>
          </w:p>
        </w:tc>
        <w:tc>
          <w:tcPr>
            <w:tcW w:w="4260" w:type="dxa"/>
            <w:vAlign w:val="bottom"/>
            <w:tcBorders>
              <w:bottom w:val="single" w:sz="8" w:color="9A9A9A"/>
            </w:tcBorders>
          </w:tcPr>
          <w:p>
            <w:pPr>
              <w:spacing w:after="0"/>
              <w:rPr>
                <w:sz w:val="10"/>
                <w:szCs w:val="10"/>
                <w:color w:val="auto"/>
              </w:rPr>
            </w:pPr>
          </w:p>
        </w:tc>
        <w:tc>
          <w:tcPr>
            <w:tcW w:w="2800" w:type="dxa"/>
            <w:vAlign w:val="bottom"/>
            <w:tcBorders>
              <w:bottom w:val="single" w:sz="8" w:color="9A9A9A"/>
            </w:tcBorders>
          </w:tcPr>
          <w:p>
            <w:pPr>
              <w:spacing w:after="0"/>
              <w:rPr>
                <w:sz w:val="10"/>
                <w:szCs w:val="10"/>
                <w:color w:val="auto"/>
              </w:rPr>
            </w:pPr>
          </w:p>
        </w:tc>
        <w:tc>
          <w:tcPr>
            <w:tcW w:w="220" w:type="dxa"/>
            <w:vAlign w:val="bottom"/>
            <w:tcBorders>
              <w:bottom w:val="single" w:sz="8" w:color="9A9A9A"/>
            </w:tcBorders>
          </w:tcPr>
          <w:p>
            <w:pPr>
              <w:spacing w:after="0"/>
              <w:rPr>
                <w:sz w:val="10"/>
                <w:szCs w:val="10"/>
                <w:color w:val="auto"/>
              </w:rPr>
            </w:pPr>
          </w:p>
        </w:tc>
        <w:tc>
          <w:tcPr>
            <w:tcW w:w="1120" w:type="dxa"/>
            <w:vAlign w:val="bottom"/>
            <w:tcBorders>
              <w:bottom w:val="single" w:sz="8" w:color="9A9A9A"/>
            </w:tcBorders>
          </w:tcPr>
          <w:p>
            <w:pPr>
              <w:spacing w:after="0"/>
              <w:rPr>
                <w:sz w:val="10"/>
                <w:szCs w:val="10"/>
                <w:color w:val="auto"/>
              </w:rPr>
            </w:pPr>
          </w:p>
        </w:tc>
        <w:tc>
          <w:tcPr>
            <w:tcW w:w="180" w:type="dxa"/>
            <w:vAlign w:val="bottom"/>
            <w:tcBorders>
              <w:bottom w:val="single" w:sz="8" w:color="9A9A9A"/>
            </w:tcBorders>
          </w:tcPr>
          <w:p>
            <w:pPr>
              <w:spacing w:after="0"/>
              <w:rPr>
                <w:sz w:val="10"/>
                <w:szCs w:val="10"/>
                <w:color w:val="auto"/>
              </w:rPr>
            </w:pPr>
          </w:p>
        </w:tc>
        <w:tc>
          <w:tcPr>
            <w:tcW w:w="120" w:type="dxa"/>
            <w:vAlign w:val="bottom"/>
            <w:tcBorders>
              <w:bottom w:val="single" w:sz="8" w:color="9A9A9A"/>
            </w:tcBorders>
          </w:tcPr>
          <w:p>
            <w:pPr>
              <w:spacing w:after="0"/>
              <w:rPr>
                <w:sz w:val="10"/>
                <w:szCs w:val="10"/>
                <w:color w:val="auto"/>
              </w:rPr>
            </w:pPr>
          </w:p>
        </w:tc>
        <w:tc>
          <w:tcPr>
            <w:tcW w:w="160" w:type="dxa"/>
            <w:vAlign w:val="bottom"/>
            <w:tcBorders>
              <w:bottom w:val="single" w:sz="8" w:color="9A9A9A"/>
            </w:tcBorders>
          </w:tcPr>
          <w:p>
            <w:pPr>
              <w:spacing w:after="0"/>
              <w:rPr>
                <w:sz w:val="10"/>
                <w:szCs w:val="10"/>
                <w:color w:val="auto"/>
              </w:rPr>
            </w:pPr>
          </w:p>
        </w:tc>
        <w:tc>
          <w:tcPr>
            <w:tcW w:w="1140" w:type="dxa"/>
            <w:vAlign w:val="bottom"/>
            <w:tcBorders>
              <w:bottom w:val="single" w:sz="8" w:color="9A9A9A"/>
            </w:tcBorders>
          </w:tcPr>
          <w:p>
            <w:pPr>
              <w:spacing w:after="0"/>
              <w:rPr>
                <w:sz w:val="10"/>
                <w:szCs w:val="10"/>
                <w:color w:val="auto"/>
              </w:rPr>
            </w:pPr>
          </w:p>
        </w:tc>
        <w:tc>
          <w:tcPr>
            <w:tcW w:w="100" w:type="dxa"/>
            <w:vAlign w:val="bottom"/>
            <w:tcBorders>
              <w:bottom w:val="single" w:sz="8" w:color="9A9A9A"/>
            </w:tcBorders>
          </w:tcPr>
          <w:p>
            <w:pPr>
              <w:spacing w:after="0"/>
              <w:rPr>
                <w:sz w:val="10"/>
                <w:szCs w:val="10"/>
                <w:color w:val="auto"/>
              </w:rPr>
            </w:pPr>
          </w:p>
        </w:tc>
        <w:tc>
          <w:tcPr>
            <w:tcW w:w="560" w:type="dxa"/>
            <w:vAlign w:val="bottom"/>
            <w:tcBorders>
              <w:bottom w:val="single" w:sz="8" w:color="9A9A9A"/>
            </w:tcBorders>
          </w:tcPr>
          <w:p>
            <w:pPr>
              <w:spacing w:after="0"/>
              <w:rPr>
                <w:sz w:val="10"/>
                <w:szCs w:val="10"/>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553" w:right="339" w:bottom="1440" w:gutter="0" w:footer="0" w:header="0"/>
        </w:sectPr>
      </w:pPr>
    </w:p>
    <w:bookmarkStart w:id="7" w:name="page8"/>
    <w:bookmarkEnd w:id="7"/>
    <w:p>
      <w:pPr>
        <w:ind w:left="520"/>
        <w:spacing w:after="0"/>
        <w:rPr>
          <w:sz w:val="20"/>
          <w:szCs w:val="20"/>
          <w:color w:val="auto"/>
        </w:rPr>
      </w:pPr>
      <w:r>
        <w:rPr>
          <w:rFonts w:ascii="Arial" w:cs="Arial" w:eastAsia="Arial" w:hAnsi="Arial"/>
          <w:sz w:val="18"/>
          <w:szCs w:val="18"/>
          <w:color w:val="auto"/>
        </w:rPr>
        <w:t>Depreciation expense for the three months ended March 31, 2021 and 2020 was $24.9 million and $27.1 million, respectively.</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3—Investments</w:t>
      </w:r>
    </w:p>
    <w:p>
      <w:pPr>
        <w:spacing w:after="0" w:line="121" w:lineRule="exact"/>
        <w:rPr>
          <w:sz w:val="20"/>
          <w:szCs w:val="20"/>
          <w:color w:val="auto"/>
        </w:rPr>
      </w:pPr>
    </w:p>
    <w:p>
      <w:pPr>
        <w:ind w:left="520"/>
        <w:spacing w:after="0"/>
        <w:rPr>
          <w:sz w:val="20"/>
          <w:szCs w:val="20"/>
          <w:color w:val="auto"/>
        </w:rPr>
      </w:pPr>
      <w:r>
        <w:rPr>
          <w:rFonts w:ascii="Arial" w:cs="Arial" w:eastAsia="Arial" w:hAnsi="Arial"/>
          <w:sz w:val="18"/>
          <w:szCs w:val="18"/>
          <w:color w:val="auto"/>
        </w:rPr>
        <w:t>Investments are as follows (in millions):</w:t>
      </w:r>
    </w:p>
    <w:p>
      <w:pPr>
        <w:spacing w:after="0" w:line="82" w:lineRule="exact"/>
        <w:rPr>
          <w:sz w:val="20"/>
          <w:szCs w:val="20"/>
          <w:color w:val="auto"/>
        </w:rPr>
      </w:pPr>
    </w:p>
    <w:tbl>
      <w:tblPr>
        <w:tblLayout w:type="fixed"/>
        <w:tblInd w:w="560" w:type="dxa"/>
        <w:tblCellMar>
          <w:top w:w="0" w:type="dxa"/>
          <w:left w:w="0" w:type="dxa"/>
          <w:bottom w:w="0" w:type="dxa"/>
          <w:right w:w="0" w:type="dxa"/>
        </w:tblCellMar>
      </w:tblPr>
      <w:tr>
        <w:trPr>
          <w:trHeight w:val="162"/>
        </w:trPr>
        <w:tc>
          <w:tcPr>
            <w:tcW w:w="20" w:type="dxa"/>
            <w:vAlign w:val="bottom"/>
          </w:tcPr>
          <w:p>
            <w:pPr>
              <w:spacing w:after="0"/>
              <w:rPr>
                <w:sz w:val="14"/>
                <w:szCs w:val="14"/>
                <w:color w:val="auto"/>
              </w:rPr>
            </w:pPr>
          </w:p>
        </w:tc>
        <w:tc>
          <w:tcPr>
            <w:tcW w:w="676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300" w:type="dxa"/>
            <w:vAlign w:val="bottom"/>
            <w:gridSpan w:val="3"/>
          </w:tcPr>
          <w:p>
            <w:pPr>
              <w:spacing w:after="0"/>
              <w:rPr>
                <w:sz w:val="20"/>
                <w:szCs w:val="20"/>
                <w:color w:val="auto"/>
              </w:rPr>
            </w:pPr>
            <w:r>
              <w:rPr>
                <w:rFonts w:ascii="Arial" w:cs="Arial" w:eastAsia="Arial" w:hAnsi="Arial"/>
                <w:sz w:val="14"/>
                <w:szCs w:val="14"/>
                <w:b w:val="1"/>
                <w:bCs w:val="1"/>
                <w:color w:val="auto"/>
              </w:rPr>
              <w:t>March 31,</w:t>
            </w:r>
          </w:p>
        </w:tc>
        <w:tc>
          <w:tcPr>
            <w:tcW w:w="2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340" w:type="dxa"/>
            <w:vAlign w:val="bottom"/>
            <w:gridSpan w:val="2"/>
          </w:tcPr>
          <w:p>
            <w:pPr>
              <w:jc w:val="right"/>
              <w:ind w:right="480"/>
              <w:spacing w:after="0"/>
              <w:rPr>
                <w:sz w:val="20"/>
                <w:szCs w:val="20"/>
                <w:color w:val="auto"/>
              </w:rPr>
            </w:pPr>
            <w:r>
              <w:rPr>
                <w:rFonts w:ascii="Arial" w:cs="Arial" w:eastAsia="Arial" w:hAnsi="Arial"/>
                <w:sz w:val="14"/>
                <w:szCs w:val="14"/>
                <w:b w:val="1"/>
                <w:bCs w:val="1"/>
                <w:color w:val="auto"/>
                <w:w w:val="92"/>
              </w:rPr>
              <w:t>December 31,</w:t>
            </w: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6760" w:type="dxa"/>
            <w:vAlign w:val="bottom"/>
            <w:tcBorders>
              <w:bottom w:val="single" w:sz="8" w:color="CFF0FC"/>
            </w:tcBorders>
          </w:tcPr>
          <w:p>
            <w:pPr>
              <w:spacing w:after="0"/>
              <w:rPr>
                <w:sz w:val="14"/>
                <w:szCs w:val="14"/>
                <w:color w:val="auto"/>
              </w:rPr>
            </w:pPr>
          </w:p>
        </w:tc>
        <w:tc>
          <w:tcPr>
            <w:tcW w:w="60" w:type="dxa"/>
            <w:vAlign w:val="bottom"/>
            <w:tcBorders>
              <w:bottom w:val="single" w:sz="8" w:color="CFF0FC"/>
            </w:tcBorders>
          </w:tcPr>
          <w:p>
            <w:pPr>
              <w:spacing w:after="0"/>
              <w:rPr>
                <w:sz w:val="14"/>
                <w:szCs w:val="14"/>
                <w:color w:val="auto"/>
              </w:rPr>
            </w:pPr>
          </w:p>
        </w:tc>
        <w:tc>
          <w:tcPr>
            <w:tcW w:w="200" w:type="dxa"/>
            <w:vAlign w:val="bottom"/>
            <w:tcBorders>
              <w:bottom w:val="single" w:sz="8" w:color="auto"/>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960" w:type="dxa"/>
            <w:vAlign w:val="bottom"/>
            <w:tcBorders>
              <w:bottom w:val="single" w:sz="8" w:color="auto"/>
            </w:tcBorders>
          </w:tcPr>
          <w:p>
            <w:pPr>
              <w:jc w:val="right"/>
              <w:ind w:right="416"/>
              <w:spacing w:after="0"/>
              <w:rPr>
                <w:sz w:val="20"/>
                <w:szCs w:val="20"/>
                <w:color w:val="auto"/>
              </w:rPr>
            </w:pPr>
            <w:r>
              <w:rPr>
                <w:rFonts w:ascii="Arial" w:cs="Arial" w:eastAsia="Arial" w:hAnsi="Arial"/>
                <w:sz w:val="14"/>
                <w:szCs w:val="14"/>
                <w:b w:val="1"/>
                <w:bCs w:val="1"/>
                <w:color w:val="auto"/>
              </w:rPr>
              <w:t>2021</w:t>
            </w:r>
          </w:p>
        </w:tc>
        <w:tc>
          <w:tcPr>
            <w:tcW w:w="280" w:type="dxa"/>
            <w:vAlign w:val="bottom"/>
            <w:tcBorders>
              <w:bottom w:val="single" w:sz="8" w:color="CFF0FC"/>
            </w:tcBorders>
          </w:tcPr>
          <w:p>
            <w:pPr>
              <w:spacing w:after="0"/>
              <w:rPr>
                <w:sz w:val="14"/>
                <w:szCs w:val="14"/>
                <w:color w:val="auto"/>
              </w:rPr>
            </w:pPr>
          </w:p>
        </w:tc>
        <w:tc>
          <w:tcPr>
            <w:tcW w:w="60" w:type="dxa"/>
            <w:vAlign w:val="bottom"/>
            <w:tcBorders>
              <w:bottom w:val="single" w:sz="8" w:color="CFF0FC"/>
            </w:tcBorders>
          </w:tcPr>
          <w:p>
            <w:pPr>
              <w:spacing w:after="0"/>
              <w:rPr>
                <w:sz w:val="14"/>
                <w:szCs w:val="14"/>
                <w:color w:val="auto"/>
              </w:rPr>
            </w:pPr>
          </w:p>
        </w:tc>
        <w:tc>
          <w:tcPr>
            <w:tcW w:w="220" w:type="dxa"/>
            <w:vAlign w:val="bottom"/>
            <w:tcBorders>
              <w:bottom w:val="single" w:sz="8" w:color="auto"/>
            </w:tcBorders>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1220" w:type="dxa"/>
            <w:vAlign w:val="bottom"/>
            <w:tcBorders>
              <w:bottom w:val="single" w:sz="8" w:color="auto"/>
            </w:tcBorders>
          </w:tcPr>
          <w:p>
            <w:pPr>
              <w:jc w:val="right"/>
              <w:ind w:right="555"/>
              <w:spacing w:after="0"/>
              <w:rPr>
                <w:sz w:val="20"/>
                <w:szCs w:val="20"/>
                <w:color w:val="auto"/>
              </w:rPr>
            </w:pPr>
            <w:r>
              <w:rPr>
                <w:rFonts w:ascii="Arial" w:cs="Arial" w:eastAsia="Arial" w:hAnsi="Arial"/>
                <w:sz w:val="14"/>
                <w:szCs w:val="14"/>
                <w:b w:val="1"/>
                <w:bCs w:val="1"/>
                <w:color w:val="auto"/>
              </w:rPr>
              <w:t>2020</w:t>
            </w:r>
          </w:p>
        </w:tc>
        <w:tc>
          <w:tcPr>
            <w:tcW w:w="120" w:type="dxa"/>
            <w:vAlign w:val="bottom"/>
            <w:tcBorders>
              <w:bottom w:val="single" w:sz="8" w:color="CFF0FC"/>
            </w:tcBorders>
          </w:tcPr>
          <w:p>
            <w:pPr>
              <w:spacing w:after="0"/>
              <w:rPr>
                <w:sz w:val="14"/>
                <w:szCs w:val="14"/>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6760" w:type="dxa"/>
            <w:vAlign w:val="bottom"/>
            <w:shd w:val="clear" w:color="auto" w:fill="CFF0FC"/>
          </w:tcPr>
          <w:p>
            <w:pPr>
              <w:spacing w:after="0"/>
              <w:rPr>
                <w:sz w:val="20"/>
                <w:szCs w:val="20"/>
                <w:color w:val="auto"/>
              </w:rPr>
            </w:pPr>
            <w:r>
              <w:rPr>
                <w:rFonts w:ascii="Arial" w:cs="Arial" w:eastAsia="Arial" w:hAnsi="Arial"/>
                <w:sz w:val="18"/>
                <w:szCs w:val="18"/>
                <w:color w:val="auto"/>
              </w:rPr>
              <w:t>Non-marketable equity securities</w:t>
            </w:r>
          </w:p>
        </w:tc>
        <w:tc>
          <w:tcPr>
            <w:tcW w:w="60" w:type="dxa"/>
            <w:vAlign w:val="bottom"/>
            <w:shd w:val="clear" w:color="auto" w:fill="CFF0FC"/>
          </w:tcPr>
          <w:p>
            <w:pPr>
              <w:spacing w:after="0"/>
              <w:rPr>
                <w:sz w:val="19"/>
                <w:szCs w:val="19"/>
                <w:color w:val="auto"/>
              </w:rPr>
            </w:pPr>
          </w:p>
        </w:tc>
        <w:tc>
          <w:tcPr>
            <w:tcW w:w="200" w:type="dxa"/>
            <w:vAlign w:val="bottom"/>
            <w:shd w:val="clear" w:color="auto" w:fill="CFF0FC"/>
          </w:tcPr>
          <w:p>
            <w:pPr>
              <w:jc w:val="right"/>
              <w:ind w:right="47"/>
              <w:spacing w:after="0"/>
              <w:rPr>
                <w:sz w:val="20"/>
                <w:szCs w:val="20"/>
                <w:color w:val="auto"/>
              </w:rPr>
            </w:pPr>
            <w:r>
              <w:rPr>
                <w:rFonts w:ascii="Arial" w:cs="Arial" w:eastAsia="Arial" w:hAnsi="Arial"/>
                <w:sz w:val="15"/>
                <w:szCs w:val="15"/>
                <w:color w:val="auto"/>
                <w:w w:val="71"/>
              </w:rPr>
              <w:t>$</w:t>
            </w:r>
          </w:p>
        </w:tc>
        <w:tc>
          <w:tcPr>
            <w:tcW w:w="100" w:type="dxa"/>
            <w:vAlign w:val="bottom"/>
            <w:shd w:val="clear" w:color="auto" w:fill="CFF0FC"/>
          </w:tcPr>
          <w:p>
            <w:pPr>
              <w:spacing w:after="0"/>
              <w:rPr>
                <w:sz w:val="19"/>
                <w:szCs w:val="19"/>
                <w:color w:val="auto"/>
              </w:rPr>
            </w:pPr>
          </w:p>
        </w:tc>
        <w:tc>
          <w:tcPr>
            <w:tcW w:w="9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84.5</w:t>
            </w:r>
          </w:p>
        </w:tc>
        <w:tc>
          <w:tcPr>
            <w:tcW w:w="280" w:type="dxa"/>
            <w:vAlign w:val="bottom"/>
            <w:shd w:val="clear" w:color="auto" w:fill="CFF0FC"/>
          </w:tcPr>
          <w:p>
            <w:pPr>
              <w:spacing w:after="0"/>
              <w:rPr>
                <w:sz w:val="19"/>
                <w:szCs w:val="19"/>
                <w:color w:val="auto"/>
              </w:rPr>
            </w:pPr>
          </w:p>
        </w:tc>
        <w:tc>
          <w:tcPr>
            <w:tcW w:w="60" w:type="dxa"/>
            <w:vAlign w:val="bottom"/>
            <w:shd w:val="clear" w:color="auto" w:fill="CFF0FC"/>
          </w:tcPr>
          <w:p>
            <w:pPr>
              <w:spacing w:after="0"/>
              <w:rPr>
                <w:sz w:val="19"/>
                <w:szCs w:val="19"/>
                <w:color w:val="auto"/>
              </w:rPr>
            </w:pPr>
          </w:p>
        </w:tc>
        <w:tc>
          <w:tcPr>
            <w:tcW w:w="220" w:type="dxa"/>
            <w:vAlign w:val="bottom"/>
            <w:shd w:val="clear" w:color="auto" w:fill="CFF0FC"/>
          </w:tcPr>
          <w:p>
            <w:pPr>
              <w:jc w:val="right"/>
              <w:ind w:right="58"/>
              <w:spacing w:after="0"/>
              <w:rPr>
                <w:sz w:val="20"/>
                <w:szCs w:val="20"/>
                <w:color w:val="auto"/>
              </w:rPr>
            </w:pPr>
            <w:r>
              <w:rPr>
                <w:rFonts w:ascii="Arial" w:cs="Arial" w:eastAsia="Arial" w:hAnsi="Arial"/>
                <w:sz w:val="15"/>
                <w:szCs w:val="15"/>
                <w:color w:val="auto"/>
                <w:w w:val="71"/>
              </w:rPr>
              <w:t>$</w:t>
            </w:r>
          </w:p>
        </w:tc>
        <w:tc>
          <w:tcPr>
            <w:tcW w:w="120" w:type="dxa"/>
            <w:vAlign w:val="bottom"/>
            <w:shd w:val="clear" w:color="auto" w:fill="CFF0FC"/>
          </w:tcPr>
          <w:p>
            <w:pPr>
              <w:spacing w:after="0"/>
              <w:rPr>
                <w:sz w:val="19"/>
                <w:szCs w:val="19"/>
                <w:color w:val="auto"/>
              </w:rPr>
            </w:pPr>
          </w:p>
        </w:tc>
        <w:tc>
          <w:tcPr>
            <w:tcW w:w="12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84.5</w:t>
            </w:r>
          </w:p>
        </w:tc>
        <w:tc>
          <w:tcPr>
            <w:tcW w:w="12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20" w:type="dxa"/>
            <w:vAlign w:val="bottom"/>
          </w:tcPr>
          <w:p>
            <w:pPr>
              <w:spacing w:after="0"/>
              <w:rPr>
                <w:sz w:val="19"/>
                <w:szCs w:val="19"/>
                <w:color w:val="auto"/>
              </w:rPr>
            </w:pPr>
          </w:p>
        </w:tc>
        <w:tc>
          <w:tcPr>
            <w:tcW w:w="6760" w:type="dxa"/>
            <w:vAlign w:val="bottom"/>
          </w:tcPr>
          <w:p>
            <w:pPr>
              <w:spacing w:after="0"/>
              <w:rPr>
                <w:sz w:val="20"/>
                <w:szCs w:val="20"/>
                <w:color w:val="auto"/>
              </w:rPr>
            </w:pPr>
            <w:r>
              <w:rPr>
                <w:rFonts w:ascii="Arial" w:cs="Arial" w:eastAsia="Arial" w:hAnsi="Arial"/>
                <w:sz w:val="18"/>
                <w:szCs w:val="18"/>
                <w:color w:val="auto"/>
              </w:rPr>
              <w:t>Marketable equity securities</w:t>
            </w:r>
          </w:p>
        </w:tc>
        <w:tc>
          <w:tcPr>
            <w:tcW w:w="6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39.3</w:t>
            </w:r>
          </w:p>
        </w:tc>
        <w:tc>
          <w:tcPr>
            <w:tcW w:w="28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220" w:type="dxa"/>
            <w:vAlign w:val="bottom"/>
          </w:tcPr>
          <w:p>
            <w:pPr>
              <w:jc w:val="right"/>
              <w:spacing w:after="0"/>
              <w:rPr>
                <w:sz w:val="20"/>
                <w:szCs w:val="20"/>
                <w:color w:val="auto"/>
              </w:rPr>
            </w:pPr>
            <w:r>
              <w:rPr>
                <w:rFonts w:ascii="Arial" w:cs="Arial" w:eastAsia="Arial" w:hAnsi="Arial"/>
                <w:sz w:val="18"/>
                <w:szCs w:val="18"/>
                <w:color w:val="auto"/>
              </w:rPr>
              <w:t>38.0</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20" w:type="dxa"/>
            <w:vAlign w:val="bottom"/>
          </w:tcPr>
          <w:p>
            <w:pPr>
              <w:spacing w:after="0"/>
              <w:rPr>
                <w:sz w:val="19"/>
                <w:szCs w:val="19"/>
                <w:color w:val="auto"/>
              </w:rPr>
            </w:pPr>
          </w:p>
        </w:tc>
        <w:tc>
          <w:tcPr>
            <w:tcW w:w="6760" w:type="dxa"/>
            <w:vAlign w:val="bottom"/>
            <w:shd w:val="clear" w:color="auto" w:fill="CFF0FC"/>
          </w:tcPr>
          <w:p>
            <w:pPr>
              <w:spacing w:after="0"/>
              <w:rPr>
                <w:sz w:val="20"/>
                <w:szCs w:val="20"/>
                <w:color w:val="auto"/>
              </w:rPr>
            </w:pPr>
            <w:r>
              <w:rPr>
                <w:rFonts w:ascii="Arial" w:cs="Arial" w:eastAsia="Arial" w:hAnsi="Arial"/>
                <w:sz w:val="18"/>
                <w:szCs w:val="18"/>
                <w:color w:val="auto"/>
              </w:rPr>
              <w:t>Partnership interests in private equity funds</w:t>
            </w:r>
          </w:p>
        </w:tc>
        <w:tc>
          <w:tcPr>
            <w:tcW w:w="6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9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37.7</w:t>
            </w:r>
          </w:p>
        </w:tc>
        <w:tc>
          <w:tcPr>
            <w:tcW w:w="280" w:type="dxa"/>
            <w:vAlign w:val="bottom"/>
            <w:shd w:val="clear" w:color="auto" w:fill="CFF0FC"/>
          </w:tcPr>
          <w:p>
            <w:pPr>
              <w:spacing w:after="0"/>
              <w:rPr>
                <w:sz w:val="19"/>
                <w:szCs w:val="19"/>
                <w:color w:val="auto"/>
              </w:rPr>
            </w:pPr>
          </w:p>
        </w:tc>
        <w:tc>
          <w:tcPr>
            <w:tcW w:w="6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12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39.8</w:t>
            </w:r>
          </w:p>
        </w:tc>
        <w:tc>
          <w:tcPr>
            <w:tcW w:w="12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6760" w:type="dxa"/>
            <w:vAlign w:val="bottom"/>
            <w:tcBorders>
              <w:bottom w:val="single" w:sz="8" w:color="CFF0FC"/>
            </w:tcBorders>
          </w:tcPr>
          <w:p>
            <w:pPr>
              <w:spacing w:after="0"/>
              <w:rPr>
                <w:sz w:val="20"/>
                <w:szCs w:val="20"/>
                <w:color w:val="auto"/>
              </w:rPr>
            </w:pPr>
            <w:r>
              <w:rPr>
                <w:rFonts w:ascii="Arial" w:cs="Arial" w:eastAsia="Arial" w:hAnsi="Arial"/>
                <w:sz w:val="18"/>
                <w:szCs w:val="18"/>
                <w:color w:val="auto"/>
              </w:rPr>
              <w:t>Seed capital investments</w:t>
            </w:r>
          </w:p>
        </w:tc>
        <w:tc>
          <w:tcPr>
            <w:tcW w:w="60" w:type="dxa"/>
            <w:vAlign w:val="bottom"/>
            <w:tcBorders>
              <w:bottom w:val="single" w:sz="8" w:color="CFF0FC"/>
            </w:tcBorders>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32.1</w:t>
            </w:r>
          </w:p>
        </w:tc>
        <w:tc>
          <w:tcPr>
            <w:tcW w:w="280" w:type="dxa"/>
            <w:vAlign w:val="bottom"/>
            <w:tcBorders>
              <w:bottom w:val="single" w:sz="8" w:color="CFF0FC"/>
            </w:tcBorders>
          </w:tcPr>
          <w:p>
            <w:pPr>
              <w:spacing w:after="0"/>
              <w:rPr>
                <w:sz w:val="19"/>
                <w:szCs w:val="19"/>
                <w:color w:val="auto"/>
              </w:rPr>
            </w:pPr>
          </w:p>
        </w:tc>
        <w:tc>
          <w:tcPr>
            <w:tcW w:w="60" w:type="dxa"/>
            <w:vAlign w:val="bottom"/>
            <w:tcBorders>
              <w:bottom w:val="single" w:sz="8" w:color="CFF0FC"/>
            </w:tcBorders>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12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21.2</w:t>
            </w:r>
          </w:p>
        </w:tc>
        <w:tc>
          <w:tcPr>
            <w:tcW w:w="120" w:type="dxa"/>
            <w:vAlign w:val="bottom"/>
            <w:tcBorders>
              <w:bottom w:val="single" w:sz="8" w:color="CFF0FC"/>
            </w:tcBorders>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6760" w:type="dxa"/>
            <w:vAlign w:val="bottom"/>
            <w:tcBorders>
              <w:bottom w:val="single" w:sz="8" w:color="CFF0FC"/>
            </w:tcBorders>
            <w:shd w:val="clear" w:color="auto" w:fill="CFF0FC"/>
          </w:tcPr>
          <w:p>
            <w:pPr>
              <w:ind w:left="120"/>
              <w:spacing w:after="0"/>
              <w:rPr>
                <w:sz w:val="20"/>
                <w:szCs w:val="20"/>
                <w:color w:val="auto"/>
              </w:rPr>
            </w:pPr>
            <w:r>
              <w:rPr>
                <w:rFonts w:ascii="Arial" w:cs="Arial" w:eastAsia="Arial" w:hAnsi="Arial"/>
                <w:sz w:val="18"/>
                <w:szCs w:val="18"/>
                <w:color w:val="auto"/>
              </w:rPr>
              <w:t>Total investments</w:t>
            </w:r>
          </w:p>
        </w:tc>
        <w:tc>
          <w:tcPr>
            <w:tcW w:w="60" w:type="dxa"/>
            <w:vAlign w:val="bottom"/>
            <w:tcBorders>
              <w:bottom w:val="single" w:sz="8" w:color="CFF0FC"/>
            </w:tcBorders>
            <w:shd w:val="clear" w:color="auto" w:fill="CFF0FC"/>
          </w:tcPr>
          <w:p>
            <w:pPr>
              <w:spacing w:after="0"/>
              <w:rPr>
                <w:sz w:val="19"/>
                <w:szCs w:val="19"/>
                <w:color w:val="auto"/>
              </w:rPr>
            </w:pPr>
          </w:p>
        </w:tc>
        <w:tc>
          <w:tcPr>
            <w:tcW w:w="200" w:type="dxa"/>
            <w:vAlign w:val="bottom"/>
            <w:tcBorders>
              <w:bottom w:val="single" w:sz="8" w:color="auto"/>
            </w:tcBorders>
            <w:shd w:val="clear" w:color="auto" w:fill="CFF0FC"/>
          </w:tcPr>
          <w:p>
            <w:pPr>
              <w:jc w:val="right"/>
              <w:ind w:right="47"/>
              <w:spacing w:after="0"/>
              <w:rPr>
                <w:sz w:val="20"/>
                <w:szCs w:val="20"/>
                <w:color w:val="auto"/>
              </w:rPr>
            </w:pPr>
            <w:r>
              <w:rPr>
                <w:rFonts w:ascii="Arial" w:cs="Arial" w:eastAsia="Arial" w:hAnsi="Arial"/>
                <w:sz w:val="15"/>
                <w:szCs w:val="15"/>
                <w:color w:val="auto"/>
                <w:w w:val="71"/>
              </w:rPr>
              <w:t>$</w:t>
            </w:r>
          </w:p>
        </w:tc>
        <w:tc>
          <w:tcPr>
            <w:tcW w:w="100" w:type="dxa"/>
            <w:vAlign w:val="bottom"/>
            <w:tcBorders>
              <w:bottom w:val="single" w:sz="8" w:color="auto"/>
            </w:tcBorders>
            <w:shd w:val="clear" w:color="auto" w:fill="CFF0FC"/>
          </w:tcPr>
          <w:p>
            <w:pPr>
              <w:spacing w:after="0"/>
              <w:rPr>
                <w:sz w:val="19"/>
                <w:szCs w:val="19"/>
                <w:color w:val="auto"/>
              </w:rPr>
            </w:pPr>
          </w:p>
        </w:tc>
        <w:tc>
          <w:tcPr>
            <w:tcW w:w="9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193.6</w:t>
            </w:r>
          </w:p>
        </w:tc>
        <w:tc>
          <w:tcPr>
            <w:tcW w:w="280" w:type="dxa"/>
            <w:vAlign w:val="bottom"/>
            <w:tcBorders>
              <w:bottom w:val="single" w:sz="8" w:color="CFF0FC"/>
            </w:tcBorders>
            <w:shd w:val="clear" w:color="auto" w:fill="CFF0FC"/>
          </w:tcPr>
          <w:p>
            <w:pPr>
              <w:spacing w:after="0"/>
              <w:rPr>
                <w:sz w:val="19"/>
                <w:szCs w:val="19"/>
                <w:color w:val="auto"/>
              </w:rPr>
            </w:pPr>
          </w:p>
        </w:tc>
        <w:tc>
          <w:tcPr>
            <w:tcW w:w="60" w:type="dxa"/>
            <w:vAlign w:val="bottom"/>
            <w:tcBorders>
              <w:bottom w:val="single" w:sz="8" w:color="CFF0FC"/>
            </w:tcBorders>
            <w:shd w:val="clear" w:color="auto" w:fill="CFF0FC"/>
          </w:tcPr>
          <w:p>
            <w:pPr>
              <w:spacing w:after="0"/>
              <w:rPr>
                <w:sz w:val="19"/>
                <w:szCs w:val="19"/>
                <w:color w:val="auto"/>
              </w:rPr>
            </w:pPr>
          </w:p>
        </w:tc>
        <w:tc>
          <w:tcPr>
            <w:tcW w:w="220" w:type="dxa"/>
            <w:vAlign w:val="bottom"/>
            <w:tcBorders>
              <w:bottom w:val="single" w:sz="8" w:color="auto"/>
            </w:tcBorders>
            <w:shd w:val="clear" w:color="auto" w:fill="CFF0FC"/>
          </w:tcPr>
          <w:p>
            <w:pPr>
              <w:jc w:val="right"/>
              <w:ind w:right="58"/>
              <w:spacing w:after="0"/>
              <w:rPr>
                <w:sz w:val="20"/>
                <w:szCs w:val="20"/>
                <w:color w:val="auto"/>
              </w:rPr>
            </w:pPr>
            <w:r>
              <w:rPr>
                <w:rFonts w:ascii="Arial" w:cs="Arial" w:eastAsia="Arial" w:hAnsi="Arial"/>
                <w:sz w:val="15"/>
                <w:szCs w:val="15"/>
                <w:color w:val="auto"/>
                <w:w w:val="71"/>
              </w:rPr>
              <w:t>$</w:t>
            </w:r>
          </w:p>
        </w:tc>
        <w:tc>
          <w:tcPr>
            <w:tcW w:w="120" w:type="dxa"/>
            <w:vAlign w:val="bottom"/>
            <w:tcBorders>
              <w:bottom w:val="single" w:sz="8" w:color="auto"/>
            </w:tcBorders>
            <w:shd w:val="clear" w:color="auto" w:fill="CFF0FC"/>
          </w:tcPr>
          <w:p>
            <w:pPr>
              <w:spacing w:after="0"/>
              <w:rPr>
                <w:sz w:val="19"/>
                <w:szCs w:val="19"/>
                <w:color w:val="auto"/>
              </w:rPr>
            </w:pPr>
          </w:p>
        </w:tc>
        <w:tc>
          <w:tcPr>
            <w:tcW w:w="12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183.5</w:t>
            </w:r>
          </w:p>
        </w:tc>
        <w:tc>
          <w:tcPr>
            <w:tcW w:w="120" w:type="dxa"/>
            <w:vAlign w:val="bottom"/>
            <w:tcBorders>
              <w:bottom w:val="single" w:sz="8" w:color="CFF0FC"/>
            </w:tcBorders>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6780" w:type="dxa"/>
            <w:vAlign w:val="bottom"/>
            <w:gridSpan w:val="2"/>
            <w:vMerge w:val="restart"/>
          </w:tcPr>
          <w:p>
            <w:pPr>
              <w:spacing w:after="0"/>
              <w:rPr>
                <w:sz w:val="20"/>
                <w:szCs w:val="20"/>
                <w:color w:val="auto"/>
              </w:rPr>
            </w:pPr>
            <w:r>
              <w:rPr>
                <w:rFonts w:ascii="Arial" w:cs="Arial" w:eastAsia="Arial" w:hAnsi="Arial"/>
                <w:sz w:val="18"/>
                <w:szCs w:val="18"/>
                <w:color w:val="auto"/>
                <w:w w:val="91"/>
              </w:rPr>
              <w:t>Realized and unrealized gains and losses for our equity securities are as follows (in millions):</w:t>
            </w:r>
          </w:p>
        </w:tc>
        <w:tc>
          <w:tcPr>
            <w:tcW w:w="6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13"/>
        </w:trPr>
        <w:tc>
          <w:tcPr>
            <w:tcW w:w="6780" w:type="dxa"/>
            <w:vAlign w:val="bottom"/>
            <w:gridSpan w:val="2"/>
            <w:vMerge w:val="continue"/>
          </w:tcPr>
          <w:p>
            <w:pPr>
              <w:spacing w:after="0"/>
              <w:rPr>
                <w:sz w:val="24"/>
                <w:szCs w:val="24"/>
                <w:color w:val="auto"/>
              </w:rPr>
            </w:pPr>
          </w:p>
        </w:tc>
        <w:tc>
          <w:tcPr>
            <w:tcW w:w="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59"/>
        </w:trPr>
        <w:tc>
          <w:tcPr>
            <w:tcW w:w="20" w:type="dxa"/>
            <w:vAlign w:val="bottom"/>
          </w:tcPr>
          <w:p>
            <w:pPr>
              <w:spacing w:after="0"/>
              <w:rPr>
                <w:sz w:val="24"/>
                <w:szCs w:val="24"/>
                <w:color w:val="auto"/>
              </w:rPr>
            </w:pPr>
          </w:p>
        </w:tc>
        <w:tc>
          <w:tcPr>
            <w:tcW w:w="67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980" w:type="dxa"/>
            <w:vAlign w:val="bottom"/>
            <w:gridSpan w:val="7"/>
          </w:tcPr>
          <w:p>
            <w:pPr>
              <w:jc w:val="right"/>
              <w:ind w:right="620"/>
              <w:spacing w:after="0"/>
              <w:rPr>
                <w:sz w:val="20"/>
                <w:szCs w:val="20"/>
                <w:color w:val="auto"/>
              </w:rPr>
            </w:pPr>
            <w:r>
              <w:rPr>
                <w:rFonts w:ascii="Arial" w:cs="Arial" w:eastAsia="Arial" w:hAnsi="Arial"/>
                <w:sz w:val="14"/>
                <w:szCs w:val="14"/>
                <w:b w:val="1"/>
                <w:bCs w:val="1"/>
                <w:color w:val="auto"/>
              </w:rPr>
              <w:t>Three Months Ended March 31,</w:t>
            </w:r>
          </w:p>
        </w:tc>
        <w:tc>
          <w:tcPr>
            <w:tcW w:w="0" w:type="dxa"/>
            <w:vAlign w:val="bottom"/>
          </w:tcPr>
          <w:p>
            <w:pPr>
              <w:spacing w:after="0"/>
              <w:rPr>
                <w:sz w:val="1"/>
                <w:szCs w:val="1"/>
                <w:color w:val="auto"/>
              </w:rPr>
            </w:pPr>
          </w:p>
        </w:tc>
      </w:tr>
      <w:tr>
        <w:trPr>
          <w:trHeight w:val="237"/>
        </w:trPr>
        <w:tc>
          <w:tcPr>
            <w:tcW w:w="20" w:type="dxa"/>
            <w:vAlign w:val="bottom"/>
          </w:tcPr>
          <w:p>
            <w:pPr>
              <w:spacing w:after="0"/>
              <w:rPr>
                <w:sz w:val="20"/>
                <w:szCs w:val="20"/>
                <w:color w:val="auto"/>
              </w:rPr>
            </w:pPr>
          </w:p>
        </w:tc>
        <w:tc>
          <w:tcPr>
            <w:tcW w:w="6760" w:type="dxa"/>
            <w:vAlign w:val="bottom"/>
            <w:tcBorders>
              <w:bottom w:val="single" w:sz="8" w:color="CFF0FC"/>
            </w:tcBorders>
          </w:tcPr>
          <w:p>
            <w:pPr>
              <w:spacing w:after="0"/>
              <w:rPr>
                <w:sz w:val="20"/>
                <w:szCs w:val="20"/>
                <w:color w:val="auto"/>
              </w:rPr>
            </w:pPr>
          </w:p>
        </w:tc>
        <w:tc>
          <w:tcPr>
            <w:tcW w:w="60" w:type="dxa"/>
            <w:vAlign w:val="bottom"/>
            <w:tcBorders>
              <w:bottom w:val="single" w:sz="8" w:color="CFF0FC"/>
            </w:tcBorders>
          </w:tcPr>
          <w:p>
            <w:pPr>
              <w:spacing w:after="0"/>
              <w:rPr>
                <w:sz w:val="20"/>
                <w:szCs w:val="20"/>
                <w:color w:val="auto"/>
              </w:rPr>
            </w:pPr>
          </w:p>
        </w:tc>
        <w:tc>
          <w:tcPr>
            <w:tcW w:w="200" w:type="dxa"/>
            <w:vAlign w:val="bottom"/>
            <w:tcBorders>
              <w:bottom w:val="single" w:sz="8" w:color="CFF0FC"/>
            </w:tcBorders>
          </w:tcPr>
          <w:p>
            <w:pPr>
              <w:spacing w:after="0"/>
              <w:rPr>
                <w:sz w:val="20"/>
                <w:szCs w:val="20"/>
                <w:color w:val="auto"/>
              </w:rPr>
            </w:pPr>
          </w:p>
        </w:tc>
        <w:tc>
          <w:tcPr>
            <w:tcW w:w="100" w:type="dxa"/>
            <w:vAlign w:val="bottom"/>
            <w:tcBorders>
              <w:top w:val="single" w:sz="8" w:color="auto"/>
              <w:bottom w:val="single" w:sz="8" w:color="auto"/>
            </w:tcBorders>
          </w:tcPr>
          <w:p>
            <w:pPr>
              <w:spacing w:after="0"/>
              <w:rPr>
                <w:sz w:val="20"/>
                <w:szCs w:val="20"/>
                <w:color w:val="auto"/>
              </w:rPr>
            </w:pPr>
          </w:p>
        </w:tc>
        <w:tc>
          <w:tcPr>
            <w:tcW w:w="960" w:type="dxa"/>
            <w:vAlign w:val="bottom"/>
            <w:tcBorders>
              <w:top w:val="single" w:sz="8" w:color="auto"/>
              <w:bottom w:val="single" w:sz="8" w:color="auto"/>
            </w:tcBorders>
          </w:tcPr>
          <w:p>
            <w:pPr>
              <w:jc w:val="right"/>
              <w:ind w:right="156"/>
              <w:spacing w:after="0"/>
              <w:rPr>
                <w:sz w:val="20"/>
                <w:szCs w:val="20"/>
                <w:color w:val="auto"/>
              </w:rPr>
            </w:pPr>
            <w:r>
              <w:rPr>
                <w:rFonts w:ascii="Arial" w:cs="Arial" w:eastAsia="Arial" w:hAnsi="Arial"/>
                <w:sz w:val="14"/>
                <w:szCs w:val="14"/>
                <w:b w:val="1"/>
                <w:bCs w:val="1"/>
                <w:color w:val="auto"/>
              </w:rPr>
              <w:t>2021</w:t>
            </w:r>
          </w:p>
        </w:tc>
        <w:tc>
          <w:tcPr>
            <w:tcW w:w="280" w:type="dxa"/>
            <w:vAlign w:val="bottom"/>
            <w:tcBorders>
              <w:top w:val="single" w:sz="8" w:color="auto"/>
              <w:bottom w:val="single" w:sz="8" w:color="auto"/>
            </w:tcBorders>
          </w:tcPr>
          <w:p>
            <w:pPr>
              <w:spacing w:after="0"/>
              <w:rPr>
                <w:sz w:val="20"/>
                <w:szCs w:val="20"/>
                <w:color w:val="auto"/>
              </w:rPr>
            </w:pPr>
          </w:p>
        </w:tc>
        <w:tc>
          <w:tcPr>
            <w:tcW w:w="60" w:type="dxa"/>
            <w:vAlign w:val="bottom"/>
            <w:tcBorders>
              <w:top w:val="single" w:sz="8" w:color="auto"/>
              <w:bottom w:val="single" w:sz="8" w:color="CFF0FC"/>
            </w:tcBorders>
          </w:tcPr>
          <w:p>
            <w:pPr>
              <w:spacing w:after="0"/>
              <w:rPr>
                <w:sz w:val="20"/>
                <w:szCs w:val="20"/>
                <w:color w:val="auto"/>
              </w:rPr>
            </w:pPr>
          </w:p>
        </w:tc>
        <w:tc>
          <w:tcPr>
            <w:tcW w:w="220" w:type="dxa"/>
            <w:vAlign w:val="bottom"/>
            <w:tcBorders>
              <w:top w:val="single" w:sz="8" w:color="auto"/>
              <w:bottom w:val="single" w:sz="8" w:color="CFF0FC"/>
            </w:tcBorders>
          </w:tcPr>
          <w:p>
            <w:pPr>
              <w:spacing w:after="0"/>
              <w:rPr>
                <w:sz w:val="20"/>
                <w:szCs w:val="20"/>
                <w:color w:val="auto"/>
              </w:rPr>
            </w:pPr>
          </w:p>
        </w:tc>
        <w:tc>
          <w:tcPr>
            <w:tcW w:w="120" w:type="dxa"/>
            <w:vAlign w:val="bottom"/>
            <w:tcBorders>
              <w:top w:val="single" w:sz="8" w:color="auto"/>
              <w:bottom w:val="single" w:sz="8" w:color="auto"/>
            </w:tcBorders>
          </w:tcPr>
          <w:p>
            <w:pPr>
              <w:spacing w:after="0"/>
              <w:rPr>
                <w:sz w:val="20"/>
                <w:szCs w:val="20"/>
                <w:color w:val="auto"/>
              </w:rPr>
            </w:pPr>
          </w:p>
        </w:tc>
        <w:tc>
          <w:tcPr>
            <w:tcW w:w="1220" w:type="dxa"/>
            <w:vAlign w:val="bottom"/>
            <w:tcBorders>
              <w:top w:val="single" w:sz="8" w:color="auto"/>
              <w:bottom w:val="single" w:sz="8" w:color="auto"/>
            </w:tcBorders>
          </w:tcPr>
          <w:p>
            <w:pPr>
              <w:jc w:val="right"/>
              <w:ind w:right="435"/>
              <w:spacing w:after="0"/>
              <w:rPr>
                <w:sz w:val="20"/>
                <w:szCs w:val="20"/>
                <w:color w:val="auto"/>
              </w:rPr>
            </w:pPr>
            <w:r>
              <w:rPr>
                <w:rFonts w:ascii="Arial" w:cs="Arial" w:eastAsia="Arial" w:hAnsi="Arial"/>
                <w:sz w:val="14"/>
                <w:szCs w:val="14"/>
                <w:b w:val="1"/>
                <w:bCs w:val="1"/>
                <w:color w:val="auto"/>
              </w:rPr>
              <w:t>2020</w:t>
            </w:r>
          </w:p>
        </w:tc>
        <w:tc>
          <w:tcPr>
            <w:tcW w:w="120" w:type="dxa"/>
            <w:vAlign w:val="bottom"/>
            <w:tcBorders>
              <w:bottom w:val="single" w:sz="8" w:color="CFF0FC"/>
            </w:tcBorders>
          </w:tcPr>
          <w:p>
            <w:pPr>
              <w:spacing w:after="0"/>
              <w:rPr>
                <w:sz w:val="20"/>
                <w:szCs w:val="20"/>
                <w:color w:val="auto"/>
              </w:rPr>
            </w:pPr>
          </w:p>
        </w:tc>
        <w:tc>
          <w:tcPr>
            <w:tcW w:w="0" w:type="dxa"/>
            <w:vAlign w:val="bottom"/>
          </w:tcPr>
          <w:p>
            <w:pPr>
              <w:spacing w:after="0"/>
              <w:rPr>
                <w:sz w:val="1"/>
                <w:szCs w:val="1"/>
                <w:color w:val="auto"/>
              </w:rPr>
            </w:pPr>
          </w:p>
        </w:tc>
      </w:tr>
      <w:tr>
        <w:trPr>
          <w:trHeight w:val="237"/>
        </w:trPr>
        <w:tc>
          <w:tcPr>
            <w:tcW w:w="20" w:type="dxa"/>
            <w:vAlign w:val="bottom"/>
          </w:tcPr>
          <w:p>
            <w:pPr>
              <w:spacing w:after="0"/>
              <w:rPr>
                <w:sz w:val="20"/>
                <w:szCs w:val="20"/>
                <w:color w:val="auto"/>
              </w:rPr>
            </w:pPr>
          </w:p>
        </w:tc>
        <w:tc>
          <w:tcPr>
            <w:tcW w:w="6760" w:type="dxa"/>
            <w:vAlign w:val="bottom"/>
            <w:shd w:val="clear" w:color="auto" w:fill="CFF0FC"/>
          </w:tcPr>
          <w:p>
            <w:pPr>
              <w:spacing w:after="0"/>
              <w:rPr>
                <w:sz w:val="20"/>
                <w:szCs w:val="20"/>
                <w:color w:val="auto"/>
              </w:rPr>
            </w:pPr>
            <w:r>
              <w:rPr>
                <w:rFonts w:ascii="Arial" w:cs="Arial" w:eastAsia="Arial" w:hAnsi="Arial"/>
                <w:sz w:val="18"/>
                <w:szCs w:val="18"/>
                <w:color w:val="auto"/>
              </w:rPr>
              <w:t>Unrealized gains (losses) on equity securities held as of the end of the period</w:t>
            </w:r>
          </w:p>
        </w:tc>
        <w:tc>
          <w:tcPr>
            <w:tcW w:w="360" w:type="dxa"/>
            <w:vAlign w:val="bottom"/>
            <w:gridSpan w:val="3"/>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1240" w:type="dxa"/>
            <w:vAlign w:val="bottom"/>
            <w:gridSpan w:val="2"/>
            <w:shd w:val="clear" w:color="auto" w:fill="CFF0FC"/>
          </w:tcPr>
          <w:p>
            <w:pPr>
              <w:jc w:val="right"/>
              <w:spacing w:after="0"/>
              <w:rPr>
                <w:sz w:val="20"/>
                <w:szCs w:val="20"/>
                <w:color w:val="auto"/>
              </w:rPr>
            </w:pPr>
            <w:r>
              <w:rPr>
                <w:rFonts w:ascii="Arial" w:cs="Arial" w:eastAsia="Arial" w:hAnsi="Arial"/>
                <w:sz w:val="18"/>
                <w:szCs w:val="18"/>
                <w:color w:val="auto"/>
              </w:rPr>
              <w:t>5.8</w:t>
            </w:r>
          </w:p>
        </w:tc>
        <w:tc>
          <w:tcPr>
            <w:tcW w:w="60" w:type="dxa"/>
            <w:vAlign w:val="bottom"/>
            <w:shd w:val="clear" w:color="auto" w:fill="CFF0FC"/>
          </w:tcPr>
          <w:p>
            <w:pPr>
              <w:spacing w:after="0"/>
              <w:rPr>
                <w:sz w:val="20"/>
                <w:szCs w:val="20"/>
                <w:color w:val="auto"/>
              </w:rPr>
            </w:pPr>
          </w:p>
        </w:tc>
        <w:tc>
          <w:tcPr>
            <w:tcW w:w="340" w:type="dxa"/>
            <w:vAlign w:val="bottom"/>
            <w:gridSpan w:val="2"/>
            <w:shd w:val="clear" w:color="auto" w:fill="CFF0FC"/>
          </w:tcPr>
          <w:p>
            <w:pPr>
              <w:jc w:val="right"/>
              <w:ind w:right="20"/>
              <w:spacing w:after="0"/>
              <w:rPr>
                <w:sz w:val="20"/>
                <w:szCs w:val="20"/>
                <w:color w:val="auto"/>
              </w:rPr>
            </w:pPr>
            <w:r>
              <w:rPr>
                <w:rFonts w:ascii="Arial" w:cs="Arial" w:eastAsia="Arial" w:hAnsi="Arial"/>
                <w:sz w:val="18"/>
                <w:szCs w:val="18"/>
                <w:color w:val="auto"/>
              </w:rPr>
              <w:t>$</w:t>
            </w:r>
          </w:p>
        </w:tc>
        <w:tc>
          <w:tcPr>
            <w:tcW w:w="1340" w:type="dxa"/>
            <w:vAlign w:val="bottom"/>
            <w:gridSpan w:val="2"/>
            <w:shd w:val="clear" w:color="auto" w:fill="CFF0FC"/>
          </w:tcPr>
          <w:p>
            <w:pPr>
              <w:jc w:val="right"/>
              <w:ind w:right="60"/>
              <w:spacing w:after="0"/>
              <w:rPr>
                <w:sz w:val="20"/>
                <w:szCs w:val="20"/>
                <w:color w:val="auto"/>
              </w:rPr>
            </w:pPr>
            <w:r>
              <w:rPr>
                <w:rFonts w:ascii="Arial" w:cs="Arial" w:eastAsia="Arial" w:hAnsi="Arial"/>
                <w:sz w:val="18"/>
                <w:szCs w:val="18"/>
                <w:color w:val="auto"/>
              </w:rPr>
              <w:t>(11.1)</w:t>
            </w:r>
          </w:p>
        </w:tc>
        <w:tc>
          <w:tcPr>
            <w:tcW w:w="0" w:type="dxa"/>
            <w:vAlign w:val="bottom"/>
          </w:tcPr>
          <w:p>
            <w:pPr>
              <w:spacing w:after="0"/>
              <w:rPr>
                <w:sz w:val="1"/>
                <w:szCs w:val="1"/>
                <w:color w:val="auto"/>
              </w:rPr>
            </w:pPr>
          </w:p>
        </w:tc>
      </w:tr>
      <w:tr>
        <w:trPr>
          <w:trHeight w:val="243"/>
        </w:trPr>
        <w:tc>
          <w:tcPr>
            <w:tcW w:w="20" w:type="dxa"/>
            <w:vAlign w:val="bottom"/>
          </w:tcPr>
          <w:p>
            <w:pPr>
              <w:spacing w:after="0"/>
              <w:rPr>
                <w:sz w:val="21"/>
                <w:szCs w:val="21"/>
                <w:color w:val="auto"/>
              </w:rPr>
            </w:pPr>
          </w:p>
        </w:tc>
        <w:tc>
          <w:tcPr>
            <w:tcW w:w="6760" w:type="dxa"/>
            <w:vAlign w:val="bottom"/>
            <w:tcBorders>
              <w:bottom w:val="single" w:sz="8" w:color="CFF0FC"/>
            </w:tcBorders>
          </w:tcPr>
          <w:p>
            <w:pPr>
              <w:spacing w:after="0"/>
              <w:rPr>
                <w:sz w:val="20"/>
                <w:szCs w:val="20"/>
                <w:color w:val="auto"/>
              </w:rPr>
            </w:pPr>
            <w:r>
              <w:rPr>
                <w:rFonts w:ascii="Arial" w:cs="Arial" w:eastAsia="Arial" w:hAnsi="Arial"/>
                <w:sz w:val="18"/>
                <w:szCs w:val="18"/>
                <w:color w:val="auto"/>
              </w:rPr>
              <w:t>Realized gains for equity securities sold during the period</w:t>
            </w:r>
          </w:p>
        </w:tc>
        <w:tc>
          <w:tcPr>
            <w:tcW w:w="60" w:type="dxa"/>
            <w:vAlign w:val="bottom"/>
            <w:tcBorders>
              <w:bottom w:val="single" w:sz="8" w:color="CFF0FC"/>
            </w:tcBorders>
          </w:tcPr>
          <w:p>
            <w:pPr>
              <w:spacing w:after="0"/>
              <w:rPr>
                <w:sz w:val="21"/>
                <w:szCs w:val="21"/>
                <w:color w:val="auto"/>
              </w:rPr>
            </w:pPr>
          </w:p>
        </w:tc>
        <w:tc>
          <w:tcPr>
            <w:tcW w:w="200" w:type="dxa"/>
            <w:vAlign w:val="bottom"/>
            <w:tcBorders>
              <w:bottom w:val="single" w:sz="8" w:color="CFF0FC"/>
            </w:tcBorders>
          </w:tcPr>
          <w:p>
            <w:pPr>
              <w:spacing w:after="0"/>
              <w:rPr>
                <w:sz w:val="21"/>
                <w:szCs w:val="21"/>
                <w:color w:val="auto"/>
              </w:rPr>
            </w:pPr>
          </w:p>
        </w:tc>
        <w:tc>
          <w:tcPr>
            <w:tcW w:w="100" w:type="dxa"/>
            <w:vAlign w:val="bottom"/>
            <w:tcBorders>
              <w:bottom w:val="single" w:sz="8" w:color="auto"/>
            </w:tcBorders>
          </w:tcPr>
          <w:p>
            <w:pPr>
              <w:spacing w:after="0"/>
              <w:rPr>
                <w:sz w:val="21"/>
                <w:szCs w:val="21"/>
                <w:color w:val="auto"/>
              </w:rPr>
            </w:pPr>
          </w:p>
        </w:tc>
        <w:tc>
          <w:tcPr>
            <w:tcW w:w="1240" w:type="dxa"/>
            <w:vAlign w:val="bottom"/>
            <w:tcBorders>
              <w:bottom w:val="single" w:sz="8" w:color="auto"/>
            </w:tcBorders>
            <w:gridSpan w:val="2"/>
          </w:tcPr>
          <w:p>
            <w:pPr>
              <w:jc w:val="right"/>
              <w:spacing w:after="0"/>
              <w:rPr>
                <w:sz w:val="20"/>
                <w:szCs w:val="20"/>
                <w:color w:val="auto"/>
              </w:rPr>
            </w:pPr>
            <w:r>
              <w:rPr>
                <w:rFonts w:ascii="Arial" w:cs="Arial" w:eastAsia="Arial" w:hAnsi="Arial"/>
                <w:sz w:val="18"/>
                <w:szCs w:val="18"/>
                <w:color w:val="auto"/>
              </w:rPr>
              <w:t>7.1</w:t>
            </w:r>
          </w:p>
        </w:tc>
        <w:tc>
          <w:tcPr>
            <w:tcW w:w="60" w:type="dxa"/>
            <w:vAlign w:val="bottom"/>
            <w:tcBorders>
              <w:bottom w:val="single" w:sz="8" w:color="CFF0FC"/>
            </w:tcBorders>
          </w:tcPr>
          <w:p>
            <w:pPr>
              <w:spacing w:after="0"/>
              <w:rPr>
                <w:sz w:val="21"/>
                <w:szCs w:val="21"/>
                <w:color w:val="auto"/>
              </w:rPr>
            </w:pPr>
          </w:p>
        </w:tc>
        <w:tc>
          <w:tcPr>
            <w:tcW w:w="220" w:type="dxa"/>
            <w:vAlign w:val="bottom"/>
            <w:tcBorders>
              <w:bottom w:val="single" w:sz="8" w:color="CFF0FC"/>
            </w:tcBorders>
          </w:tcPr>
          <w:p>
            <w:pPr>
              <w:spacing w:after="0"/>
              <w:rPr>
                <w:sz w:val="21"/>
                <w:szCs w:val="21"/>
                <w:color w:val="auto"/>
              </w:rPr>
            </w:pPr>
          </w:p>
        </w:tc>
        <w:tc>
          <w:tcPr>
            <w:tcW w:w="120" w:type="dxa"/>
            <w:vAlign w:val="bottom"/>
            <w:tcBorders>
              <w:bottom w:val="single" w:sz="8" w:color="auto"/>
            </w:tcBorders>
          </w:tcPr>
          <w:p>
            <w:pPr>
              <w:spacing w:after="0"/>
              <w:rPr>
                <w:sz w:val="21"/>
                <w:szCs w:val="21"/>
                <w:color w:val="auto"/>
              </w:rPr>
            </w:pPr>
          </w:p>
        </w:tc>
        <w:tc>
          <w:tcPr>
            <w:tcW w:w="12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1.4</w:t>
            </w:r>
          </w:p>
        </w:tc>
        <w:tc>
          <w:tcPr>
            <w:tcW w:w="120" w:type="dxa"/>
            <w:vAlign w:val="bottom"/>
            <w:tcBorders>
              <w:bottom w:val="single" w:sz="8" w:color="CFF0FC"/>
            </w:tcBorders>
          </w:tcPr>
          <w:p>
            <w:pPr>
              <w:spacing w:after="0"/>
              <w:rPr>
                <w:sz w:val="21"/>
                <w:szCs w:val="21"/>
                <w:color w:val="auto"/>
              </w:rPr>
            </w:pPr>
          </w:p>
        </w:tc>
        <w:tc>
          <w:tcPr>
            <w:tcW w:w="0" w:type="dxa"/>
            <w:vAlign w:val="bottom"/>
          </w:tcPr>
          <w:p>
            <w:pPr>
              <w:spacing w:after="0"/>
              <w:rPr>
                <w:sz w:val="1"/>
                <w:szCs w:val="1"/>
                <w:color w:val="auto"/>
              </w:rPr>
            </w:pPr>
          </w:p>
        </w:tc>
      </w:tr>
      <w:tr>
        <w:trPr>
          <w:trHeight w:val="237"/>
        </w:trPr>
        <w:tc>
          <w:tcPr>
            <w:tcW w:w="20" w:type="dxa"/>
            <w:vAlign w:val="bottom"/>
          </w:tcPr>
          <w:p>
            <w:pPr>
              <w:spacing w:after="0"/>
              <w:rPr>
                <w:sz w:val="20"/>
                <w:szCs w:val="20"/>
                <w:color w:val="auto"/>
              </w:rPr>
            </w:pPr>
          </w:p>
        </w:tc>
        <w:tc>
          <w:tcPr>
            <w:tcW w:w="6760" w:type="dxa"/>
            <w:vAlign w:val="bottom"/>
            <w:shd w:val="clear" w:color="auto" w:fill="CFF0FC"/>
          </w:tcPr>
          <w:p>
            <w:pPr>
              <w:ind w:left="120"/>
              <w:spacing w:after="0"/>
              <w:rPr>
                <w:sz w:val="20"/>
                <w:szCs w:val="20"/>
                <w:color w:val="auto"/>
              </w:rPr>
            </w:pPr>
            <w:r>
              <w:rPr>
                <w:rFonts w:ascii="Arial" w:cs="Arial" w:eastAsia="Arial" w:hAnsi="Arial"/>
                <w:sz w:val="18"/>
                <w:szCs w:val="18"/>
                <w:color w:val="auto"/>
              </w:rPr>
              <w:t>Total gains (losses) recognized in other income (expense), net</w:t>
            </w:r>
          </w:p>
        </w:tc>
        <w:tc>
          <w:tcPr>
            <w:tcW w:w="360" w:type="dxa"/>
            <w:vAlign w:val="bottom"/>
            <w:gridSpan w:val="3"/>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1240" w:type="dxa"/>
            <w:vAlign w:val="bottom"/>
            <w:gridSpan w:val="2"/>
            <w:shd w:val="clear" w:color="auto" w:fill="CFF0FC"/>
          </w:tcPr>
          <w:p>
            <w:pPr>
              <w:jc w:val="right"/>
              <w:spacing w:after="0"/>
              <w:rPr>
                <w:sz w:val="20"/>
                <w:szCs w:val="20"/>
                <w:color w:val="auto"/>
              </w:rPr>
            </w:pPr>
            <w:r>
              <w:rPr>
                <w:rFonts w:ascii="Arial" w:cs="Arial" w:eastAsia="Arial" w:hAnsi="Arial"/>
                <w:sz w:val="18"/>
                <w:szCs w:val="18"/>
                <w:color w:val="auto"/>
              </w:rPr>
              <w:t>12.9</w:t>
            </w:r>
          </w:p>
        </w:tc>
        <w:tc>
          <w:tcPr>
            <w:tcW w:w="60" w:type="dxa"/>
            <w:vAlign w:val="bottom"/>
            <w:shd w:val="clear" w:color="auto" w:fill="CFF0FC"/>
          </w:tcPr>
          <w:p>
            <w:pPr>
              <w:spacing w:after="0"/>
              <w:rPr>
                <w:sz w:val="20"/>
                <w:szCs w:val="20"/>
                <w:color w:val="auto"/>
              </w:rPr>
            </w:pPr>
          </w:p>
        </w:tc>
        <w:tc>
          <w:tcPr>
            <w:tcW w:w="340" w:type="dxa"/>
            <w:vAlign w:val="bottom"/>
            <w:gridSpan w:val="2"/>
            <w:shd w:val="clear" w:color="auto" w:fill="CFF0FC"/>
          </w:tcPr>
          <w:p>
            <w:pPr>
              <w:jc w:val="right"/>
              <w:ind w:right="20"/>
              <w:spacing w:after="0"/>
              <w:rPr>
                <w:sz w:val="20"/>
                <w:szCs w:val="20"/>
                <w:color w:val="auto"/>
              </w:rPr>
            </w:pPr>
            <w:r>
              <w:rPr>
                <w:rFonts w:ascii="Arial" w:cs="Arial" w:eastAsia="Arial" w:hAnsi="Arial"/>
                <w:sz w:val="18"/>
                <w:szCs w:val="18"/>
                <w:color w:val="auto"/>
              </w:rPr>
              <w:t>$</w:t>
            </w:r>
          </w:p>
        </w:tc>
        <w:tc>
          <w:tcPr>
            <w:tcW w:w="1340" w:type="dxa"/>
            <w:vAlign w:val="bottom"/>
            <w:gridSpan w:val="2"/>
            <w:shd w:val="clear" w:color="auto" w:fill="CFF0FC"/>
          </w:tcPr>
          <w:p>
            <w:pPr>
              <w:jc w:val="right"/>
              <w:ind w:right="60"/>
              <w:spacing w:after="0"/>
              <w:rPr>
                <w:sz w:val="20"/>
                <w:szCs w:val="20"/>
                <w:color w:val="auto"/>
              </w:rPr>
            </w:pPr>
            <w:r>
              <w:rPr>
                <w:rFonts w:ascii="Arial" w:cs="Arial" w:eastAsia="Arial" w:hAnsi="Arial"/>
                <w:sz w:val="18"/>
                <w:szCs w:val="18"/>
                <w:color w:val="auto"/>
              </w:rPr>
              <w:t>(9.7)</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6760" w:type="dxa"/>
            <w:vAlign w:val="bottom"/>
            <w:tcBorders>
              <w:top w:val="single" w:sz="8" w:color="CFF0FC"/>
            </w:tcBorders>
          </w:tcPr>
          <w:p>
            <w:pPr>
              <w:spacing w:after="0" w:line="20" w:lineRule="exact"/>
              <w:rPr>
                <w:sz w:val="1"/>
                <w:szCs w:val="1"/>
                <w:color w:val="auto"/>
              </w:rPr>
            </w:pPr>
          </w:p>
        </w:tc>
        <w:tc>
          <w:tcPr>
            <w:tcW w:w="60" w:type="dxa"/>
            <w:vAlign w:val="bottom"/>
            <w:tcBorders>
              <w:top w:val="single" w:sz="8" w:color="CFF0FC"/>
            </w:tcBorders>
          </w:tcPr>
          <w:p>
            <w:pPr>
              <w:spacing w:after="0" w:line="20" w:lineRule="exact"/>
              <w:rPr>
                <w:sz w:val="1"/>
                <w:szCs w:val="1"/>
                <w:color w:val="auto"/>
              </w:rPr>
            </w:pPr>
          </w:p>
        </w:tc>
        <w:tc>
          <w:tcPr>
            <w:tcW w:w="200" w:type="dxa"/>
            <w:vAlign w:val="bottom"/>
            <w:tcBorders>
              <w:top w:val="single" w:sz="8" w:color="CFF0FC"/>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Borders>
              <w:top w:val="single" w:sz="8" w:color="CFF0FC"/>
            </w:tcBorders>
          </w:tcPr>
          <w:p>
            <w:pPr>
              <w:spacing w:after="0" w:line="20" w:lineRule="exact"/>
              <w:rPr>
                <w:sz w:val="1"/>
                <w:szCs w:val="1"/>
                <w:color w:val="auto"/>
              </w:rPr>
            </w:pPr>
          </w:p>
        </w:tc>
        <w:tc>
          <w:tcPr>
            <w:tcW w:w="220" w:type="dxa"/>
            <w:vAlign w:val="bottom"/>
            <w:tcBorders>
              <w:top w:val="single" w:sz="8" w:color="CFF0FC"/>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2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FF0F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2"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Fair Value Measurement</w:t>
      </w:r>
    </w:p>
    <w:p>
      <w:pPr>
        <w:spacing w:after="0" w:line="117" w:lineRule="exact"/>
        <w:rPr>
          <w:sz w:val="20"/>
          <w:szCs w:val="20"/>
          <w:color w:val="auto"/>
        </w:rPr>
      </w:pPr>
    </w:p>
    <w:p>
      <w:pPr>
        <w:ind w:right="280" w:firstLine="562"/>
        <w:spacing w:after="0" w:line="259" w:lineRule="auto"/>
        <w:rPr>
          <w:sz w:val="20"/>
          <w:szCs w:val="20"/>
          <w:color w:val="auto"/>
        </w:rPr>
      </w:pPr>
      <w:r>
        <w:rPr>
          <w:rFonts w:ascii="Arial" w:cs="Arial" w:eastAsia="Arial" w:hAnsi="Arial"/>
          <w:sz w:val="18"/>
          <w:szCs w:val="18"/>
          <w:color w:val="auto"/>
        </w:rPr>
        <w:t>Authoritative accounting guidance on fair value measurements establishes a three-tier fair value hierarchy, which prioritizes the inputs used in measuring fair value. These tiers include: Level 1, defined as observable inputs such as quoted prices in active markets; Level 2, defined as inputs other than quoted prices in active markets that are either directly or indirectly observable; and Level 3, defined as unobservable inputs for which little or no market data exists, therefore requiring an entity to develop its own assumptions.</w:t>
      </w:r>
    </w:p>
    <w:p>
      <w:pPr>
        <w:spacing w:after="0" w:line="187" w:lineRule="exact"/>
        <w:rPr>
          <w:sz w:val="20"/>
          <w:szCs w:val="20"/>
          <w:color w:val="auto"/>
        </w:rPr>
      </w:pPr>
    </w:p>
    <w:p>
      <w:pPr>
        <w:ind w:right="20" w:firstLine="562"/>
        <w:spacing w:after="0" w:line="273" w:lineRule="auto"/>
        <w:rPr>
          <w:sz w:val="20"/>
          <w:szCs w:val="20"/>
          <w:color w:val="auto"/>
        </w:rPr>
      </w:pPr>
      <w:r>
        <w:rPr>
          <w:rFonts w:ascii="Arial" w:cs="Arial" w:eastAsia="Arial" w:hAnsi="Arial"/>
          <w:sz w:val="17"/>
          <w:szCs w:val="17"/>
          <w:color w:val="auto"/>
        </w:rPr>
        <w:t>As of March 31, 2021 and December 31, 2020, we held certain investment assets and certain liabilities that are required to be measured at fair value on a recurring basis. These investments include money market funds and marketable equity securities where fair value is determined using quoted prices in active markets. Accordingly, the fair value measurements of these investments have been classified as Level 1 in the tables below. Investments for which we elected net asset value as a practical expedient for fair value and investments measured using the fair value measurement alternative are excluded from the tables below. Fair value for deferred compensation liabilities that are credited with deemed gains or losses of the underlying hypothetical investments, primarily equity securities, have been classified as Level 1 in the tables below.</w:t>
      </w:r>
    </w:p>
    <w:p>
      <w:pPr>
        <w:spacing w:after="0" w:line="178" w:lineRule="exact"/>
        <w:rPr>
          <w:sz w:val="20"/>
          <w:szCs w:val="20"/>
          <w:color w:val="auto"/>
        </w:rPr>
      </w:pPr>
    </w:p>
    <w:p>
      <w:pPr>
        <w:ind w:left="560"/>
        <w:spacing w:after="0"/>
        <w:rPr>
          <w:sz w:val="20"/>
          <w:szCs w:val="20"/>
          <w:color w:val="auto"/>
        </w:rPr>
      </w:pPr>
      <w:r>
        <w:rPr>
          <w:rFonts w:ascii="Arial" w:cs="Arial" w:eastAsia="Arial" w:hAnsi="Arial"/>
          <w:sz w:val="18"/>
          <w:szCs w:val="18"/>
          <w:color w:val="auto"/>
        </w:rPr>
        <w:t>The following tables present assets and liabilities measured at fair value on a recurring basis (in millions):</w:t>
      </w:r>
    </w:p>
    <w:p>
      <w:pPr>
        <w:spacing w:after="0" w:line="311"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580" w:type="dxa"/>
            <w:vAlign w:val="bottom"/>
          </w:tcPr>
          <w:p>
            <w:pPr>
              <w:spacing w:after="0"/>
              <w:rPr>
                <w:sz w:val="14"/>
                <w:szCs w:val="14"/>
                <w:color w:val="auto"/>
              </w:rPr>
            </w:pPr>
          </w:p>
        </w:tc>
        <w:tc>
          <w:tcPr>
            <w:tcW w:w="302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5000" w:type="dxa"/>
            <w:vAlign w:val="bottom"/>
            <w:gridSpan w:val="9"/>
          </w:tcPr>
          <w:p>
            <w:pPr>
              <w:ind w:left="840"/>
              <w:spacing w:after="0"/>
              <w:rPr>
                <w:sz w:val="20"/>
                <w:szCs w:val="20"/>
                <w:color w:val="auto"/>
              </w:rPr>
            </w:pPr>
            <w:r>
              <w:rPr>
                <w:rFonts w:ascii="Arial" w:cs="Arial" w:eastAsia="Arial" w:hAnsi="Arial"/>
                <w:sz w:val="14"/>
                <w:szCs w:val="14"/>
                <w:b w:val="1"/>
                <w:bCs w:val="1"/>
                <w:color w:val="auto"/>
              </w:rPr>
              <w:t>Fair Value Measurements at Reporting Date Using</w:t>
            </w:r>
          </w:p>
        </w:tc>
        <w:tc>
          <w:tcPr>
            <w:tcW w:w="5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33"/>
        </w:trPr>
        <w:tc>
          <w:tcPr>
            <w:tcW w:w="580" w:type="dxa"/>
            <w:vAlign w:val="bottom"/>
          </w:tcPr>
          <w:p>
            <w:pPr>
              <w:spacing w:after="0"/>
              <w:rPr>
                <w:sz w:val="11"/>
                <w:szCs w:val="11"/>
                <w:color w:val="auto"/>
              </w:rPr>
            </w:pPr>
          </w:p>
        </w:tc>
        <w:tc>
          <w:tcPr>
            <w:tcW w:w="302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700" w:type="dxa"/>
            <w:vAlign w:val="bottom"/>
            <w:tcBorders>
              <w:top w:val="single" w:sz="8" w:color="auto"/>
            </w:tcBorders>
            <w:gridSpan w:val="3"/>
          </w:tcPr>
          <w:p>
            <w:pPr>
              <w:jc w:val="center"/>
              <w:ind w:right="180"/>
              <w:spacing w:after="0" w:line="133" w:lineRule="exact"/>
              <w:rPr>
                <w:sz w:val="20"/>
                <w:szCs w:val="20"/>
                <w:color w:val="auto"/>
              </w:rPr>
            </w:pPr>
            <w:r>
              <w:rPr>
                <w:rFonts w:ascii="Arial" w:cs="Arial" w:eastAsia="Arial" w:hAnsi="Arial"/>
                <w:sz w:val="14"/>
                <w:szCs w:val="14"/>
                <w:b w:val="1"/>
                <w:bCs w:val="1"/>
                <w:color w:val="auto"/>
                <w:w w:val="92"/>
              </w:rPr>
              <w:t>Quoted prices in Active</w:t>
            </w:r>
          </w:p>
        </w:tc>
        <w:tc>
          <w:tcPr>
            <w:tcW w:w="140" w:type="dxa"/>
            <w:vAlign w:val="bottom"/>
            <w:tcBorders>
              <w:top w:val="single" w:sz="8" w:color="auto"/>
            </w:tcBorders>
          </w:tcPr>
          <w:p>
            <w:pPr>
              <w:spacing w:after="0"/>
              <w:rPr>
                <w:sz w:val="11"/>
                <w:szCs w:val="11"/>
                <w:color w:val="auto"/>
              </w:rPr>
            </w:pPr>
          </w:p>
        </w:tc>
        <w:tc>
          <w:tcPr>
            <w:tcW w:w="140" w:type="dxa"/>
            <w:vAlign w:val="bottom"/>
            <w:tcBorders>
              <w:top w:val="single" w:sz="8" w:color="auto"/>
            </w:tcBorders>
          </w:tcPr>
          <w:p>
            <w:pPr>
              <w:spacing w:after="0"/>
              <w:rPr>
                <w:sz w:val="11"/>
                <w:szCs w:val="11"/>
                <w:color w:val="auto"/>
              </w:rPr>
            </w:pPr>
          </w:p>
        </w:tc>
        <w:tc>
          <w:tcPr>
            <w:tcW w:w="1700" w:type="dxa"/>
            <w:vAlign w:val="bottom"/>
            <w:tcBorders>
              <w:top w:val="single" w:sz="8" w:color="auto"/>
            </w:tcBorders>
            <w:gridSpan w:val="2"/>
          </w:tcPr>
          <w:p>
            <w:pPr>
              <w:jc w:val="center"/>
              <w:ind w:right="480"/>
              <w:spacing w:after="0" w:line="133" w:lineRule="exact"/>
              <w:rPr>
                <w:sz w:val="20"/>
                <w:szCs w:val="20"/>
                <w:color w:val="auto"/>
              </w:rPr>
            </w:pPr>
            <w:r>
              <w:rPr>
                <w:rFonts w:ascii="Arial" w:cs="Arial" w:eastAsia="Arial" w:hAnsi="Arial"/>
                <w:sz w:val="14"/>
                <w:szCs w:val="14"/>
                <w:b w:val="1"/>
                <w:bCs w:val="1"/>
                <w:color w:val="auto"/>
                <w:w w:val="93"/>
              </w:rPr>
              <w:t>Significant Other</w:t>
            </w:r>
          </w:p>
        </w:tc>
        <w:tc>
          <w:tcPr>
            <w:tcW w:w="140" w:type="dxa"/>
            <w:vAlign w:val="bottom"/>
            <w:tcBorders>
              <w:top w:val="single" w:sz="8" w:color="auto"/>
            </w:tcBorders>
          </w:tcPr>
          <w:p>
            <w:pPr>
              <w:spacing w:after="0"/>
              <w:rPr>
                <w:sz w:val="11"/>
                <w:szCs w:val="11"/>
                <w:color w:val="auto"/>
              </w:rPr>
            </w:pPr>
          </w:p>
        </w:tc>
        <w:tc>
          <w:tcPr>
            <w:tcW w:w="1160" w:type="dxa"/>
            <w:vAlign w:val="bottom"/>
            <w:tcBorders>
              <w:top w:val="single" w:sz="8" w:color="auto"/>
            </w:tcBorders>
          </w:tcPr>
          <w:p>
            <w:pPr>
              <w:jc w:val="center"/>
              <w:ind w:right="57"/>
              <w:spacing w:after="0" w:line="133" w:lineRule="exact"/>
              <w:rPr>
                <w:sz w:val="20"/>
                <w:szCs w:val="20"/>
                <w:color w:val="auto"/>
              </w:rPr>
            </w:pPr>
            <w:r>
              <w:rPr>
                <w:rFonts w:ascii="Arial" w:cs="Arial" w:eastAsia="Arial" w:hAnsi="Arial"/>
                <w:sz w:val="14"/>
                <w:szCs w:val="14"/>
                <w:b w:val="1"/>
                <w:bCs w:val="1"/>
                <w:color w:val="auto"/>
                <w:w w:val="92"/>
              </w:rPr>
              <w:t>Significant</w:t>
            </w:r>
          </w:p>
        </w:tc>
        <w:tc>
          <w:tcPr>
            <w:tcW w:w="1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49"/>
        </w:trPr>
        <w:tc>
          <w:tcPr>
            <w:tcW w:w="580" w:type="dxa"/>
            <w:vAlign w:val="bottom"/>
          </w:tcPr>
          <w:p>
            <w:pPr>
              <w:spacing w:after="0"/>
              <w:rPr>
                <w:sz w:val="12"/>
                <w:szCs w:val="12"/>
                <w:color w:val="auto"/>
              </w:rPr>
            </w:pPr>
          </w:p>
        </w:tc>
        <w:tc>
          <w:tcPr>
            <w:tcW w:w="302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140" w:type="dxa"/>
            <w:vAlign w:val="bottom"/>
            <w:vMerge w:val="restart"/>
          </w:tcPr>
          <w:p>
            <w:pPr>
              <w:jc w:val="right"/>
              <w:ind w:right="73"/>
              <w:spacing w:after="0"/>
              <w:rPr>
                <w:sz w:val="20"/>
                <w:szCs w:val="20"/>
                <w:color w:val="auto"/>
              </w:rPr>
            </w:pPr>
            <w:r>
              <w:rPr>
                <w:rFonts w:ascii="Arial" w:cs="Arial" w:eastAsia="Arial" w:hAnsi="Arial"/>
                <w:sz w:val="14"/>
                <w:szCs w:val="14"/>
                <w:b w:val="1"/>
                <w:bCs w:val="1"/>
                <w:color w:val="auto"/>
                <w:w w:val="96"/>
              </w:rPr>
              <w:t>March 31, 2021</w:t>
            </w:r>
          </w:p>
        </w:tc>
        <w:tc>
          <w:tcPr>
            <w:tcW w:w="180" w:type="dxa"/>
            <w:vAlign w:val="bottom"/>
            <w:vMerge w:val="restart"/>
          </w:tcPr>
          <w:p>
            <w:pPr>
              <w:spacing w:after="0"/>
              <w:rPr>
                <w:sz w:val="12"/>
                <w:szCs w:val="12"/>
                <w:color w:val="auto"/>
              </w:rPr>
            </w:pPr>
          </w:p>
        </w:tc>
        <w:tc>
          <w:tcPr>
            <w:tcW w:w="1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600" w:type="dxa"/>
            <w:vAlign w:val="bottom"/>
            <w:gridSpan w:val="2"/>
          </w:tcPr>
          <w:p>
            <w:pPr>
              <w:jc w:val="center"/>
              <w:ind w:right="280"/>
              <w:spacing w:after="0" w:line="149" w:lineRule="exact"/>
              <w:rPr>
                <w:sz w:val="20"/>
                <w:szCs w:val="20"/>
                <w:color w:val="auto"/>
              </w:rPr>
            </w:pPr>
            <w:r>
              <w:rPr>
                <w:rFonts w:ascii="Arial" w:cs="Arial" w:eastAsia="Arial" w:hAnsi="Arial"/>
                <w:sz w:val="14"/>
                <w:szCs w:val="14"/>
                <w:b w:val="1"/>
                <w:bCs w:val="1"/>
                <w:color w:val="auto"/>
                <w:w w:val="96"/>
              </w:rPr>
              <w:t>Markets for Identical</w:t>
            </w:r>
          </w:p>
        </w:tc>
        <w:tc>
          <w:tcPr>
            <w:tcW w:w="1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700" w:type="dxa"/>
            <w:vAlign w:val="bottom"/>
            <w:gridSpan w:val="2"/>
          </w:tcPr>
          <w:p>
            <w:pPr>
              <w:jc w:val="center"/>
              <w:ind w:right="480"/>
              <w:spacing w:after="0" w:line="149" w:lineRule="exact"/>
              <w:rPr>
                <w:sz w:val="20"/>
                <w:szCs w:val="20"/>
                <w:color w:val="auto"/>
              </w:rPr>
            </w:pPr>
            <w:r>
              <w:rPr>
                <w:rFonts w:ascii="Arial" w:cs="Arial" w:eastAsia="Arial" w:hAnsi="Arial"/>
                <w:sz w:val="14"/>
                <w:szCs w:val="14"/>
                <w:b w:val="1"/>
                <w:bCs w:val="1"/>
                <w:color w:val="auto"/>
                <w:w w:val="93"/>
              </w:rPr>
              <w:t>Observable Inputs</w:t>
            </w:r>
          </w:p>
        </w:tc>
        <w:tc>
          <w:tcPr>
            <w:tcW w:w="140" w:type="dxa"/>
            <w:vAlign w:val="bottom"/>
          </w:tcPr>
          <w:p>
            <w:pPr>
              <w:spacing w:after="0"/>
              <w:rPr>
                <w:sz w:val="12"/>
                <w:szCs w:val="12"/>
                <w:color w:val="auto"/>
              </w:rPr>
            </w:pPr>
          </w:p>
        </w:tc>
        <w:tc>
          <w:tcPr>
            <w:tcW w:w="1280" w:type="dxa"/>
            <w:vAlign w:val="bottom"/>
            <w:gridSpan w:val="2"/>
          </w:tcPr>
          <w:p>
            <w:pPr>
              <w:jc w:val="center"/>
              <w:ind w:right="260"/>
              <w:spacing w:after="0" w:line="149" w:lineRule="exact"/>
              <w:rPr>
                <w:sz w:val="20"/>
                <w:szCs w:val="20"/>
                <w:color w:val="auto"/>
              </w:rPr>
            </w:pPr>
            <w:r>
              <w:rPr>
                <w:rFonts w:ascii="Arial" w:cs="Arial" w:eastAsia="Arial" w:hAnsi="Arial"/>
                <w:sz w:val="14"/>
                <w:szCs w:val="14"/>
                <w:b w:val="1"/>
                <w:bCs w:val="1"/>
                <w:color w:val="auto"/>
                <w:w w:val="92"/>
              </w:rPr>
              <w:t>Unobservable</w:t>
            </w:r>
          </w:p>
        </w:tc>
        <w:tc>
          <w:tcPr>
            <w:tcW w:w="5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71"/>
        </w:trPr>
        <w:tc>
          <w:tcPr>
            <w:tcW w:w="580" w:type="dxa"/>
            <w:vAlign w:val="bottom"/>
          </w:tcPr>
          <w:p>
            <w:pPr>
              <w:spacing w:after="0"/>
              <w:rPr>
                <w:sz w:val="14"/>
                <w:szCs w:val="14"/>
                <w:color w:val="auto"/>
              </w:rPr>
            </w:pPr>
          </w:p>
        </w:tc>
        <w:tc>
          <w:tcPr>
            <w:tcW w:w="3020" w:type="dxa"/>
            <w:vAlign w:val="bottom"/>
            <w:tcBorders>
              <w:bottom w:val="single" w:sz="8" w:color="CFF0FC"/>
            </w:tcBorders>
          </w:tcPr>
          <w:p>
            <w:pPr>
              <w:spacing w:after="0"/>
              <w:rPr>
                <w:sz w:val="14"/>
                <w:szCs w:val="14"/>
                <w:color w:val="auto"/>
              </w:rPr>
            </w:pPr>
          </w:p>
        </w:tc>
        <w:tc>
          <w:tcPr>
            <w:tcW w:w="400" w:type="dxa"/>
            <w:vAlign w:val="bottom"/>
            <w:tcBorders>
              <w:bottom w:val="single" w:sz="8" w:color="CFF0FC"/>
            </w:tcBorders>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1140" w:type="dxa"/>
            <w:vAlign w:val="bottom"/>
            <w:tcBorders>
              <w:bottom w:val="single" w:sz="8" w:color="auto"/>
            </w:tcBorders>
            <w:vMerge w:val="continue"/>
          </w:tcPr>
          <w:p>
            <w:pPr>
              <w:spacing w:after="0"/>
              <w:rPr>
                <w:sz w:val="14"/>
                <w:szCs w:val="14"/>
                <w:color w:val="auto"/>
              </w:rPr>
            </w:pPr>
          </w:p>
        </w:tc>
        <w:tc>
          <w:tcPr>
            <w:tcW w:w="180" w:type="dxa"/>
            <w:vAlign w:val="bottom"/>
            <w:tcBorders>
              <w:bottom w:val="single" w:sz="8" w:color="CFF0FC"/>
            </w:tcBorders>
            <w:vMerge w:val="continue"/>
          </w:tcPr>
          <w:p>
            <w:pPr>
              <w:spacing w:after="0"/>
              <w:rPr>
                <w:sz w:val="14"/>
                <w:szCs w:val="14"/>
                <w:color w:val="auto"/>
              </w:rPr>
            </w:pPr>
          </w:p>
        </w:tc>
        <w:tc>
          <w:tcPr>
            <w:tcW w:w="140" w:type="dxa"/>
            <w:vAlign w:val="bottom"/>
            <w:tcBorders>
              <w:bottom w:val="single" w:sz="8" w:color="CFF0FC"/>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1420" w:type="dxa"/>
            <w:vAlign w:val="bottom"/>
            <w:tcBorders>
              <w:bottom w:val="single" w:sz="8" w:color="auto"/>
            </w:tcBorders>
          </w:tcPr>
          <w:p>
            <w:pPr>
              <w:jc w:val="center"/>
              <w:ind w:right="17"/>
              <w:spacing w:after="0"/>
              <w:rPr>
                <w:sz w:val="20"/>
                <w:szCs w:val="20"/>
                <w:color w:val="auto"/>
              </w:rPr>
            </w:pPr>
            <w:r>
              <w:rPr>
                <w:rFonts w:ascii="Arial" w:cs="Arial" w:eastAsia="Arial" w:hAnsi="Arial"/>
                <w:sz w:val="14"/>
                <w:szCs w:val="14"/>
                <w:b w:val="1"/>
                <w:bCs w:val="1"/>
                <w:color w:val="auto"/>
                <w:w w:val="90"/>
              </w:rPr>
              <w:t>Assets (Level 1)</w:t>
            </w:r>
          </w:p>
        </w:tc>
        <w:tc>
          <w:tcPr>
            <w:tcW w:w="180" w:type="dxa"/>
            <w:vAlign w:val="bottom"/>
            <w:tcBorders>
              <w:bottom w:val="single" w:sz="8" w:color="CFF0FC"/>
            </w:tcBorders>
          </w:tcPr>
          <w:p>
            <w:pPr>
              <w:spacing w:after="0"/>
              <w:rPr>
                <w:sz w:val="14"/>
                <w:szCs w:val="14"/>
                <w:color w:val="auto"/>
              </w:rPr>
            </w:pPr>
          </w:p>
        </w:tc>
        <w:tc>
          <w:tcPr>
            <w:tcW w:w="140" w:type="dxa"/>
            <w:vAlign w:val="bottom"/>
            <w:tcBorders>
              <w:bottom w:val="single" w:sz="8" w:color="CFF0FC"/>
            </w:tcBorders>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1380" w:type="dxa"/>
            <w:vAlign w:val="bottom"/>
            <w:tcBorders>
              <w:bottom w:val="single" w:sz="8" w:color="auto"/>
            </w:tcBorders>
          </w:tcPr>
          <w:p>
            <w:pPr>
              <w:jc w:val="center"/>
              <w:ind w:right="77"/>
              <w:spacing w:after="0"/>
              <w:rPr>
                <w:sz w:val="20"/>
                <w:szCs w:val="20"/>
                <w:color w:val="auto"/>
              </w:rPr>
            </w:pPr>
            <w:r>
              <w:rPr>
                <w:rFonts w:ascii="Arial" w:cs="Arial" w:eastAsia="Arial" w:hAnsi="Arial"/>
                <w:sz w:val="14"/>
                <w:szCs w:val="14"/>
                <w:b w:val="1"/>
                <w:bCs w:val="1"/>
                <w:color w:val="auto"/>
                <w:w w:val="94"/>
              </w:rPr>
              <w:t>(Level 2)</w:t>
            </w:r>
          </w:p>
        </w:tc>
        <w:tc>
          <w:tcPr>
            <w:tcW w:w="320" w:type="dxa"/>
            <w:vAlign w:val="bottom"/>
            <w:tcBorders>
              <w:bottom w:val="single" w:sz="8" w:color="CFF0FC"/>
            </w:tcBorders>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1160" w:type="dxa"/>
            <w:vAlign w:val="bottom"/>
            <w:tcBorders>
              <w:bottom w:val="single" w:sz="8" w:color="auto"/>
            </w:tcBorders>
          </w:tcPr>
          <w:p>
            <w:pPr>
              <w:jc w:val="center"/>
              <w:ind w:right="57"/>
              <w:spacing w:after="0"/>
              <w:rPr>
                <w:sz w:val="20"/>
                <w:szCs w:val="20"/>
                <w:color w:val="auto"/>
              </w:rPr>
            </w:pPr>
            <w:r>
              <w:rPr>
                <w:rFonts w:ascii="Arial" w:cs="Arial" w:eastAsia="Arial" w:hAnsi="Arial"/>
                <w:sz w:val="14"/>
                <w:szCs w:val="14"/>
                <w:b w:val="1"/>
                <w:bCs w:val="1"/>
                <w:color w:val="auto"/>
                <w:w w:val="95"/>
              </w:rPr>
              <w:t>Inputs (Level 3)</w:t>
            </w:r>
          </w:p>
        </w:tc>
        <w:tc>
          <w:tcPr>
            <w:tcW w:w="120" w:type="dxa"/>
            <w:vAlign w:val="bottom"/>
            <w:tcBorders>
              <w:bottom w:val="single" w:sz="8" w:color="CFF0FC"/>
            </w:tcBorders>
          </w:tcPr>
          <w:p>
            <w:pPr>
              <w:spacing w:after="0"/>
              <w:rPr>
                <w:sz w:val="14"/>
                <w:szCs w:val="14"/>
                <w:color w:val="auto"/>
              </w:rPr>
            </w:pPr>
          </w:p>
        </w:tc>
        <w:tc>
          <w:tcPr>
            <w:tcW w:w="5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37"/>
        </w:trPr>
        <w:tc>
          <w:tcPr>
            <w:tcW w:w="580" w:type="dxa"/>
            <w:vAlign w:val="bottom"/>
          </w:tcPr>
          <w:p>
            <w:pPr>
              <w:spacing w:after="0"/>
              <w:rPr>
                <w:sz w:val="20"/>
                <w:szCs w:val="20"/>
                <w:color w:val="auto"/>
              </w:rPr>
            </w:pPr>
          </w:p>
        </w:tc>
        <w:tc>
          <w:tcPr>
            <w:tcW w:w="3020" w:type="dxa"/>
            <w:vAlign w:val="bottom"/>
            <w:shd w:val="clear" w:color="auto" w:fill="CFF0FC"/>
          </w:tcPr>
          <w:p>
            <w:pPr>
              <w:spacing w:after="0"/>
              <w:rPr>
                <w:sz w:val="20"/>
                <w:szCs w:val="20"/>
                <w:color w:val="auto"/>
              </w:rPr>
            </w:pPr>
            <w:r>
              <w:rPr>
                <w:rFonts w:ascii="Arial" w:cs="Arial" w:eastAsia="Arial" w:hAnsi="Arial"/>
                <w:sz w:val="18"/>
                <w:szCs w:val="18"/>
                <w:color w:val="auto"/>
              </w:rPr>
              <w:t>Money market funds (1)</w:t>
            </w:r>
          </w:p>
        </w:tc>
        <w:tc>
          <w:tcPr>
            <w:tcW w:w="520" w:type="dxa"/>
            <w:vAlign w:val="bottom"/>
            <w:gridSpan w:val="2"/>
            <w:shd w:val="clear" w:color="auto" w:fill="CFF0FC"/>
          </w:tcPr>
          <w:p>
            <w:pPr>
              <w:jc w:val="right"/>
              <w:ind w:right="40"/>
              <w:spacing w:after="0"/>
              <w:rPr>
                <w:sz w:val="20"/>
                <w:szCs w:val="20"/>
                <w:color w:val="auto"/>
              </w:rPr>
            </w:pPr>
            <w:r>
              <w:rPr>
                <w:rFonts w:ascii="Arial" w:cs="Arial" w:eastAsia="Arial" w:hAnsi="Arial"/>
                <w:sz w:val="18"/>
                <w:szCs w:val="18"/>
                <w:color w:val="auto"/>
              </w:rPr>
              <w:t>$</w:t>
            </w:r>
          </w:p>
        </w:tc>
        <w:tc>
          <w:tcPr>
            <w:tcW w:w="11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1,339.6</w:t>
            </w:r>
          </w:p>
        </w:tc>
        <w:tc>
          <w:tcPr>
            <w:tcW w:w="180" w:type="dxa"/>
            <w:vAlign w:val="bottom"/>
            <w:shd w:val="clear" w:color="auto" w:fill="CFF0FC"/>
          </w:tcPr>
          <w:p>
            <w:pPr>
              <w:spacing w:after="0"/>
              <w:rPr>
                <w:sz w:val="20"/>
                <w:szCs w:val="20"/>
                <w:color w:val="auto"/>
              </w:rPr>
            </w:pPr>
          </w:p>
        </w:tc>
        <w:tc>
          <w:tcPr>
            <w:tcW w:w="240" w:type="dxa"/>
            <w:vAlign w:val="bottom"/>
            <w:gridSpan w:val="2"/>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14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1,339.6</w:t>
            </w:r>
          </w:p>
        </w:tc>
        <w:tc>
          <w:tcPr>
            <w:tcW w:w="180" w:type="dxa"/>
            <w:vAlign w:val="bottom"/>
            <w:shd w:val="clear" w:color="auto" w:fill="CFF0FC"/>
          </w:tcPr>
          <w:p>
            <w:pPr>
              <w:spacing w:after="0"/>
              <w:rPr>
                <w:sz w:val="20"/>
                <w:szCs w:val="20"/>
                <w:color w:val="auto"/>
              </w:rPr>
            </w:pPr>
          </w:p>
        </w:tc>
        <w:tc>
          <w:tcPr>
            <w:tcW w:w="280" w:type="dxa"/>
            <w:vAlign w:val="bottom"/>
            <w:gridSpan w:val="2"/>
            <w:shd w:val="clear" w:color="auto" w:fill="CFF0FC"/>
          </w:tcPr>
          <w:p>
            <w:pPr>
              <w:jc w:val="right"/>
              <w:ind w:right="60"/>
              <w:spacing w:after="0"/>
              <w:rPr>
                <w:sz w:val="20"/>
                <w:szCs w:val="20"/>
                <w:color w:val="auto"/>
              </w:rPr>
            </w:pPr>
            <w:r>
              <w:rPr>
                <w:rFonts w:ascii="Arial" w:cs="Arial" w:eastAsia="Arial" w:hAnsi="Arial"/>
                <w:sz w:val="18"/>
                <w:szCs w:val="18"/>
                <w:color w:val="auto"/>
              </w:rPr>
              <w:t>$</w:t>
            </w:r>
          </w:p>
        </w:tc>
        <w:tc>
          <w:tcPr>
            <w:tcW w:w="1700" w:type="dxa"/>
            <w:vAlign w:val="bottom"/>
            <w:gridSpan w:val="2"/>
            <w:shd w:val="clear" w:color="auto" w:fill="CFF0FC"/>
          </w:tcPr>
          <w:p>
            <w:pPr>
              <w:ind w:left="1200"/>
              <w:spacing w:after="0"/>
              <w:rPr>
                <w:sz w:val="20"/>
                <w:szCs w:val="20"/>
                <w:color w:val="auto"/>
              </w:rPr>
            </w:pPr>
            <w:r>
              <w:rPr>
                <w:rFonts w:ascii="Arial" w:cs="Arial" w:eastAsia="Arial" w:hAnsi="Arial"/>
                <w:sz w:val="18"/>
                <w:szCs w:val="18"/>
                <w:color w:val="auto"/>
              </w:rPr>
              <w:t>—</w:t>
            </w:r>
          </w:p>
        </w:tc>
        <w:tc>
          <w:tcPr>
            <w:tcW w:w="140" w:type="dxa"/>
            <w:vAlign w:val="bottom"/>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1280" w:type="dxa"/>
            <w:vAlign w:val="bottom"/>
            <w:gridSpan w:val="2"/>
            <w:shd w:val="clear" w:color="auto" w:fill="CFF0FC"/>
          </w:tcPr>
          <w:p>
            <w:pPr>
              <w:ind w:left="980"/>
              <w:spacing w:after="0"/>
              <w:rPr>
                <w:sz w:val="20"/>
                <w:szCs w:val="20"/>
                <w:color w:val="auto"/>
              </w:rPr>
            </w:pPr>
            <w:r>
              <w:rPr>
                <w:rFonts w:ascii="Arial" w:cs="Arial" w:eastAsia="Arial" w:hAnsi="Arial"/>
                <w:sz w:val="18"/>
                <w:szCs w:val="18"/>
                <w:color w:val="auto"/>
              </w:rPr>
              <w:t>—</w:t>
            </w:r>
          </w:p>
        </w:tc>
        <w:tc>
          <w:tcPr>
            <w:tcW w:w="5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43"/>
        </w:trPr>
        <w:tc>
          <w:tcPr>
            <w:tcW w:w="580" w:type="dxa"/>
            <w:vAlign w:val="bottom"/>
          </w:tcPr>
          <w:p>
            <w:pPr>
              <w:spacing w:after="0"/>
              <w:rPr>
                <w:sz w:val="21"/>
                <w:szCs w:val="21"/>
                <w:color w:val="auto"/>
              </w:rPr>
            </w:pPr>
          </w:p>
        </w:tc>
        <w:tc>
          <w:tcPr>
            <w:tcW w:w="3020" w:type="dxa"/>
            <w:vAlign w:val="bottom"/>
          </w:tcPr>
          <w:p>
            <w:pPr>
              <w:spacing w:after="0"/>
              <w:rPr>
                <w:sz w:val="20"/>
                <w:szCs w:val="20"/>
                <w:color w:val="auto"/>
              </w:rPr>
            </w:pPr>
            <w:r>
              <w:rPr>
                <w:rFonts w:ascii="Arial" w:cs="Arial" w:eastAsia="Arial" w:hAnsi="Arial"/>
                <w:sz w:val="18"/>
                <w:szCs w:val="18"/>
                <w:color w:val="auto"/>
              </w:rPr>
              <w:t>Marketable equity securities (2)</w:t>
            </w:r>
          </w:p>
        </w:tc>
        <w:tc>
          <w:tcPr>
            <w:tcW w:w="4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39.3</w:t>
            </w:r>
          </w:p>
        </w:tc>
        <w:tc>
          <w:tcPr>
            <w:tcW w:w="18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420" w:type="dxa"/>
            <w:vAlign w:val="bottom"/>
          </w:tcPr>
          <w:p>
            <w:pPr>
              <w:jc w:val="right"/>
              <w:spacing w:after="0"/>
              <w:rPr>
                <w:sz w:val="20"/>
                <w:szCs w:val="20"/>
                <w:color w:val="auto"/>
              </w:rPr>
            </w:pPr>
            <w:r>
              <w:rPr>
                <w:rFonts w:ascii="Arial" w:cs="Arial" w:eastAsia="Arial" w:hAnsi="Arial"/>
                <w:sz w:val="18"/>
                <w:szCs w:val="18"/>
                <w:color w:val="auto"/>
              </w:rPr>
              <w:t>39.3</w:t>
            </w:r>
          </w:p>
        </w:tc>
        <w:tc>
          <w:tcPr>
            <w:tcW w:w="18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700" w:type="dxa"/>
            <w:vAlign w:val="bottom"/>
            <w:gridSpan w:val="2"/>
          </w:tcPr>
          <w:p>
            <w:pPr>
              <w:ind w:left="120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21"/>
                <w:szCs w:val="21"/>
                <w:color w:val="auto"/>
              </w:rPr>
            </w:pPr>
          </w:p>
        </w:tc>
        <w:tc>
          <w:tcPr>
            <w:tcW w:w="1280" w:type="dxa"/>
            <w:vAlign w:val="bottom"/>
            <w:gridSpan w:val="2"/>
          </w:tcPr>
          <w:p>
            <w:pPr>
              <w:ind w:left="980"/>
              <w:spacing w:after="0"/>
              <w:rPr>
                <w:sz w:val="20"/>
                <w:szCs w:val="20"/>
                <w:color w:val="auto"/>
              </w:rPr>
            </w:pPr>
            <w:r>
              <w:rPr>
                <w:rFonts w:ascii="Arial" w:cs="Arial" w:eastAsia="Arial" w:hAnsi="Arial"/>
                <w:sz w:val="18"/>
                <w:szCs w:val="18"/>
                <w:color w:val="auto"/>
              </w:rPr>
              <w:t>—</w:t>
            </w:r>
          </w:p>
        </w:tc>
        <w:tc>
          <w:tcPr>
            <w:tcW w:w="56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580" w:type="dxa"/>
            <w:vAlign w:val="bottom"/>
          </w:tcPr>
          <w:p>
            <w:pPr>
              <w:spacing w:after="0"/>
              <w:rPr>
                <w:sz w:val="21"/>
                <w:szCs w:val="21"/>
                <w:color w:val="auto"/>
              </w:rPr>
            </w:pPr>
          </w:p>
        </w:tc>
        <w:tc>
          <w:tcPr>
            <w:tcW w:w="3020" w:type="dxa"/>
            <w:vAlign w:val="bottom"/>
            <w:shd w:val="clear" w:color="auto" w:fill="CFF0FC"/>
          </w:tcPr>
          <w:p>
            <w:pPr>
              <w:spacing w:after="0"/>
              <w:rPr>
                <w:sz w:val="20"/>
                <w:szCs w:val="20"/>
                <w:color w:val="auto"/>
              </w:rPr>
            </w:pPr>
            <w:r>
              <w:rPr>
                <w:rFonts w:ascii="Arial" w:cs="Arial" w:eastAsia="Arial" w:hAnsi="Arial"/>
                <w:sz w:val="18"/>
                <w:szCs w:val="18"/>
                <w:color w:val="auto"/>
              </w:rPr>
              <w:t>Seed capital investments (2)</w:t>
            </w:r>
          </w:p>
        </w:tc>
        <w:tc>
          <w:tcPr>
            <w:tcW w:w="400" w:type="dxa"/>
            <w:vAlign w:val="bottom"/>
            <w:shd w:val="clear" w:color="auto" w:fill="CFF0FC"/>
          </w:tcPr>
          <w:p>
            <w:pPr>
              <w:spacing w:after="0"/>
              <w:rPr>
                <w:sz w:val="21"/>
                <w:szCs w:val="21"/>
                <w:color w:val="auto"/>
              </w:rPr>
            </w:pPr>
          </w:p>
        </w:tc>
        <w:tc>
          <w:tcPr>
            <w:tcW w:w="120" w:type="dxa"/>
            <w:vAlign w:val="bottom"/>
            <w:shd w:val="clear" w:color="auto" w:fill="CFF0FC"/>
          </w:tcPr>
          <w:p>
            <w:pPr>
              <w:spacing w:after="0"/>
              <w:rPr>
                <w:sz w:val="21"/>
                <w:szCs w:val="21"/>
                <w:color w:val="auto"/>
              </w:rPr>
            </w:pPr>
          </w:p>
        </w:tc>
        <w:tc>
          <w:tcPr>
            <w:tcW w:w="11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32.1</w:t>
            </w:r>
          </w:p>
        </w:tc>
        <w:tc>
          <w:tcPr>
            <w:tcW w:w="180" w:type="dxa"/>
            <w:vAlign w:val="bottom"/>
            <w:shd w:val="clear" w:color="auto" w:fill="CFF0FC"/>
          </w:tcPr>
          <w:p>
            <w:pPr>
              <w:spacing w:after="0"/>
              <w:rPr>
                <w:sz w:val="21"/>
                <w:szCs w:val="21"/>
                <w:color w:val="auto"/>
              </w:rPr>
            </w:pPr>
          </w:p>
        </w:tc>
        <w:tc>
          <w:tcPr>
            <w:tcW w:w="140" w:type="dxa"/>
            <w:vAlign w:val="bottom"/>
            <w:shd w:val="clear" w:color="auto" w:fill="CFF0FC"/>
          </w:tcPr>
          <w:p>
            <w:pPr>
              <w:spacing w:after="0"/>
              <w:rPr>
                <w:sz w:val="21"/>
                <w:szCs w:val="21"/>
                <w:color w:val="auto"/>
              </w:rPr>
            </w:pPr>
          </w:p>
        </w:tc>
        <w:tc>
          <w:tcPr>
            <w:tcW w:w="100" w:type="dxa"/>
            <w:vAlign w:val="bottom"/>
            <w:shd w:val="clear" w:color="auto" w:fill="CFF0FC"/>
          </w:tcPr>
          <w:p>
            <w:pPr>
              <w:spacing w:after="0"/>
              <w:rPr>
                <w:sz w:val="21"/>
                <w:szCs w:val="21"/>
                <w:color w:val="auto"/>
              </w:rPr>
            </w:pPr>
          </w:p>
        </w:tc>
        <w:tc>
          <w:tcPr>
            <w:tcW w:w="14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32.1</w:t>
            </w:r>
          </w:p>
        </w:tc>
        <w:tc>
          <w:tcPr>
            <w:tcW w:w="180" w:type="dxa"/>
            <w:vAlign w:val="bottom"/>
            <w:shd w:val="clear" w:color="auto" w:fill="CFF0FC"/>
          </w:tcPr>
          <w:p>
            <w:pPr>
              <w:spacing w:after="0"/>
              <w:rPr>
                <w:sz w:val="21"/>
                <w:szCs w:val="21"/>
                <w:color w:val="auto"/>
              </w:rPr>
            </w:pPr>
          </w:p>
        </w:tc>
        <w:tc>
          <w:tcPr>
            <w:tcW w:w="140" w:type="dxa"/>
            <w:vAlign w:val="bottom"/>
            <w:shd w:val="clear" w:color="auto" w:fill="CFF0FC"/>
          </w:tcPr>
          <w:p>
            <w:pPr>
              <w:spacing w:after="0"/>
              <w:rPr>
                <w:sz w:val="21"/>
                <w:szCs w:val="21"/>
                <w:color w:val="auto"/>
              </w:rPr>
            </w:pPr>
          </w:p>
        </w:tc>
        <w:tc>
          <w:tcPr>
            <w:tcW w:w="140" w:type="dxa"/>
            <w:vAlign w:val="bottom"/>
            <w:shd w:val="clear" w:color="auto" w:fill="CFF0FC"/>
          </w:tcPr>
          <w:p>
            <w:pPr>
              <w:spacing w:after="0"/>
              <w:rPr>
                <w:sz w:val="21"/>
                <w:szCs w:val="21"/>
                <w:color w:val="auto"/>
              </w:rPr>
            </w:pPr>
          </w:p>
        </w:tc>
        <w:tc>
          <w:tcPr>
            <w:tcW w:w="1700" w:type="dxa"/>
            <w:vAlign w:val="bottom"/>
            <w:gridSpan w:val="2"/>
            <w:shd w:val="clear" w:color="auto" w:fill="CFF0FC"/>
          </w:tcPr>
          <w:p>
            <w:pPr>
              <w:ind w:left="1200"/>
              <w:spacing w:after="0"/>
              <w:rPr>
                <w:sz w:val="20"/>
                <w:szCs w:val="20"/>
                <w:color w:val="auto"/>
              </w:rPr>
            </w:pPr>
            <w:r>
              <w:rPr>
                <w:rFonts w:ascii="Arial" w:cs="Arial" w:eastAsia="Arial" w:hAnsi="Arial"/>
                <w:sz w:val="18"/>
                <w:szCs w:val="18"/>
                <w:color w:val="auto"/>
              </w:rPr>
              <w:t>—</w:t>
            </w:r>
          </w:p>
        </w:tc>
        <w:tc>
          <w:tcPr>
            <w:tcW w:w="140" w:type="dxa"/>
            <w:vAlign w:val="bottom"/>
            <w:shd w:val="clear" w:color="auto" w:fill="CFF0FC"/>
          </w:tcPr>
          <w:p>
            <w:pPr>
              <w:spacing w:after="0"/>
              <w:rPr>
                <w:sz w:val="21"/>
                <w:szCs w:val="21"/>
                <w:color w:val="auto"/>
              </w:rPr>
            </w:pPr>
          </w:p>
        </w:tc>
        <w:tc>
          <w:tcPr>
            <w:tcW w:w="1280" w:type="dxa"/>
            <w:vAlign w:val="bottom"/>
            <w:gridSpan w:val="2"/>
            <w:shd w:val="clear" w:color="auto" w:fill="CFF0FC"/>
          </w:tcPr>
          <w:p>
            <w:pPr>
              <w:ind w:left="980"/>
              <w:spacing w:after="0"/>
              <w:rPr>
                <w:sz w:val="20"/>
                <w:szCs w:val="20"/>
                <w:color w:val="auto"/>
              </w:rPr>
            </w:pPr>
            <w:r>
              <w:rPr>
                <w:rFonts w:ascii="Arial" w:cs="Arial" w:eastAsia="Arial" w:hAnsi="Arial"/>
                <w:sz w:val="18"/>
                <w:szCs w:val="18"/>
                <w:color w:val="auto"/>
              </w:rPr>
              <w:t>—</w:t>
            </w:r>
          </w:p>
        </w:tc>
        <w:tc>
          <w:tcPr>
            <w:tcW w:w="56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580" w:type="dxa"/>
            <w:vAlign w:val="bottom"/>
          </w:tcPr>
          <w:p>
            <w:pPr>
              <w:spacing w:after="0"/>
              <w:rPr>
                <w:sz w:val="21"/>
                <w:szCs w:val="21"/>
                <w:color w:val="auto"/>
              </w:rPr>
            </w:pPr>
          </w:p>
        </w:tc>
        <w:tc>
          <w:tcPr>
            <w:tcW w:w="3020" w:type="dxa"/>
            <w:vAlign w:val="bottom"/>
          </w:tcPr>
          <w:p>
            <w:pPr>
              <w:spacing w:after="0"/>
              <w:rPr>
                <w:sz w:val="20"/>
                <w:szCs w:val="20"/>
                <w:color w:val="auto"/>
              </w:rPr>
            </w:pPr>
            <w:r>
              <w:rPr>
                <w:rFonts w:ascii="Arial" w:cs="Arial" w:eastAsia="Arial" w:hAnsi="Arial"/>
                <w:sz w:val="18"/>
                <w:szCs w:val="18"/>
                <w:color w:val="auto"/>
              </w:rPr>
              <w:t>Deferred compensation liabilities (3)</w:t>
            </w:r>
          </w:p>
        </w:tc>
        <w:tc>
          <w:tcPr>
            <w:tcW w:w="4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320" w:type="dxa"/>
            <w:vAlign w:val="bottom"/>
            <w:gridSpan w:val="2"/>
          </w:tcPr>
          <w:p>
            <w:pPr>
              <w:jc w:val="right"/>
              <w:ind w:right="120"/>
              <w:spacing w:after="0"/>
              <w:rPr>
                <w:sz w:val="20"/>
                <w:szCs w:val="20"/>
                <w:color w:val="auto"/>
              </w:rPr>
            </w:pPr>
            <w:r>
              <w:rPr>
                <w:rFonts w:ascii="Arial" w:cs="Arial" w:eastAsia="Arial" w:hAnsi="Arial"/>
                <w:sz w:val="18"/>
                <w:szCs w:val="18"/>
                <w:color w:val="auto"/>
              </w:rPr>
              <w:t>(20.1)</w:t>
            </w:r>
          </w:p>
        </w:tc>
        <w:tc>
          <w:tcPr>
            <w:tcW w:w="1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600" w:type="dxa"/>
            <w:vAlign w:val="bottom"/>
            <w:gridSpan w:val="2"/>
          </w:tcPr>
          <w:p>
            <w:pPr>
              <w:jc w:val="right"/>
              <w:ind w:right="120"/>
              <w:spacing w:after="0"/>
              <w:rPr>
                <w:sz w:val="20"/>
                <w:szCs w:val="20"/>
                <w:color w:val="auto"/>
              </w:rPr>
            </w:pPr>
            <w:r>
              <w:rPr>
                <w:rFonts w:ascii="Arial" w:cs="Arial" w:eastAsia="Arial" w:hAnsi="Arial"/>
                <w:sz w:val="18"/>
                <w:szCs w:val="18"/>
                <w:color w:val="auto"/>
              </w:rPr>
              <w:t>(20.1)</w:t>
            </w:r>
          </w:p>
        </w:tc>
        <w:tc>
          <w:tcPr>
            <w:tcW w:w="14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700" w:type="dxa"/>
            <w:vAlign w:val="bottom"/>
            <w:gridSpan w:val="2"/>
          </w:tcPr>
          <w:p>
            <w:pPr>
              <w:ind w:left="120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21"/>
                <w:szCs w:val="21"/>
                <w:color w:val="auto"/>
              </w:rPr>
            </w:pPr>
          </w:p>
        </w:tc>
        <w:tc>
          <w:tcPr>
            <w:tcW w:w="1280" w:type="dxa"/>
            <w:vAlign w:val="bottom"/>
            <w:gridSpan w:val="2"/>
          </w:tcPr>
          <w:p>
            <w:pPr>
              <w:ind w:left="980"/>
              <w:spacing w:after="0"/>
              <w:rPr>
                <w:sz w:val="20"/>
                <w:szCs w:val="20"/>
                <w:color w:val="auto"/>
              </w:rPr>
            </w:pPr>
            <w:r>
              <w:rPr>
                <w:rFonts w:ascii="Arial" w:cs="Arial" w:eastAsia="Arial" w:hAnsi="Arial"/>
                <w:sz w:val="18"/>
                <w:szCs w:val="18"/>
                <w:color w:val="auto"/>
              </w:rPr>
              <w:t>—</w:t>
            </w:r>
          </w:p>
        </w:tc>
        <w:tc>
          <w:tcPr>
            <w:tcW w:w="56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0"/>
        </w:trPr>
        <w:tc>
          <w:tcPr>
            <w:tcW w:w="580" w:type="dxa"/>
            <w:vAlign w:val="bottom"/>
          </w:tcPr>
          <w:p>
            <w:pPr>
              <w:spacing w:after="0" w:line="20" w:lineRule="exact"/>
              <w:rPr>
                <w:sz w:val="1"/>
                <w:szCs w:val="1"/>
                <w:color w:val="auto"/>
              </w:rPr>
            </w:pPr>
          </w:p>
        </w:tc>
        <w:tc>
          <w:tcPr>
            <w:tcW w:w="3020" w:type="dxa"/>
            <w:vAlign w:val="bottom"/>
            <w:vMerge w:val="restart"/>
            <w:shd w:val="clear" w:color="auto" w:fill="CFF0FC"/>
          </w:tcPr>
          <w:p>
            <w:pPr>
              <w:ind w:left="120"/>
              <w:spacing w:after="0"/>
              <w:rPr>
                <w:sz w:val="20"/>
                <w:szCs w:val="20"/>
                <w:color w:val="auto"/>
              </w:rPr>
            </w:pPr>
            <w:r>
              <w:rPr>
                <w:rFonts w:ascii="Arial" w:cs="Arial" w:eastAsia="Arial" w:hAnsi="Arial"/>
                <w:sz w:val="18"/>
                <w:szCs w:val="18"/>
                <w:color w:val="auto"/>
              </w:rPr>
              <w:t>Total</w:t>
            </w:r>
          </w:p>
        </w:tc>
        <w:tc>
          <w:tcPr>
            <w:tcW w:w="400" w:type="dxa"/>
            <w:vAlign w:val="bottom"/>
            <w:shd w:val="clear" w:color="auto" w:fill="CFF0FC"/>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1140" w:type="dxa"/>
            <w:vAlign w:val="bottom"/>
            <w:shd w:val="clear" w:color="auto" w:fill="000000"/>
          </w:tcPr>
          <w:p>
            <w:pPr>
              <w:spacing w:after="0" w:line="20" w:lineRule="exact"/>
              <w:rPr>
                <w:sz w:val="1"/>
                <w:szCs w:val="1"/>
                <w:color w:val="auto"/>
              </w:rPr>
            </w:pPr>
          </w:p>
        </w:tc>
        <w:tc>
          <w:tcPr>
            <w:tcW w:w="180" w:type="dxa"/>
            <w:vAlign w:val="bottom"/>
            <w:shd w:val="clear" w:color="auto" w:fill="CFF0FC"/>
          </w:tcPr>
          <w:p>
            <w:pPr>
              <w:spacing w:after="0" w:line="20" w:lineRule="exact"/>
              <w:rPr>
                <w:sz w:val="1"/>
                <w:szCs w:val="1"/>
                <w:color w:val="auto"/>
              </w:rPr>
            </w:pPr>
          </w:p>
        </w:tc>
        <w:tc>
          <w:tcPr>
            <w:tcW w:w="140" w:type="dxa"/>
            <w:vAlign w:val="bottom"/>
            <w:shd w:val="clear" w:color="auto" w:fill="CFF0FC"/>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1420" w:type="dxa"/>
            <w:vAlign w:val="bottom"/>
            <w:shd w:val="clear" w:color="auto" w:fill="000000"/>
          </w:tcPr>
          <w:p>
            <w:pPr>
              <w:spacing w:after="0" w:line="20" w:lineRule="exact"/>
              <w:rPr>
                <w:sz w:val="1"/>
                <w:szCs w:val="1"/>
                <w:color w:val="auto"/>
              </w:rPr>
            </w:pPr>
          </w:p>
        </w:tc>
        <w:tc>
          <w:tcPr>
            <w:tcW w:w="180" w:type="dxa"/>
            <w:vAlign w:val="bottom"/>
            <w:shd w:val="clear" w:color="auto" w:fill="CFF0FC"/>
          </w:tcPr>
          <w:p>
            <w:pPr>
              <w:spacing w:after="0" w:line="20" w:lineRule="exact"/>
              <w:rPr>
                <w:sz w:val="1"/>
                <w:szCs w:val="1"/>
                <w:color w:val="auto"/>
              </w:rPr>
            </w:pPr>
          </w:p>
        </w:tc>
        <w:tc>
          <w:tcPr>
            <w:tcW w:w="140" w:type="dxa"/>
            <w:vAlign w:val="bottom"/>
            <w:shd w:val="clear" w:color="auto" w:fill="CFF0FC"/>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1380" w:type="dxa"/>
            <w:vAlign w:val="bottom"/>
            <w:shd w:val="clear" w:color="auto" w:fill="000000"/>
          </w:tcPr>
          <w:p>
            <w:pPr>
              <w:spacing w:after="0" w:line="20" w:lineRule="exact"/>
              <w:rPr>
                <w:sz w:val="1"/>
                <w:szCs w:val="1"/>
                <w:color w:val="auto"/>
              </w:rPr>
            </w:pPr>
          </w:p>
        </w:tc>
        <w:tc>
          <w:tcPr>
            <w:tcW w:w="320" w:type="dxa"/>
            <w:vAlign w:val="bottom"/>
            <w:shd w:val="clear" w:color="auto" w:fill="CFF0FC"/>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1160" w:type="dxa"/>
            <w:vAlign w:val="bottom"/>
            <w:shd w:val="clear" w:color="auto" w:fill="000000"/>
          </w:tcPr>
          <w:p>
            <w:pPr>
              <w:spacing w:after="0" w:line="20" w:lineRule="exact"/>
              <w:rPr>
                <w:sz w:val="1"/>
                <w:szCs w:val="1"/>
                <w:color w:val="auto"/>
              </w:rPr>
            </w:pPr>
          </w:p>
        </w:tc>
        <w:tc>
          <w:tcPr>
            <w:tcW w:w="120" w:type="dxa"/>
            <w:vAlign w:val="bottom"/>
            <w:shd w:val="clear" w:color="auto" w:fill="CFF0FC"/>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7"/>
        </w:trPr>
        <w:tc>
          <w:tcPr>
            <w:tcW w:w="580" w:type="dxa"/>
            <w:vAlign w:val="bottom"/>
          </w:tcPr>
          <w:p>
            <w:pPr>
              <w:spacing w:after="0"/>
              <w:rPr>
                <w:sz w:val="20"/>
                <w:szCs w:val="20"/>
                <w:color w:val="auto"/>
              </w:rPr>
            </w:pPr>
          </w:p>
        </w:tc>
        <w:tc>
          <w:tcPr>
            <w:tcW w:w="3020" w:type="dxa"/>
            <w:vAlign w:val="bottom"/>
            <w:vMerge w:val="continue"/>
            <w:shd w:val="clear" w:color="auto" w:fill="CFF0FC"/>
          </w:tcPr>
          <w:p>
            <w:pPr>
              <w:spacing w:after="0"/>
              <w:rPr>
                <w:sz w:val="20"/>
                <w:szCs w:val="20"/>
                <w:color w:val="auto"/>
              </w:rPr>
            </w:pPr>
          </w:p>
        </w:tc>
        <w:tc>
          <w:tcPr>
            <w:tcW w:w="520" w:type="dxa"/>
            <w:vAlign w:val="bottom"/>
            <w:gridSpan w:val="2"/>
            <w:shd w:val="clear" w:color="auto" w:fill="CFF0FC"/>
          </w:tcPr>
          <w:p>
            <w:pPr>
              <w:jc w:val="right"/>
              <w:ind w:right="40"/>
              <w:spacing w:after="0"/>
              <w:rPr>
                <w:sz w:val="20"/>
                <w:szCs w:val="20"/>
                <w:color w:val="auto"/>
              </w:rPr>
            </w:pPr>
            <w:r>
              <w:rPr>
                <w:rFonts w:ascii="Arial" w:cs="Arial" w:eastAsia="Arial" w:hAnsi="Arial"/>
                <w:sz w:val="18"/>
                <w:szCs w:val="18"/>
                <w:color w:val="auto"/>
              </w:rPr>
              <w:t>$</w:t>
            </w:r>
          </w:p>
        </w:tc>
        <w:tc>
          <w:tcPr>
            <w:tcW w:w="11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1,390.9</w:t>
            </w:r>
          </w:p>
        </w:tc>
        <w:tc>
          <w:tcPr>
            <w:tcW w:w="180" w:type="dxa"/>
            <w:vAlign w:val="bottom"/>
            <w:shd w:val="clear" w:color="auto" w:fill="CFF0FC"/>
          </w:tcPr>
          <w:p>
            <w:pPr>
              <w:spacing w:after="0"/>
              <w:rPr>
                <w:sz w:val="20"/>
                <w:szCs w:val="20"/>
                <w:color w:val="auto"/>
              </w:rPr>
            </w:pPr>
          </w:p>
        </w:tc>
        <w:tc>
          <w:tcPr>
            <w:tcW w:w="240" w:type="dxa"/>
            <w:vAlign w:val="bottom"/>
            <w:gridSpan w:val="2"/>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14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1,390.9</w:t>
            </w:r>
          </w:p>
        </w:tc>
        <w:tc>
          <w:tcPr>
            <w:tcW w:w="180" w:type="dxa"/>
            <w:vAlign w:val="bottom"/>
            <w:shd w:val="clear" w:color="auto" w:fill="CFF0FC"/>
          </w:tcPr>
          <w:p>
            <w:pPr>
              <w:spacing w:after="0"/>
              <w:rPr>
                <w:sz w:val="20"/>
                <w:szCs w:val="20"/>
                <w:color w:val="auto"/>
              </w:rPr>
            </w:pPr>
          </w:p>
        </w:tc>
        <w:tc>
          <w:tcPr>
            <w:tcW w:w="280" w:type="dxa"/>
            <w:vAlign w:val="bottom"/>
            <w:gridSpan w:val="2"/>
            <w:shd w:val="clear" w:color="auto" w:fill="CFF0FC"/>
          </w:tcPr>
          <w:p>
            <w:pPr>
              <w:jc w:val="right"/>
              <w:ind w:right="60"/>
              <w:spacing w:after="0"/>
              <w:rPr>
                <w:sz w:val="20"/>
                <w:szCs w:val="20"/>
                <w:color w:val="auto"/>
              </w:rPr>
            </w:pPr>
            <w:r>
              <w:rPr>
                <w:rFonts w:ascii="Arial" w:cs="Arial" w:eastAsia="Arial" w:hAnsi="Arial"/>
                <w:sz w:val="18"/>
                <w:szCs w:val="18"/>
                <w:color w:val="auto"/>
              </w:rPr>
              <w:t>$</w:t>
            </w:r>
          </w:p>
        </w:tc>
        <w:tc>
          <w:tcPr>
            <w:tcW w:w="1700" w:type="dxa"/>
            <w:vAlign w:val="bottom"/>
            <w:gridSpan w:val="2"/>
            <w:shd w:val="clear" w:color="auto" w:fill="CFF0FC"/>
          </w:tcPr>
          <w:p>
            <w:pPr>
              <w:ind w:left="1200"/>
              <w:spacing w:after="0"/>
              <w:rPr>
                <w:sz w:val="20"/>
                <w:szCs w:val="20"/>
                <w:color w:val="auto"/>
              </w:rPr>
            </w:pPr>
            <w:r>
              <w:rPr>
                <w:rFonts w:ascii="Arial" w:cs="Arial" w:eastAsia="Arial" w:hAnsi="Arial"/>
                <w:sz w:val="18"/>
                <w:szCs w:val="18"/>
                <w:color w:val="auto"/>
              </w:rPr>
              <w:t>—</w:t>
            </w:r>
          </w:p>
        </w:tc>
        <w:tc>
          <w:tcPr>
            <w:tcW w:w="140" w:type="dxa"/>
            <w:vAlign w:val="bottom"/>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1280" w:type="dxa"/>
            <w:vAlign w:val="bottom"/>
            <w:gridSpan w:val="2"/>
            <w:shd w:val="clear" w:color="auto" w:fill="CFF0FC"/>
          </w:tcPr>
          <w:p>
            <w:pPr>
              <w:ind w:left="980"/>
              <w:spacing w:after="0"/>
              <w:rPr>
                <w:sz w:val="20"/>
                <w:szCs w:val="20"/>
                <w:color w:val="auto"/>
              </w:rPr>
            </w:pPr>
            <w:r>
              <w:rPr>
                <w:rFonts w:ascii="Arial" w:cs="Arial" w:eastAsia="Arial" w:hAnsi="Arial"/>
                <w:sz w:val="18"/>
                <w:szCs w:val="18"/>
                <w:color w:val="auto"/>
              </w:rPr>
              <w:t>—</w:t>
            </w:r>
          </w:p>
        </w:tc>
        <w:tc>
          <w:tcPr>
            <w:tcW w:w="5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0"/>
        </w:trPr>
        <w:tc>
          <w:tcPr>
            <w:tcW w:w="580" w:type="dxa"/>
            <w:vAlign w:val="bottom"/>
          </w:tcPr>
          <w:p>
            <w:pPr>
              <w:spacing w:after="0" w:line="20" w:lineRule="exact"/>
              <w:rPr>
                <w:sz w:val="1"/>
                <w:szCs w:val="1"/>
                <w:color w:val="auto"/>
              </w:rPr>
            </w:pPr>
          </w:p>
        </w:tc>
        <w:tc>
          <w:tcPr>
            <w:tcW w:w="3020" w:type="dxa"/>
            <w:vAlign w:val="bottom"/>
            <w:tcBorders>
              <w:top w:val="single" w:sz="8" w:color="CFF0FC"/>
            </w:tcBorders>
          </w:tcPr>
          <w:p>
            <w:pPr>
              <w:spacing w:after="0" w:line="20" w:lineRule="exact"/>
              <w:rPr>
                <w:sz w:val="1"/>
                <w:szCs w:val="1"/>
                <w:color w:val="auto"/>
              </w:rPr>
            </w:pPr>
          </w:p>
        </w:tc>
        <w:tc>
          <w:tcPr>
            <w:tcW w:w="400" w:type="dxa"/>
            <w:vAlign w:val="bottom"/>
            <w:tcBorders>
              <w:top w:val="single" w:sz="8" w:color="CFF0FC"/>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14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Borders>
              <w:top w:val="single" w:sz="8" w:color="CFF0FC"/>
            </w:tcBorders>
          </w:tcPr>
          <w:p>
            <w:pPr>
              <w:spacing w:after="0" w:line="20" w:lineRule="exact"/>
              <w:rPr>
                <w:sz w:val="1"/>
                <w:szCs w:val="1"/>
                <w:color w:val="auto"/>
              </w:rPr>
            </w:pPr>
          </w:p>
        </w:tc>
        <w:tc>
          <w:tcPr>
            <w:tcW w:w="140" w:type="dxa"/>
            <w:vAlign w:val="bottom"/>
            <w:tcBorders>
              <w:top w:val="single" w:sz="8" w:color="CFF0FC"/>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42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Borders>
              <w:top w:val="single" w:sz="8" w:color="CFF0FC"/>
            </w:tcBorders>
          </w:tcPr>
          <w:p>
            <w:pPr>
              <w:spacing w:after="0" w:line="20" w:lineRule="exact"/>
              <w:rPr>
                <w:sz w:val="1"/>
                <w:szCs w:val="1"/>
                <w:color w:val="auto"/>
              </w:rPr>
            </w:pPr>
          </w:p>
        </w:tc>
        <w:tc>
          <w:tcPr>
            <w:tcW w:w="140" w:type="dxa"/>
            <w:vAlign w:val="bottom"/>
            <w:tcBorders>
              <w:top w:val="single" w:sz="8" w:color="CFF0FC"/>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138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Borders>
              <w:top w:val="single" w:sz="8" w:color="CFF0FC"/>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11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FF0FC"/>
            </w:tcBorders>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629"/>
        </w:trPr>
        <w:tc>
          <w:tcPr>
            <w:tcW w:w="580" w:type="dxa"/>
            <w:vAlign w:val="bottom"/>
          </w:tcPr>
          <w:p>
            <w:pPr>
              <w:spacing w:after="0"/>
              <w:rPr>
                <w:sz w:val="24"/>
                <w:szCs w:val="24"/>
                <w:color w:val="auto"/>
              </w:rPr>
            </w:pPr>
          </w:p>
        </w:tc>
        <w:tc>
          <w:tcPr>
            <w:tcW w:w="302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240" w:type="dxa"/>
            <w:vAlign w:val="bottom"/>
            <w:gridSpan w:val="2"/>
          </w:tcPr>
          <w:p>
            <w:pPr>
              <w:jc w:val="right"/>
              <w:spacing w:after="0"/>
              <w:rPr>
                <w:sz w:val="20"/>
                <w:szCs w:val="20"/>
                <w:color w:val="auto"/>
              </w:rPr>
            </w:pPr>
            <w:r>
              <w:rPr>
                <w:rFonts w:ascii="Arial" w:cs="Arial" w:eastAsia="Arial" w:hAnsi="Arial"/>
                <w:sz w:val="18"/>
                <w:szCs w:val="18"/>
                <w:color w:val="auto"/>
              </w:rPr>
              <w:t>8</w:t>
            </w:r>
          </w:p>
        </w:tc>
        <w:tc>
          <w:tcPr>
            <w:tcW w:w="14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38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15"/>
        </w:trPr>
        <w:tc>
          <w:tcPr>
            <w:tcW w:w="580" w:type="dxa"/>
            <w:vAlign w:val="bottom"/>
            <w:tcBorders>
              <w:bottom w:val="single" w:sz="8" w:color="9A9A9A"/>
            </w:tcBorders>
          </w:tcPr>
          <w:p>
            <w:pPr>
              <w:spacing w:after="0"/>
              <w:rPr>
                <w:sz w:val="10"/>
                <w:szCs w:val="10"/>
                <w:color w:val="auto"/>
              </w:rPr>
            </w:pPr>
          </w:p>
        </w:tc>
        <w:tc>
          <w:tcPr>
            <w:tcW w:w="3020" w:type="dxa"/>
            <w:vAlign w:val="bottom"/>
            <w:tcBorders>
              <w:bottom w:val="single" w:sz="8" w:color="9A9A9A"/>
            </w:tcBorders>
          </w:tcPr>
          <w:p>
            <w:pPr>
              <w:spacing w:after="0"/>
              <w:rPr>
                <w:sz w:val="10"/>
                <w:szCs w:val="10"/>
                <w:color w:val="auto"/>
              </w:rPr>
            </w:pPr>
          </w:p>
        </w:tc>
        <w:tc>
          <w:tcPr>
            <w:tcW w:w="400" w:type="dxa"/>
            <w:vAlign w:val="bottom"/>
            <w:tcBorders>
              <w:bottom w:val="single" w:sz="8" w:color="9A9A9A"/>
            </w:tcBorders>
          </w:tcPr>
          <w:p>
            <w:pPr>
              <w:spacing w:after="0"/>
              <w:rPr>
                <w:sz w:val="10"/>
                <w:szCs w:val="10"/>
                <w:color w:val="auto"/>
              </w:rPr>
            </w:pPr>
          </w:p>
        </w:tc>
        <w:tc>
          <w:tcPr>
            <w:tcW w:w="120" w:type="dxa"/>
            <w:vAlign w:val="bottom"/>
            <w:tcBorders>
              <w:bottom w:val="single" w:sz="8" w:color="9A9A9A"/>
            </w:tcBorders>
          </w:tcPr>
          <w:p>
            <w:pPr>
              <w:spacing w:after="0"/>
              <w:rPr>
                <w:sz w:val="10"/>
                <w:szCs w:val="10"/>
                <w:color w:val="auto"/>
              </w:rPr>
            </w:pPr>
          </w:p>
        </w:tc>
        <w:tc>
          <w:tcPr>
            <w:tcW w:w="1140" w:type="dxa"/>
            <w:vAlign w:val="bottom"/>
            <w:tcBorders>
              <w:bottom w:val="single" w:sz="8" w:color="9A9A9A"/>
            </w:tcBorders>
          </w:tcPr>
          <w:p>
            <w:pPr>
              <w:spacing w:after="0"/>
              <w:rPr>
                <w:sz w:val="10"/>
                <w:szCs w:val="10"/>
                <w:color w:val="auto"/>
              </w:rPr>
            </w:pPr>
          </w:p>
        </w:tc>
        <w:tc>
          <w:tcPr>
            <w:tcW w:w="180" w:type="dxa"/>
            <w:vAlign w:val="bottom"/>
            <w:tcBorders>
              <w:bottom w:val="single" w:sz="8" w:color="9A9A9A"/>
            </w:tcBorders>
          </w:tcPr>
          <w:p>
            <w:pPr>
              <w:spacing w:after="0"/>
              <w:rPr>
                <w:sz w:val="10"/>
                <w:szCs w:val="10"/>
                <w:color w:val="auto"/>
              </w:rPr>
            </w:pPr>
          </w:p>
        </w:tc>
        <w:tc>
          <w:tcPr>
            <w:tcW w:w="140" w:type="dxa"/>
            <w:vAlign w:val="bottom"/>
            <w:tcBorders>
              <w:bottom w:val="single" w:sz="8" w:color="9A9A9A"/>
            </w:tcBorders>
          </w:tcPr>
          <w:p>
            <w:pPr>
              <w:spacing w:after="0"/>
              <w:rPr>
                <w:sz w:val="10"/>
                <w:szCs w:val="10"/>
                <w:color w:val="auto"/>
              </w:rPr>
            </w:pPr>
          </w:p>
        </w:tc>
        <w:tc>
          <w:tcPr>
            <w:tcW w:w="100" w:type="dxa"/>
            <w:vAlign w:val="bottom"/>
            <w:tcBorders>
              <w:bottom w:val="single" w:sz="8" w:color="9A9A9A"/>
            </w:tcBorders>
          </w:tcPr>
          <w:p>
            <w:pPr>
              <w:spacing w:after="0"/>
              <w:rPr>
                <w:sz w:val="10"/>
                <w:szCs w:val="10"/>
                <w:color w:val="auto"/>
              </w:rPr>
            </w:pPr>
          </w:p>
        </w:tc>
        <w:tc>
          <w:tcPr>
            <w:tcW w:w="1420" w:type="dxa"/>
            <w:vAlign w:val="bottom"/>
            <w:tcBorders>
              <w:bottom w:val="single" w:sz="8" w:color="9A9A9A"/>
            </w:tcBorders>
          </w:tcPr>
          <w:p>
            <w:pPr>
              <w:spacing w:after="0"/>
              <w:rPr>
                <w:sz w:val="10"/>
                <w:szCs w:val="10"/>
                <w:color w:val="auto"/>
              </w:rPr>
            </w:pPr>
          </w:p>
        </w:tc>
        <w:tc>
          <w:tcPr>
            <w:tcW w:w="180" w:type="dxa"/>
            <w:vAlign w:val="bottom"/>
            <w:tcBorders>
              <w:bottom w:val="single" w:sz="8" w:color="9A9A9A"/>
            </w:tcBorders>
          </w:tcPr>
          <w:p>
            <w:pPr>
              <w:spacing w:after="0"/>
              <w:rPr>
                <w:sz w:val="10"/>
                <w:szCs w:val="10"/>
                <w:color w:val="auto"/>
              </w:rPr>
            </w:pPr>
          </w:p>
        </w:tc>
        <w:tc>
          <w:tcPr>
            <w:tcW w:w="140" w:type="dxa"/>
            <w:vAlign w:val="bottom"/>
            <w:tcBorders>
              <w:bottom w:val="single" w:sz="8" w:color="9A9A9A"/>
            </w:tcBorders>
          </w:tcPr>
          <w:p>
            <w:pPr>
              <w:spacing w:after="0"/>
              <w:rPr>
                <w:sz w:val="10"/>
                <w:szCs w:val="10"/>
                <w:color w:val="auto"/>
              </w:rPr>
            </w:pPr>
          </w:p>
        </w:tc>
        <w:tc>
          <w:tcPr>
            <w:tcW w:w="140" w:type="dxa"/>
            <w:vAlign w:val="bottom"/>
            <w:tcBorders>
              <w:bottom w:val="single" w:sz="8" w:color="9A9A9A"/>
            </w:tcBorders>
          </w:tcPr>
          <w:p>
            <w:pPr>
              <w:spacing w:after="0"/>
              <w:rPr>
                <w:sz w:val="10"/>
                <w:szCs w:val="10"/>
                <w:color w:val="auto"/>
              </w:rPr>
            </w:pPr>
          </w:p>
        </w:tc>
        <w:tc>
          <w:tcPr>
            <w:tcW w:w="1380" w:type="dxa"/>
            <w:vAlign w:val="bottom"/>
            <w:tcBorders>
              <w:bottom w:val="single" w:sz="8" w:color="9A9A9A"/>
            </w:tcBorders>
          </w:tcPr>
          <w:p>
            <w:pPr>
              <w:spacing w:after="0"/>
              <w:rPr>
                <w:sz w:val="10"/>
                <w:szCs w:val="10"/>
                <w:color w:val="auto"/>
              </w:rPr>
            </w:pPr>
          </w:p>
        </w:tc>
        <w:tc>
          <w:tcPr>
            <w:tcW w:w="320" w:type="dxa"/>
            <w:vAlign w:val="bottom"/>
            <w:tcBorders>
              <w:bottom w:val="single" w:sz="8" w:color="9A9A9A"/>
            </w:tcBorders>
          </w:tcPr>
          <w:p>
            <w:pPr>
              <w:spacing w:after="0"/>
              <w:rPr>
                <w:sz w:val="10"/>
                <w:szCs w:val="10"/>
                <w:color w:val="auto"/>
              </w:rPr>
            </w:pPr>
          </w:p>
        </w:tc>
        <w:tc>
          <w:tcPr>
            <w:tcW w:w="140" w:type="dxa"/>
            <w:vAlign w:val="bottom"/>
            <w:tcBorders>
              <w:bottom w:val="single" w:sz="8" w:color="9A9A9A"/>
            </w:tcBorders>
          </w:tcPr>
          <w:p>
            <w:pPr>
              <w:spacing w:after="0"/>
              <w:rPr>
                <w:sz w:val="10"/>
                <w:szCs w:val="10"/>
                <w:color w:val="auto"/>
              </w:rPr>
            </w:pPr>
          </w:p>
        </w:tc>
        <w:tc>
          <w:tcPr>
            <w:tcW w:w="1160" w:type="dxa"/>
            <w:vAlign w:val="bottom"/>
            <w:tcBorders>
              <w:bottom w:val="single" w:sz="8" w:color="9A9A9A"/>
            </w:tcBorders>
          </w:tcPr>
          <w:p>
            <w:pPr>
              <w:spacing w:after="0"/>
              <w:rPr>
                <w:sz w:val="10"/>
                <w:szCs w:val="10"/>
                <w:color w:val="auto"/>
              </w:rPr>
            </w:pPr>
          </w:p>
        </w:tc>
        <w:tc>
          <w:tcPr>
            <w:tcW w:w="120" w:type="dxa"/>
            <w:vAlign w:val="bottom"/>
            <w:tcBorders>
              <w:bottom w:val="single" w:sz="8" w:color="9A9A9A"/>
            </w:tcBorders>
          </w:tcPr>
          <w:p>
            <w:pPr>
              <w:spacing w:after="0"/>
              <w:rPr>
                <w:sz w:val="10"/>
                <w:szCs w:val="10"/>
                <w:color w:val="auto"/>
              </w:rPr>
            </w:pPr>
          </w:p>
        </w:tc>
        <w:tc>
          <w:tcPr>
            <w:tcW w:w="560" w:type="dxa"/>
            <w:vAlign w:val="bottom"/>
            <w:tcBorders>
              <w:bottom w:val="single" w:sz="8" w:color="9A9A9A"/>
            </w:tcBorders>
          </w:tcPr>
          <w:p>
            <w:pPr>
              <w:spacing w:after="0"/>
              <w:rPr>
                <w:sz w:val="10"/>
                <w:szCs w:val="10"/>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773" w:right="339" w:bottom="1440" w:gutter="0" w:footer="0" w:header="0"/>
        </w:sectPr>
      </w:pPr>
    </w:p>
    <w:bookmarkStart w:id="8" w:name="page9"/>
    <w:bookmarkEnd w:id="8"/>
    <w:tbl>
      <w:tblPr>
        <w:tblLayout w:type="fixed"/>
        <w:tblInd w:w="580" w:type="dxa"/>
        <w:tblCellMar>
          <w:top w:w="0" w:type="dxa"/>
          <w:left w:w="0" w:type="dxa"/>
          <w:bottom w:w="0" w:type="dxa"/>
          <w:right w:w="0" w:type="dxa"/>
        </w:tblCellMar>
      </w:tblPr>
      <w:tr>
        <w:trPr>
          <w:trHeight w:val="171"/>
        </w:trPr>
        <w:tc>
          <w:tcPr>
            <w:tcW w:w="302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5000" w:type="dxa"/>
            <w:vAlign w:val="bottom"/>
            <w:gridSpan w:val="9"/>
          </w:tcPr>
          <w:p>
            <w:pPr>
              <w:ind w:left="840"/>
              <w:spacing w:after="0"/>
              <w:rPr>
                <w:sz w:val="20"/>
                <w:szCs w:val="20"/>
                <w:color w:val="auto"/>
              </w:rPr>
            </w:pPr>
            <w:r>
              <w:rPr>
                <w:rFonts w:ascii="Arial" w:cs="Arial" w:eastAsia="Arial" w:hAnsi="Arial"/>
                <w:sz w:val="14"/>
                <w:szCs w:val="14"/>
                <w:b w:val="1"/>
                <w:bCs w:val="1"/>
                <w:color w:val="auto"/>
              </w:rPr>
              <w:t>Fair Value Measurements at Reporting Date Using</w:t>
            </w:r>
          </w:p>
        </w:tc>
        <w:tc>
          <w:tcPr>
            <w:tcW w:w="0" w:type="dxa"/>
            <w:vAlign w:val="bottom"/>
          </w:tcPr>
          <w:p>
            <w:pPr>
              <w:spacing w:after="0"/>
              <w:rPr>
                <w:sz w:val="1"/>
                <w:szCs w:val="1"/>
                <w:color w:val="auto"/>
              </w:rPr>
            </w:pPr>
          </w:p>
        </w:tc>
      </w:tr>
      <w:tr>
        <w:trPr>
          <w:trHeight w:val="133"/>
        </w:trPr>
        <w:tc>
          <w:tcPr>
            <w:tcW w:w="302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700" w:type="dxa"/>
            <w:vAlign w:val="bottom"/>
            <w:tcBorders>
              <w:top w:val="single" w:sz="8" w:color="auto"/>
            </w:tcBorders>
            <w:gridSpan w:val="3"/>
          </w:tcPr>
          <w:p>
            <w:pPr>
              <w:jc w:val="center"/>
              <w:ind w:right="180"/>
              <w:spacing w:after="0" w:line="133" w:lineRule="exact"/>
              <w:rPr>
                <w:sz w:val="20"/>
                <w:szCs w:val="20"/>
                <w:color w:val="auto"/>
              </w:rPr>
            </w:pPr>
            <w:r>
              <w:rPr>
                <w:rFonts w:ascii="Arial" w:cs="Arial" w:eastAsia="Arial" w:hAnsi="Arial"/>
                <w:sz w:val="14"/>
                <w:szCs w:val="14"/>
                <w:b w:val="1"/>
                <w:bCs w:val="1"/>
                <w:color w:val="auto"/>
                <w:w w:val="92"/>
              </w:rPr>
              <w:t>Quoted prices in Active</w:t>
            </w:r>
          </w:p>
        </w:tc>
        <w:tc>
          <w:tcPr>
            <w:tcW w:w="140" w:type="dxa"/>
            <w:vAlign w:val="bottom"/>
            <w:tcBorders>
              <w:top w:val="single" w:sz="8" w:color="auto"/>
            </w:tcBorders>
          </w:tcPr>
          <w:p>
            <w:pPr>
              <w:spacing w:after="0"/>
              <w:rPr>
                <w:sz w:val="11"/>
                <w:szCs w:val="11"/>
                <w:color w:val="auto"/>
              </w:rPr>
            </w:pPr>
          </w:p>
        </w:tc>
        <w:tc>
          <w:tcPr>
            <w:tcW w:w="1320" w:type="dxa"/>
            <w:vAlign w:val="bottom"/>
            <w:tcBorders>
              <w:top w:val="single" w:sz="8" w:color="auto"/>
            </w:tcBorders>
          </w:tcPr>
          <w:p>
            <w:pPr>
              <w:jc w:val="center"/>
              <w:ind w:left="108"/>
              <w:spacing w:after="0" w:line="133" w:lineRule="exact"/>
              <w:rPr>
                <w:sz w:val="20"/>
                <w:szCs w:val="20"/>
                <w:color w:val="auto"/>
              </w:rPr>
            </w:pPr>
            <w:r>
              <w:rPr>
                <w:rFonts w:ascii="Arial" w:cs="Arial" w:eastAsia="Arial" w:hAnsi="Arial"/>
                <w:sz w:val="14"/>
                <w:szCs w:val="14"/>
                <w:b w:val="1"/>
                <w:bCs w:val="1"/>
                <w:color w:val="auto"/>
                <w:w w:val="93"/>
              </w:rPr>
              <w:t>Significant Other</w:t>
            </w:r>
          </w:p>
        </w:tc>
        <w:tc>
          <w:tcPr>
            <w:tcW w:w="200" w:type="dxa"/>
            <w:vAlign w:val="bottom"/>
            <w:tcBorders>
              <w:top w:val="single" w:sz="8" w:color="auto"/>
            </w:tcBorders>
          </w:tcPr>
          <w:p>
            <w:pPr>
              <w:spacing w:after="0"/>
              <w:rPr>
                <w:sz w:val="11"/>
                <w:szCs w:val="11"/>
                <w:color w:val="auto"/>
              </w:rPr>
            </w:pPr>
          </w:p>
        </w:tc>
        <w:tc>
          <w:tcPr>
            <w:tcW w:w="320" w:type="dxa"/>
            <w:vAlign w:val="bottom"/>
            <w:tcBorders>
              <w:top w:val="single" w:sz="8" w:color="auto"/>
            </w:tcBorders>
          </w:tcPr>
          <w:p>
            <w:pPr>
              <w:spacing w:after="0"/>
              <w:rPr>
                <w:sz w:val="11"/>
                <w:szCs w:val="11"/>
                <w:color w:val="auto"/>
              </w:rPr>
            </w:pPr>
          </w:p>
        </w:tc>
        <w:tc>
          <w:tcPr>
            <w:tcW w:w="140" w:type="dxa"/>
            <w:vAlign w:val="bottom"/>
            <w:tcBorders>
              <w:top w:val="single" w:sz="8" w:color="auto"/>
            </w:tcBorders>
          </w:tcPr>
          <w:p>
            <w:pPr>
              <w:spacing w:after="0"/>
              <w:rPr>
                <w:sz w:val="11"/>
                <w:szCs w:val="11"/>
                <w:color w:val="auto"/>
              </w:rPr>
            </w:pPr>
          </w:p>
        </w:tc>
        <w:tc>
          <w:tcPr>
            <w:tcW w:w="1160" w:type="dxa"/>
            <w:vAlign w:val="bottom"/>
            <w:tcBorders>
              <w:top w:val="single" w:sz="8" w:color="auto"/>
            </w:tcBorders>
          </w:tcPr>
          <w:p>
            <w:pPr>
              <w:jc w:val="center"/>
              <w:ind w:right="57"/>
              <w:spacing w:after="0" w:line="133" w:lineRule="exact"/>
              <w:rPr>
                <w:sz w:val="20"/>
                <w:szCs w:val="20"/>
                <w:color w:val="auto"/>
              </w:rPr>
            </w:pPr>
            <w:r>
              <w:rPr>
                <w:rFonts w:ascii="Arial" w:cs="Arial" w:eastAsia="Arial" w:hAnsi="Arial"/>
                <w:sz w:val="14"/>
                <w:szCs w:val="14"/>
                <w:b w:val="1"/>
                <w:bCs w:val="1"/>
                <w:color w:val="auto"/>
                <w:w w:val="92"/>
              </w:rPr>
              <w:t>Significant</w:t>
            </w:r>
          </w:p>
        </w:tc>
        <w:tc>
          <w:tcPr>
            <w:tcW w:w="1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48"/>
        </w:trPr>
        <w:tc>
          <w:tcPr>
            <w:tcW w:w="302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1260" w:type="dxa"/>
            <w:vAlign w:val="bottom"/>
            <w:gridSpan w:val="2"/>
            <w:vMerge w:val="restart"/>
          </w:tcPr>
          <w:p>
            <w:pPr>
              <w:jc w:val="right"/>
              <w:spacing w:after="0"/>
              <w:rPr>
                <w:sz w:val="20"/>
                <w:szCs w:val="20"/>
                <w:color w:val="auto"/>
              </w:rPr>
            </w:pPr>
            <w:r>
              <w:rPr>
                <w:rFonts w:ascii="Arial" w:cs="Arial" w:eastAsia="Arial" w:hAnsi="Arial"/>
                <w:sz w:val="14"/>
                <w:szCs w:val="14"/>
                <w:b w:val="1"/>
                <w:bCs w:val="1"/>
                <w:color w:val="auto"/>
                <w:w w:val="93"/>
              </w:rPr>
              <w:t>December 31, 2020</w:t>
            </w:r>
          </w:p>
        </w:tc>
        <w:tc>
          <w:tcPr>
            <w:tcW w:w="200" w:type="dxa"/>
            <w:vAlign w:val="bottom"/>
            <w:vMerge w:val="restart"/>
          </w:tcPr>
          <w:p>
            <w:pPr>
              <w:spacing w:after="0"/>
              <w:rPr>
                <w:sz w:val="12"/>
                <w:szCs w:val="12"/>
                <w:color w:val="auto"/>
              </w:rPr>
            </w:pPr>
          </w:p>
        </w:tc>
        <w:tc>
          <w:tcPr>
            <w:tcW w:w="1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600" w:type="dxa"/>
            <w:vAlign w:val="bottom"/>
            <w:gridSpan w:val="2"/>
          </w:tcPr>
          <w:p>
            <w:pPr>
              <w:jc w:val="center"/>
              <w:ind w:right="280"/>
              <w:spacing w:after="0" w:line="149" w:lineRule="exact"/>
              <w:rPr>
                <w:sz w:val="20"/>
                <w:szCs w:val="20"/>
                <w:color w:val="auto"/>
              </w:rPr>
            </w:pPr>
            <w:r>
              <w:rPr>
                <w:rFonts w:ascii="Arial" w:cs="Arial" w:eastAsia="Arial" w:hAnsi="Arial"/>
                <w:sz w:val="14"/>
                <w:szCs w:val="14"/>
                <w:b w:val="1"/>
                <w:bCs w:val="1"/>
                <w:color w:val="auto"/>
                <w:w w:val="96"/>
              </w:rPr>
              <w:t>Markets for Identical</w:t>
            </w:r>
          </w:p>
        </w:tc>
        <w:tc>
          <w:tcPr>
            <w:tcW w:w="140" w:type="dxa"/>
            <w:vAlign w:val="bottom"/>
          </w:tcPr>
          <w:p>
            <w:pPr>
              <w:spacing w:after="0"/>
              <w:rPr>
                <w:sz w:val="12"/>
                <w:szCs w:val="12"/>
                <w:color w:val="auto"/>
              </w:rPr>
            </w:pPr>
          </w:p>
        </w:tc>
        <w:tc>
          <w:tcPr>
            <w:tcW w:w="1320" w:type="dxa"/>
            <w:vAlign w:val="bottom"/>
          </w:tcPr>
          <w:p>
            <w:pPr>
              <w:jc w:val="center"/>
              <w:ind w:left="108"/>
              <w:spacing w:after="0" w:line="149" w:lineRule="exact"/>
              <w:rPr>
                <w:sz w:val="20"/>
                <w:szCs w:val="20"/>
                <w:color w:val="auto"/>
              </w:rPr>
            </w:pPr>
            <w:r>
              <w:rPr>
                <w:rFonts w:ascii="Arial" w:cs="Arial" w:eastAsia="Arial" w:hAnsi="Arial"/>
                <w:sz w:val="14"/>
                <w:szCs w:val="14"/>
                <w:b w:val="1"/>
                <w:bCs w:val="1"/>
                <w:color w:val="auto"/>
                <w:w w:val="93"/>
              </w:rPr>
              <w:t>Observable Inputs</w:t>
            </w:r>
          </w:p>
        </w:tc>
        <w:tc>
          <w:tcPr>
            <w:tcW w:w="20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280" w:type="dxa"/>
            <w:vAlign w:val="bottom"/>
            <w:gridSpan w:val="2"/>
          </w:tcPr>
          <w:p>
            <w:pPr>
              <w:jc w:val="center"/>
              <w:ind w:right="260"/>
              <w:spacing w:after="0" w:line="149" w:lineRule="exact"/>
              <w:rPr>
                <w:sz w:val="20"/>
                <w:szCs w:val="20"/>
                <w:color w:val="auto"/>
              </w:rPr>
            </w:pPr>
            <w:r>
              <w:rPr>
                <w:rFonts w:ascii="Arial" w:cs="Arial" w:eastAsia="Arial" w:hAnsi="Arial"/>
                <w:sz w:val="14"/>
                <w:szCs w:val="14"/>
                <w:b w:val="1"/>
                <w:bCs w:val="1"/>
                <w:color w:val="auto"/>
                <w:w w:val="92"/>
              </w:rPr>
              <w:t>Unobservable</w:t>
            </w:r>
          </w:p>
        </w:tc>
        <w:tc>
          <w:tcPr>
            <w:tcW w:w="0" w:type="dxa"/>
            <w:vAlign w:val="bottom"/>
          </w:tcPr>
          <w:p>
            <w:pPr>
              <w:spacing w:after="0"/>
              <w:rPr>
                <w:sz w:val="1"/>
                <w:szCs w:val="1"/>
                <w:color w:val="auto"/>
              </w:rPr>
            </w:pPr>
          </w:p>
        </w:tc>
      </w:tr>
      <w:tr>
        <w:trPr>
          <w:trHeight w:val="171"/>
        </w:trPr>
        <w:tc>
          <w:tcPr>
            <w:tcW w:w="3020" w:type="dxa"/>
            <w:vAlign w:val="bottom"/>
            <w:tcBorders>
              <w:bottom w:val="single" w:sz="8" w:color="CFF0FC"/>
            </w:tcBorders>
          </w:tcPr>
          <w:p>
            <w:pPr>
              <w:spacing w:after="0"/>
              <w:rPr>
                <w:sz w:val="14"/>
                <w:szCs w:val="14"/>
                <w:color w:val="auto"/>
              </w:rPr>
            </w:pPr>
          </w:p>
        </w:tc>
        <w:tc>
          <w:tcPr>
            <w:tcW w:w="400" w:type="dxa"/>
            <w:vAlign w:val="bottom"/>
            <w:tcBorders>
              <w:bottom w:val="single" w:sz="8" w:color="CFF0FC"/>
            </w:tcBorders>
          </w:tcPr>
          <w:p>
            <w:pPr>
              <w:spacing w:after="0"/>
              <w:rPr>
                <w:sz w:val="14"/>
                <w:szCs w:val="14"/>
                <w:color w:val="auto"/>
              </w:rPr>
            </w:pPr>
          </w:p>
        </w:tc>
        <w:tc>
          <w:tcPr>
            <w:tcW w:w="1260" w:type="dxa"/>
            <w:vAlign w:val="bottom"/>
            <w:tcBorders>
              <w:bottom w:val="single" w:sz="8" w:color="auto"/>
            </w:tcBorders>
            <w:gridSpan w:val="2"/>
            <w:vMerge w:val="continue"/>
          </w:tcPr>
          <w:p>
            <w:pPr>
              <w:spacing w:after="0"/>
              <w:rPr>
                <w:sz w:val="14"/>
                <w:szCs w:val="14"/>
                <w:color w:val="auto"/>
              </w:rPr>
            </w:pPr>
          </w:p>
        </w:tc>
        <w:tc>
          <w:tcPr>
            <w:tcW w:w="200" w:type="dxa"/>
            <w:vAlign w:val="bottom"/>
            <w:tcBorders>
              <w:bottom w:val="single" w:sz="8" w:color="CFF0FC"/>
            </w:tcBorders>
            <w:vMerge w:val="continue"/>
          </w:tcPr>
          <w:p>
            <w:pPr>
              <w:spacing w:after="0"/>
              <w:rPr>
                <w:sz w:val="14"/>
                <w:szCs w:val="14"/>
                <w:color w:val="auto"/>
              </w:rPr>
            </w:pPr>
          </w:p>
        </w:tc>
        <w:tc>
          <w:tcPr>
            <w:tcW w:w="120" w:type="dxa"/>
            <w:vAlign w:val="bottom"/>
            <w:tcBorders>
              <w:bottom w:val="single" w:sz="8" w:color="CFF0FC"/>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1420" w:type="dxa"/>
            <w:vAlign w:val="bottom"/>
            <w:tcBorders>
              <w:bottom w:val="single" w:sz="8" w:color="auto"/>
            </w:tcBorders>
          </w:tcPr>
          <w:p>
            <w:pPr>
              <w:jc w:val="center"/>
              <w:ind w:right="17"/>
              <w:spacing w:after="0"/>
              <w:rPr>
                <w:sz w:val="20"/>
                <w:szCs w:val="20"/>
                <w:color w:val="auto"/>
              </w:rPr>
            </w:pPr>
            <w:r>
              <w:rPr>
                <w:rFonts w:ascii="Arial" w:cs="Arial" w:eastAsia="Arial" w:hAnsi="Arial"/>
                <w:sz w:val="14"/>
                <w:szCs w:val="14"/>
                <w:b w:val="1"/>
                <w:bCs w:val="1"/>
                <w:color w:val="auto"/>
                <w:w w:val="90"/>
              </w:rPr>
              <w:t>Assets (Level 1)</w:t>
            </w:r>
          </w:p>
        </w:tc>
        <w:tc>
          <w:tcPr>
            <w:tcW w:w="180" w:type="dxa"/>
            <w:vAlign w:val="bottom"/>
            <w:tcBorders>
              <w:bottom w:val="single" w:sz="8" w:color="CFF0FC"/>
            </w:tcBorders>
          </w:tcPr>
          <w:p>
            <w:pPr>
              <w:spacing w:after="0"/>
              <w:rPr>
                <w:sz w:val="14"/>
                <w:szCs w:val="14"/>
                <w:color w:val="auto"/>
              </w:rPr>
            </w:pPr>
          </w:p>
        </w:tc>
        <w:tc>
          <w:tcPr>
            <w:tcW w:w="140" w:type="dxa"/>
            <w:vAlign w:val="bottom"/>
            <w:tcBorders>
              <w:bottom w:val="single" w:sz="8" w:color="CFF0FC"/>
            </w:tcBorders>
          </w:tcPr>
          <w:p>
            <w:pPr>
              <w:spacing w:after="0"/>
              <w:rPr>
                <w:sz w:val="14"/>
                <w:szCs w:val="14"/>
                <w:color w:val="auto"/>
              </w:rPr>
            </w:pPr>
          </w:p>
        </w:tc>
        <w:tc>
          <w:tcPr>
            <w:tcW w:w="1320" w:type="dxa"/>
            <w:vAlign w:val="bottom"/>
            <w:tcBorders>
              <w:bottom w:val="single" w:sz="8" w:color="auto"/>
            </w:tcBorders>
          </w:tcPr>
          <w:p>
            <w:pPr>
              <w:jc w:val="center"/>
              <w:ind w:left="108"/>
              <w:spacing w:after="0"/>
              <w:rPr>
                <w:sz w:val="20"/>
                <w:szCs w:val="20"/>
                <w:color w:val="auto"/>
              </w:rPr>
            </w:pPr>
            <w:r>
              <w:rPr>
                <w:rFonts w:ascii="Arial" w:cs="Arial" w:eastAsia="Arial" w:hAnsi="Arial"/>
                <w:sz w:val="14"/>
                <w:szCs w:val="14"/>
                <w:b w:val="1"/>
                <w:bCs w:val="1"/>
                <w:color w:val="auto"/>
                <w:w w:val="94"/>
              </w:rPr>
              <w:t>(Level 2)</w:t>
            </w:r>
          </w:p>
        </w:tc>
        <w:tc>
          <w:tcPr>
            <w:tcW w:w="200" w:type="dxa"/>
            <w:vAlign w:val="bottom"/>
            <w:tcBorders>
              <w:bottom w:val="single" w:sz="8" w:color="auto"/>
            </w:tcBorders>
          </w:tcPr>
          <w:p>
            <w:pPr>
              <w:spacing w:after="0"/>
              <w:rPr>
                <w:sz w:val="14"/>
                <w:szCs w:val="14"/>
                <w:color w:val="auto"/>
              </w:rPr>
            </w:pPr>
          </w:p>
        </w:tc>
        <w:tc>
          <w:tcPr>
            <w:tcW w:w="320" w:type="dxa"/>
            <w:vAlign w:val="bottom"/>
            <w:tcBorders>
              <w:bottom w:val="single" w:sz="8" w:color="CFF0FC"/>
            </w:tcBorders>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1160" w:type="dxa"/>
            <w:vAlign w:val="bottom"/>
            <w:tcBorders>
              <w:bottom w:val="single" w:sz="8" w:color="auto"/>
            </w:tcBorders>
          </w:tcPr>
          <w:p>
            <w:pPr>
              <w:jc w:val="center"/>
              <w:ind w:right="57"/>
              <w:spacing w:after="0"/>
              <w:rPr>
                <w:sz w:val="20"/>
                <w:szCs w:val="20"/>
                <w:color w:val="auto"/>
              </w:rPr>
            </w:pPr>
            <w:r>
              <w:rPr>
                <w:rFonts w:ascii="Arial" w:cs="Arial" w:eastAsia="Arial" w:hAnsi="Arial"/>
                <w:sz w:val="14"/>
                <w:szCs w:val="14"/>
                <w:b w:val="1"/>
                <w:bCs w:val="1"/>
                <w:color w:val="auto"/>
                <w:w w:val="95"/>
              </w:rPr>
              <w:t>Inputs (Level 3)</w:t>
            </w:r>
          </w:p>
        </w:tc>
        <w:tc>
          <w:tcPr>
            <w:tcW w:w="120" w:type="dxa"/>
            <w:vAlign w:val="bottom"/>
            <w:tcBorders>
              <w:bottom w:val="single" w:sz="8" w:color="CFF0FC"/>
            </w:tcBorders>
          </w:tcPr>
          <w:p>
            <w:pPr>
              <w:spacing w:after="0"/>
              <w:rPr>
                <w:sz w:val="14"/>
                <w:szCs w:val="14"/>
                <w:color w:val="auto"/>
              </w:rPr>
            </w:pPr>
          </w:p>
        </w:tc>
        <w:tc>
          <w:tcPr>
            <w:tcW w:w="0" w:type="dxa"/>
            <w:vAlign w:val="bottom"/>
          </w:tcPr>
          <w:p>
            <w:pPr>
              <w:spacing w:after="0"/>
              <w:rPr>
                <w:sz w:val="1"/>
                <w:szCs w:val="1"/>
                <w:color w:val="auto"/>
              </w:rPr>
            </w:pPr>
          </w:p>
        </w:tc>
      </w:tr>
      <w:tr>
        <w:trPr>
          <w:trHeight w:val="237"/>
        </w:trPr>
        <w:tc>
          <w:tcPr>
            <w:tcW w:w="3020" w:type="dxa"/>
            <w:vAlign w:val="bottom"/>
            <w:shd w:val="clear" w:color="auto" w:fill="CFF0FC"/>
          </w:tcPr>
          <w:p>
            <w:pPr>
              <w:spacing w:after="0"/>
              <w:rPr>
                <w:sz w:val="20"/>
                <w:szCs w:val="20"/>
                <w:color w:val="auto"/>
              </w:rPr>
            </w:pPr>
            <w:r>
              <w:rPr>
                <w:rFonts w:ascii="Arial" w:cs="Arial" w:eastAsia="Arial" w:hAnsi="Arial"/>
                <w:sz w:val="18"/>
                <w:szCs w:val="18"/>
                <w:color w:val="auto"/>
              </w:rPr>
              <w:t>Money market funds (1)</w:t>
            </w:r>
          </w:p>
        </w:tc>
        <w:tc>
          <w:tcPr>
            <w:tcW w:w="860" w:type="dxa"/>
            <w:vAlign w:val="bottom"/>
            <w:gridSpan w:val="2"/>
            <w:shd w:val="clear" w:color="auto" w:fill="CFF0FC"/>
          </w:tcPr>
          <w:p>
            <w:pPr>
              <w:jc w:val="right"/>
              <w:ind w:right="308"/>
              <w:spacing w:after="0"/>
              <w:rPr>
                <w:sz w:val="20"/>
                <w:szCs w:val="20"/>
                <w:color w:val="auto"/>
              </w:rPr>
            </w:pPr>
            <w:r>
              <w:rPr>
                <w:rFonts w:ascii="Arial" w:cs="Arial" w:eastAsia="Arial" w:hAnsi="Arial"/>
                <w:sz w:val="18"/>
                <w:szCs w:val="18"/>
                <w:color w:val="auto"/>
              </w:rPr>
              <w:t>$</w:t>
            </w:r>
          </w:p>
        </w:tc>
        <w:tc>
          <w:tcPr>
            <w:tcW w:w="8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698.9</w:t>
            </w:r>
          </w:p>
        </w:tc>
        <w:tc>
          <w:tcPr>
            <w:tcW w:w="200" w:type="dxa"/>
            <w:vAlign w:val="bottom"/>
            <w:shd w:val="clear" w:color="auto" w:fill="CFF0FC"/>
          </w:tcPr>
          <w:p>
            <w:pPr>
              <w:spacing w:after="0"/>
              <w:rPr>
                <w:sz w:val="20"/>
                <w:szCs w:val="20"/>
                <w:color w:val="auto"/>
              </w:rPr>
            </w:pPr>
          </w:p>
        </w:tc>
        <w:tc>
          <w:tcPr>
            <w:tcW w:w="220" w:type="dxa"/>
            <w:vAlign w:val="bottom"/>
            <w:gridSpan w:val="2"/>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14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698.9</w:t>
            </w:r>
          </w:p>
        </w:tc>
        <w:tc>
          <w:tcPr>
            <w:tcW w:w="180" w:type="dxa"/>
            <w:vAlign w:val="bottom"/>
            <w:shd w:val="clear" w:color="auto" w:fill="CFF0FC"/>
          </w:tcPr>
          <w:p>
            <w:pPr>
              <w:spacing w:after="0"/>
              <w:rPr>
                <w:sz w:val="20"/>
                <w:szCs w:val="20"/>
                <w:color w:val="auto"/>
              </w:rPr>
            </w:pPr>
          </w:p>
        </w:tc>
        <w:tc>
          <w:tcPr>
            <w:tcW w:w="1460" w:type="dxa"/>
            <w:vAlign w:val="bottom"/>
            <w:gridSpan w:val="2"/>
            <w:shd w:val="clear" w:color="auto" w:fill="CFF0FC"/>
          </w:tcPr>
          <w:p>
            <w:pPr>
              <w:jc w:val="right"/>
              <w:ind w:right="1168"/>
              <w:spacing w:after="0"/>
              <w:rPr>
                <w:sz w:val="20"/>
                <w:szCs w:val="20"/>
                <w:color w:val="auto"/>
              </w:rPr>
            </w:pPr>
            <w:r>
              <w:rPr>
                <w:rFonts w:ascii="Arial" w:cs="Arial" w:eastAsia="Arial" w:hAnsi="Arial"/>
                <w:sz w:val="18"/>
                <w:szCs w:val="18"/>
                <w:color w:val="auto"/>
              </w:rPr>
              <w:t>$</w:t>
            </w:r>
          </w:p>
        </w:tc>
        <w:tc>
          <w:tcPr>
            <w:tcW w:w="520" w:type="dxa"/>
            <w:vAlign w:val="bottom"/>
            <w:gridSpan w:val="2"/>
            <w:shd w:val="clear" w:color="auto" w:fill="CFF0FC"/>
          </w:tcPr>
          <w:p>
            <w:pPr>
              <w:ind w:left="20"/>
              <w:spacing w:after="0"/>
              <w:rPr>
                <w:sz w:val="20"/>
                <w:szCs w:val="20"/>
                <w:color w:val="auto"/>
              </w:rPr>
            </w:pPr>
            <w:r>
              <w:rPr>
                <w:rFonts w:ascii="Arial" w:cs="Arial" w:eastAsia="Arial" w:hAnsi="Arial"/>
                <w:sz w:val="18"/>
                <w:szCs w:val="18"/>
                <w:color w:val="auto"/>
              </w:rPr>
              <w:t>—</w:t>
            </w:r>
          </w:p>
        </w:tc>
        <w:tc>
          <w:tcPr>
            <w:tcW w:w="140" w:type="dxa"/>
            <w:vAlign w:val="bottom"/>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1280" w:type="dxa"/>
            <w:vAlign w:val="bottom"/>
            <w:gridSpan w:val="2"/>
            <w:shd w:val="clear" w:color="auto" w:fill="CFF0FC"/>
          </w:tcPr>
          <w:p>
            <w:pPr>
              <w:ind w:left="98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43"/>
        </w:trPr>
        <w:tc>
          <w:tcPr>
            <w:tcW w:w="3020" w:type="dxa"/>
            <w:vAlign w:val="bottom"/>
          </w:tcPr>
          <w:p>
            <w:pPr>
              <w:spacing w:after="0"/>
              <w:rPr>
                <w:sz w:val="20"/>
                <w:szCs w:val="20"/>
                <w:color w:val="auto"/>
              </w:rPr>
            </w:pPr>
            <w:r>
              <w:rPr>
                <w:rFonts w:ascii="Arial" w:cs="Arial" w:eastAsia="Arial" w:hAnsi="Arial"/>
                <w:sz w:val="18"/>
                <w:szCs w:val="18"/>
                <w:color w:val="auto"/>
              </w:rPr>
              <w:t>Marketable equity securities (2)</w:t>
            </w:r>
          </w:p>
        </w:tc>
        <w:tc>
          <w:tcPr>
            <w:tcW w:w="400" w:type="dxa"/>
            <w:vAlign w:val="bottom"/>
          </w:tcPr>
          <w:p>
            <w:pPr>
              <w:spacing w:after="0"/>
              <w:rPr>
                <w:sz w:val="21"/>
                <w:szCs w:val="21"/>
                <w:color w:val="auto"/>
              </w:rPr>
            </w:pPr>
          </w:p>
        </w:tc>
        <w:tc>
          <w:tcPr>
            <w:tcW w:w="460" w:type="dxa"/>
            <w:vAlign w:val="bottom"/>
          </w:tcPr>
          <w:p>
            <w:pPr>
              <w:spacing w:after="0"/>
              <w:rPr>
                <w:sz w:val="21"/>
                <w:szCs w:val="21"/>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38.0</w:t>
            </w:r>
          </w:p>
        </w:tc>
        <w:tc>
          <w:tcPr>
            <w:tcW w:w="2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420" w:type="dxa"/>
            <w:vAlign w:val="bottom"/>
          </w:tcPr>
          <w:p>
            <w:pPr>
              <w:jc w:val="right"/>
              <w:spacing w:after="0"/>
              <w:rPr>
                <w:sz w:val="20"/>
                <w:szCs w:val="20"/>
                <w:color w:val="auto"/>
              </w:rPr>
            </w:pPr>
            <w:r>
              <w:rPr>
                <w:rFonts w:ascii="Arial" w:cs="Arial" w:eastAsia="Arial" w:hAnsi="Arial"/>
                <w:sz w:val="18"/>
                <w:szCs w:val="18"/>
                <w:color w:val="auto"/>
              </w:rPr>
              <w:t>38.0</w:t>
            </w:r>
          </w:p>
        </w:tc>
        <w:tc>
          <w:tcPr>
            <w:tcW w:w="18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320" w:type="dxa"/>
            <w:vAlign w:val="bottom"/>
          </w:tcPr>
          <w:p>
            <w:pPr>
              <w:spacing w:after="0"/>
              <w:rPr>
                <w:sz w:val="21"/>
                <w:szCs w:val="21"/>
                <w:color w:val="auto"/>
              </w:rPr>
            </w:pPr>
          </w:p>
        </w:tc>
        <w:tc>
          <w:tcPr>
            <w:tcW w:w="520" w:type="dxa"/>
            <w:vAlign w:val="bottom"/>
            <w:gridSpan w:val="2"/>
          </w:tcPr>
          <w:p>
            <w:pPr>
              <w:ind w:left="2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21"/>
                <w:szCs w:val="21"/>
                <w:color w:val="auto"/>
              </w:rPr>
            </w:pPr>
          </w:p>
        </w:tc>
        <w:tc>
          <w:tcPr>
            <w:tcW w:w="1280" w:type="dxa"/>
            <w:vAlign w:val="bottom"/>
            <w:gridSpan w:val="2"/>
          </w:tcPr>
          <w:p>
            <w:pPr>
              <w:ind w:left="98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43"/>
        </w:trPr>
        <w:tc>
          <w:tcPr>
            <w:tcW w:w="3020" w:type="dxa"/>
            <w:vAlign w:val="bottom"/>
            <w:shd w:val="clear" w:color="auto" w:fill="CFF0FC"/>
          </w:tcPr>
          <w:p>
            <w:pPr>
              <w:spacing w:after="0"/>
              <w:rPr>
                <w:sz w:val="20"/>
                <w:szCs w:val="20"/>
                <w:color w:val="auto"/>
              </w:rPr>
            </w:pPr>
            <w:r>
              <w:rPr>
                <w:rFonts w:ascii="Arial" w:cs="Arial" w:eastAsia="Arial" w:hAnsi="Arial"/>
                <w:sz w:val="18"/>
                <w:szCs w:val="18"/>
                <w:color w:val="auto"/>
              </w:rPr>
              <w:t>Seed capital investments (2)</w:t>
            </w:r>
          </w:p>
        </w:tc>
        <w:tc>
          <w:tcPr>
            <w:tcW w:w="400" w:type="dxa"/>
            <w:vAlign w:val="bottom"/>
            <w:shd w:val="clear" w:color="auto" w:fill="CFF0FC"/>
          </w:tcPr>
          <w:p>
            <w:pPr>
              <w:spacing w:after="0"/>
              <w:rPr>
                <w:sz w:val="21"/>
                <w:szCs w:val="21"/>
                <w:color w:val="auto"/>
              </w:rPr>
            </w:pPr>
          </w:p>
        </w:tc>
        <w:tc>
          <w:tcPr>
            <w:tcW w:w="460" w:type="dxa"/>
            <w:vAlign w:val="bottom"/>
            <w:shd w:val="clear" w:color="auto" w:fill="CFF0FC"/>
          </w:tcPr>
          <w:p>
            <w:pPr>
              <w:spacing w:after="0"/>
              <w:rPr>
                <w:sz w:val="21"/>
                <w:szCs w:val="21"/>
                <w:color w:val="auto"/>
              </w:rPr>
            </w:pPr>
          </w:p>
        </w:tc>
        <w:tc>
          <w:tcPr>
            <w:tcW w:w="8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21.2</w:t>
            </w:r>
          </w:p>
        </w:tc>
        <w:tc>
          <w:tcPr>
            <w:tcW w:w="200" w:type="dxa"/>
            <w:vAlign w:val="bottom"/>
            <w:shd w:val="clear" w:color="auto" w:fill="CFF0FC"/>
          </w:tcPr>
          <w:p>
            <w:pPr>
              <w:spacing w:after="0"/>
              <w:rPr>
                <w:sz w:val="21"/>
                <w:szCs w:val="21"/>
                <w:color w:val="auto"/>
              </w:rPr>
            </w:pPr>
          </w:p>
        </w:tc>
        <w:tc>
          <w:tcPr>
            <w:tcW w:w="120" w:type="dxa"/>
            <w:vAlign w:val="bottom"/>
            <w:shd w:val="clear" w:color="auto" w:fill="CFF0FC"/>
          </w:tcPr>
          <w:p>
            <w:pPr>
              <w:spacing w:after="0"/>
              <w:rPr>
                <w:sz w:val="21"/>
                <w:szCs w:val="21"/>
                <w:color w:val="auto"/>
              </w:rPr>
            </w:pPr>
          </w:p>
        </w:tc>
        <w:tc>
          <w:tcPr>
            <w:tcW w:w="100" w:type="dxa"/>
            <w:vAlign w:val="bottom"/>
            <w:shd w:val="clear" w:color="auto" w:fill="CFF0FC"/>
          </w:tcPr>
          <w:p>
            <w:pPr>
              <w:spacing w:after="0"/>
              <w:rPr>
                <w:sz w:val="21"/>
                <w:szCs w:val="21"/>
                <w:color w:val="auto"/>
              </w:rPr>
            </w:pPr>
          </w:p>
        </w:tc>
        <w:tc>
          <w:tcPr>
            <w:tcW w:w="14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21.2</w:t>
            </w:r>
          </w:p>
        </w:tc>
        <w:tc>
          <w:tcPr>
            <w:tcW w:w="180" w:type="dxa"/>
            <w:vAlign w:val="bottom"/>
            <w:shd w:val="clear" w:color="auto" w:fill="CFF0FC"/>
          </w:tcPr>
          <w:p>
            <w:pPr>
              <w:spacing w:after="0"/>
              <w:rPr>
                <w:sz w:val="21"/>
                <w:szCs w:val="21"/>
                <w:color w:val="auto"/>
              </w:rPr>
            </w:pPr>
          </w:p>
        </w:tc>
        <w:tc>
          <w:tcPr>
            <w:tcW w:w="140" w:type="dxa"/>
            <w:vAlign w:val="bottom"/>
            <w:shd w:val="clear" w:color="auto" w:fill="CFF0FC"/>
          </w:tcPr>
          <w:p>
            <w:pPr>
              <w:spacing w:after="0"/>
              <w:rPr>
                <w:sz w:val="21"/>
                <w:szCs w:val="21"/>
                <w:color w:val="auto"/>
              </w:rPr>
            </w:pPr>
          </w:p>
        </w:tc>
        <w:tc>
          <w:tcPr>
            <w:tcW w:w="1320" w:type="dxa"/>
            <w:vAlign w:val="bottom"/>
            <w:shd w:val="clear" w:color="auto" w:fill="CFF0FC"/>
          </w:tcPr>
          <w:p>
            <w:pPr>
              <w:spacing w:after="0"/>
              <w:rPr>
                <w:sz w:val="21"/>
                <w:szCs w:val="21"/>
                <w:color w:val="auto"/>
              </w:rPr>
            </w:pPr>
          </w:p>
        </w:tc>
        <w:tc>
          <w:tcPr>
            <w:tcW w:w="520" w:type="dxa"/>
            <w:vAlign w:val="bottom"/>
            <w:gridSpan w:val="2"/>
            <w:shd w:val="clear" w:color="auto" w:fill="CFF0FC"/>
          </w:tcPr>
          <w:p>
            <w:pPr>
              <w:ind w:left="20"/>
              <w:spacing w:after="0"/>
              <w:rPr>
                <w:sz w:val="20"/>
                <w:szCs w:val="20"/>
                <w:color w:val="auto"/>
              </w:rPr>
            </w:pPr>
            <w:r>
              <w:rPr>
                <w:rFonts w:ascii="Arial" w:cs="Arial" w:eastAsia="Arial" w:hAnsi="Arial"/>
                <w:sz w:val="18"/>
                <w:szCs w:val="18"/>
                <w:color w:val="auto"/>
              </w:rPr>
              <w:t>—</w:t>
            </w:r>
          </w:p>
        </w:tc>
        <w:tc>
          <w:tcPr>
            <w:tcW w:w="140" w:type="dxa"/>
            <w:vAlign w:val="bottom"/>
            <w:shd w:val="clear" w:color="auto" w:fill="CFF0FC"/>
          </w:tcPr>
          <w:p>
            <w:pPr>
              <w:spacing w:after="0"/>
              <w:rPr>
                <w:sz w:val="21"/>
                <w:szCs w:val="21"/>
                <w:color w:val="auto"/>
              </w:rPr>
            </w:pPr>
          </w:p>
        </w:tc>
        <w:tc>
          <w:tcPr>
            <w:tcW w:w="1280" w:type="dxa"/>
            <w:vAlign w:val="bottom"/>
            <w:gridSpan w:val="2"/>
            <w:shd w:val="clear" w:color="auto" w:fill="CFF0FC"/>
          </w:tcPr>
          <w:p>
            <w:pPr>
              <w:ind w:left="98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43"/>
        </w:trPr>
        <w:tc>
          <w:tcPr>
            <w:tcW w:w="3020" w:type="dxa"/>
            <w:vAlign w:val="bottom"/>
          </w:tcPr>
          <w:p>
            <w:pPr>
              <w:spacing w:after="0"/>
              <w:rPr>
                <w:sz w:val="20"/>
                <w:szCs w:val="20"/>
                <w:color w:val="auto"/>
              </w:rPr>
            </w:pPr>
            <w:r>
              <w:rPr>
                <w:rFonts w:ascii="Arial" w:cs="Arial" w:eastAsia="Arial" w:hAnsi="Arial"/>
                <w:sz w:val="18"/>
                <w:szCs w:val="18"/>
                <w:color w:val="auto"/>
              </w:rPr>
              <w:t>Deferred compensation liabilities (3)</w:t>
            </w:r>
          </w:p>
        </w:tc>
        <w:tc>
          <w:tcPr>
            <w:tcW w:w="400" w:type="dxa"/>
            <w:vAlign w:val="bottom"/>
          </w:tcPr>
          <w:p>
            <w:pPr>
              <w:spacing w:after="0"/>
              <w:rPr>
                <w:sz w:val="21"/>
                <w:szCs w:val="21"/>
                <w:color w:val="auto"/>
              </w:rPr>
            </w:pPr>
          </w:p>
        </w:tc>
        <w:tc>
          <w:tcPr>
            <w:tcW w:w="460" w:type="dxa"/>
            <w:vAlign w:val="bottom"/>
          </w:tcPr>
          <w:p>
            <w:pPr>
              <w:spacing w:after="0"/>
              <w:rPr>
                <w:sz w:val="21"/>
                <w:szCs w:val="21"/>
                <w:color w:val="auto"/>
              </w:rPr>
            </w:pPr>
          </w:p>
        </w:tc>
        <w:tc>
          <w:tcPr>
            <w:tcW w:w="1000" w:type="dxa"/>
            <w:vAlign w:val="bottom"/>
            <w:gridSpan w:val="2"/>
          </w:tcPr>
          <w:p>
            <w:pPr>
              <w:jc w:val="right"/>
              <w:ind w:right="140"/>
              <w:spacing w:after="0"/>
              <w:rPr>
                <w:sz w:val="20"/>
                <w:szCs w:val="20"/>
                <w:color w:val="auto"/>
              </w:rPr>
            </w:pPr>
            <w:r>
              <w:rPr>
                <w:rFonts w:ascii="Arial" w:cs="Arial" w:eastAsia="Arial" w:hAnsi="Arial"/>
                <w:sz w:val="18"/>
                <w:szCs w:val="18"/>
                <w:color w:val="auto"/>
              </w:rPr>
              <w:t>(20.3)</w:t>
            </w:r>
          </w:p>
        </w:tc>
        <w:tc>
          <w:tcPr>
            <w:tcW w:w="1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600" w:type="dxa"/>
            <w:vAlign w:val="bottom"/>
            <w:gridSpan w:val="2"/>
          </w:tcPr>
          <w:p>
            <w:pPr>
              <w:jc w:val="right"/>
              <w:ind w:right="120"/>
              <w:spacing w:after="0"/>
              <w:rPr>
                <w:sz w:val="20"/>
                <w:szCs w:val="20"/>
                <w:color w:val="auto"/>
              </w:rPr>
            </w:pPr>
            <w:r>
              <w:rPr>
                <w:rFonts w:ascii="Arial" w:cs="Arial" w:eastAsia="Arial" w:hAnsi="Arial"/>
                <w:sz w:val="18"/>
                <w:szCs w:val="18"/>
                <w:color w:val="auto"/>
              </w:rPr>
              <w:t>(20.3)</w:t>
            </w:r>
          </w:p>
        </w:tc>
        <w:tc>
          <w:tcPr>
            <w:tcW w:w="140" w:type="dxa"/>
            <w:vAlign w:val="bottom"/>
          </w:tcPr>
          <w:p>
            <w:pPr>
              <w:spacing w:after="0"/>
              <w:rPr>
                <w:sz w:val="21"/>
                <w:szCs w:val="21"/>
                <w:color w:val="auto"/>
              </w:rPr>
            </w:pPr>
          </w:p>
        </w:tc>
        <w:tc>
          <w:tcPr>
            <w:tcW w:w="1320" w:type="dxa"/>
            <w:vAlign w:val="bottom"/>
          </w:tcPr>
          <w:p>
            <w:pPr>
              <w:spacing w:after="0"/>
              <w:rPr>
                <w:sz w:val="21"/>
                <w:szCs w:val="21"/>
                <w:color w:val="auto"/>
              </w:rPr>
            </w:pPr>
          </w:p>
        </w:tc>
        <w:tc>
          <w:tcPr>
            <w:tcW w:w="520" w:type="dxa"/>
            <w:vAlign w:val="bottom"/>
            <w:gridSpan w:val="2"/>
          </w:tcPr>
          <w:p>
            <w:pPr>
              <w:ind w:left="2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21"/>
                <w:szCs w:val="21"/>
                <w:color w:val="auto"/>
              </w:rPr>
            </w:pPr>
          </w:p>
        </w:tc>
        <w:tc>
          <w:tcPr>
            <w:tcW w:w="1280" w:type="dxa"/>
            <w:vAlign w:val="bottom"/>
            <w:gridSpan w:val="2"/>
          </w:tcPr>
          <w:p>
            <w:pPr>
              <w:ind w:left="98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0"/>
        </w:trPr>
        <w:tc>
          <w:tcPr>
            <w:tcW w:w="3020" w:type="dxa"/>
            <w:vAlign w:val="bottom"/>
            <w:vMerge w:val="restart"/>
            <w:shd w:val="clear" w:color="auto" w:fill="CFF0FC"/>
          </w:tcPr>
          <w:p>
            <w:pPr>
              <w:ind w:left="120"/>
              <w:spacing w:after="0"/>
              <w:rPr>
                <w:sz w:val="20"/>
                <w:szCs w:val="20"/>
                <w:color w:val="auto"/>
              </w:rPr>
            </w:pPr>
            <w:r>
              <w:rPr>
                <w:rFonts w:ascii="Arial" w:cs="Arial" w:eastAsia="Arial" w:hAnsi="Arial"/>
                <w:sz w:val="18"/>
                <w:szCs w:val="18"/>
                <w:color w:val="auto"/>
              </w:rPr>
              <w:t>Total</w:t>
            </w:r>
          </w:p>
        </w:tc>
        <w:tc>
          <w:tcPr>
            <w:tcW w:w="400" w:type="dxa"/>
            <w:vAlign w:val="bottom"/>
            <w:shd w:val="clear" w:color="auto" w:fill="CFF0FC"/>
          </w:tcPr>
          <w:p>
            <w:pPr>
              <w:spacing w:after="0" w:line="20" w:lineRule="exact"/>
              <w:rPr>
                <w:sz w:val="1"/>
                <w:szCs w:val="1"/>
                <w:color w:val="auto"/>
              </w:rPr>
            </w:pPr>
          </w:p>
        </w:tc>
        <w:tc>
          <w:tcPr>
            <w:tcW w:w="460" w:type="dxa"/>
            <w:vAlign w:val="bottom"/>
            <w:shd w:val="clear" w:color="auto" w:fill="000000"/>
          </w:tcPr>
          <w:p>
            <w:pPr>
              <w:spacing w:after="0" w:line="20" w:lineRule="exact"/>
              <w:rPr>
                <w:sz w:val="1"/>
                <w:szCs w:val="1"/>
                <w:color w:val="auto"/>
              </w:rPr>
            </w:pPr>
          </w:p>
        </w:tc>
        <w:tc>
          <w:tcPr>
            <w:tcW w:w="800" w:type="dxa"/>
            <w:vAlign w:val="bottom"/>
            <w:shd w:val="clear" w:color="auto" w:fill="000000"/>
          </w:tcPr>
          <w:p>
            <w:pPr>
              <w:spacing w:after="0" w:line="20" w:lineRule="exact"/>
              <w:rPr>
                <w:sz w:val="1"/>
                <w:szCs w:val="1"/>
                <w:color w:val="auto"/>
              </w:rPr>
            </w:pPr>
          </w:p>
        </w:tc>
        <w:tc>
          <w:tcPr>
            <w:tcW w:w="200" w:type="dxa"/>
            <w:vAlign w:val="bottom"/>
            <w:shd w:val="clear" w:color="auto" w:fill="CFF0FC"/>
          </w:tcPr>
          <w:p>
            <w:pPr>
              <w:spacing w:after="0" w:line="20" w:lineRule="exact"/>
              <w:rPr>
                <w:sz w:val="1"/>
                <w:szCs w:val="1"/>
                <w:color w:val="auto"/>
              </w:rPr>
            </w:pPr>
          </w:p>
        </w:tc>
        <w:tc>
          <w:tcPr>
            <w:tcW w:w="120" w:type="dxa"/>
            <w:vAlign w:val="bottom"/>
            <w:shd w:val="clear" w:color="auto" w:fill="CFF0FC"/>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1420" w:type="dxa"/>
            <w:vAlign w:val="bottom"/>
            <w:shd w:val="clear" w:color="auto" w:fill="000000"/>
          </w:tcPr>
          <w:p>
            <w:pPr>
              <w:spacing w:after="0" w:line="20" w:lineRule="exact"/>
              <w:rPr>
                <w:sz w:val="1"/>
                <w:szCs w:val="1"/>
                <w:color w:val="auto"/>
              </w:rPr>
            </w:pPr>
          </w:p>
        </w:tc>
        <w:tc>
          <w:tcPr>
            <w:tcW w:w="180" w:type="dxa"/>
            <w:vAlign w:val="bottom"/>
            <w:shd w:val="clear" w:color="auto" w:fill="CFF0FC"/>
          </w:tcPr>
          <w:p>
            <w:pPr>
              <w:spacing w:after="0" w:line="20" w:lineRule="exact"/>
              <w:rPr>
                <w:sz w:val="1"/>
                <w:szCs w:val="1"/>
                <w:color w:val="auto"/>
              </w:rPr>
            </w:pPr>
          </w:p>
        </w:tc>
        <w:tc>
          <w:tcPr>
            <w:tcW w:w="140" w:type="dxa"/>
            <w:vAlign w:val="bottom"/>
            <w:shd w:val="clear" w:color="auto" w:fill="CFF0FC"/>
          </w:tcPr>
          <w:p>
            <w:pPr>
              <w:spacing w:after="0" w:line="20" w:lineRule="exact"/>
              <w:rPr>
                <w:sz w:val="1"/>
                <w:szCs w:val="1"/>
                <w:color w:val="auto"/>
              </w:rPr>
            </w:pPr>
          </w:p>
        </w:tc>
        <w:tc>
          <w:tcPr>
            <w:tcW w:w="1320" w:type="dxa"/>
            <w:vAlign w:val="bottom"/>
            <w:shd w:val="clear" w:color="auto" w:fill="000000"/>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320" w:type="dxa"/>
            <w:vAlign w:val="bottom"/>
            <w:shd w:val="clear" w:color="auto" w:fill="CFF0FC"/>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1160" w:type="dxa"/>
            <w:vAlign w:val="bottom"/>
            <w:shd w:val="clear" w:color="auto" w:fill="000000"/>
          </w:tcPr>
          <w:p>
            <w:pPr>
              <w:spacing w:after="0" w:line="20" w:lineRule="exact"/>
              <w:rPr>
                <w:sz w:val="1"/>
                <w:szCs w:val="1"/>
                <w:color w:val="auto"/>
              </w:rPr>
            </w:pPr>
          </w:p>
        </w:tc>
        <w:tc>
          <w:tcPr>
            <w:tcW w:w="120" w:type="dxa"/>
            <w:vAlign w:val="bottom"/>
            <w:shd w:val="clear" w:color="auto" w:fill="CFF0FC"/>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7"/>
        </w:trPr>
        <w:tc>
          <w:tcPr>
            <w:tcW w:w="3020" w:type="dxa"/>
            <w:vAlign w:val="bottom"/>
            <w:vMerge w:val="continue"/>
            <w:shd w:val="clear" w:color="auto" w:fill="CFF0FC"/>
          </w:tcPr>
          <w:p>
            <w:pPr>
              <w:spacing w:after="0"/>
              <w:rPr>
                <w:sz w:val="20"/>
                <w:szCs w:val="20"/>
                <w:color w:val="auto"/>
              </w:rPr>
            </w:pPr>
          </w:p>
        </w:tc>
        <w:tc>
          <w:tcPr>
            <w:tcW w:w="860" w:type="dxa"/>
            <w:vAlign w:val="bottom"/>
            <w:gridSpan w:val="2"/>
            <w:shd w:val="clear" w:color="auto" w:fill="CFF0FC"/>
          </w:tcPr>
          <w:p>
            <w:pPr>
              <w:jc w:val="right"/>
              <w:ind w:right="308"/>
              <w:spacing w:after="0"/>
              <w:rPr>
                <w:sz w:val="20"/>
                <w:szCs w:val="20"/>
                <w:color w:val="auto"/>
              </w:rPr>
            </w:pPr>
            <w:r>
              <w:rPr>
                <w:rFonts w:ascii="Arial" w:cs="Arial" w:eastAsia="Arial" w:hAnsi="Arial"/>
                <w:sz w:val="18"/>
                <w:szCs w:val="18"/>
                <w:color w:val="auto"/>
              </w:rPr>
              <w:t>$</w:t>
            </w:r>
          </w:p>
        </w:tc>
        <w:tc>
          <w:tcPr>
            <w:tcW w:w="8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737.8</w:t>
            </w:r>
          </w:p>
        </w:tc>
        <w:tc>
          <w:tcPr>
            <w:tcW w:w="200" w:type="dxa"/>
            <w:vAlign w:val="bottom"/>
            <w:shd w:val="clear" w:color="auto" w:fill="CFF0FC"/>
          </w:tcPr>
          <w:p>
            <w:pPr>
              <w:spacing w:after="0"/>
              <w:rPr>
                <w:sz w:val="20"/>
                <w:szCs w:val="20"/>
                <w:color w:val="auto"/>
              </w:rPr>
            </w:pPr>
          </w:p>
        </w:tc>
        <w:tc>
          <w:tcPr>
            <w:tcW w:w="220" w:type="dxa"/>
            <w:vAlign w:val="bottom"/>
            <w:gridSpan w:val="2"/>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14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737.8</w:t>
            </w:r>
          </w:p>
        </w:tc>
        <w:tc>
          <w:tcPr>
            <w:tcW w:w="180" w:type="dxa"/>
            <w:vAlign w:val="bottom"/>
            <w:shd w:val="clear" w:color="auto" w:fill="CFF0FC"/>
          </w:tcPr>
          <w:p>
            <w:pPr>
              <w:spacing w:after="0"/>
              <w:rPr>
                <w:sz w:val="20"/>
                <w:szCs w:val="20"/>
                <w:color w:val="auto"/>
              </w:rPr>
            </w:pPr>
          </w:p>
        </w:tc>
        <w:tc>
          <w:tcPr>
            <w:tcW w:w="1460" w:type="dxa"/>
            <w:vAlign w:val="bottom"/>
            <w:gridSpan w:val="2"/>
            <w:shd w:val="clear" w:color="auto" w:fill="CFF0FC"/>
          </w:tcPr>
          <w:p>
            <w:pPr>
              <w:jc w:val="right"/>
              <w:ind w:right="1168"/>
              <w:spacing w:after="0"/>
              <w:rPr>
                <w:sz w:val="20"/>
                <w:szCs w:val="20"/>
                <w:color w:val="auto"/>
              </w:rPr>
            </w:pPr>
            <w:r>
              <w:rPr>
                <w:rFonts w:ascii="Arial" w:cs="Arial" w:eastAsia="Arial" w:hAnsi="Arial"/>
                <w:sz w:val="18"/>
                <w:szCs w:val="18"/>
                <w:color w:val="auto"/>
              </w:rPr>
              <w:t>$</w:t>
            </w:r>
          </w:p>
        </w:tc>
        <w:tc>
          <w:tcPr>
            <w:tcW w:w="520" w:type="dxa"/>
            <w:vAlign w:val="bottom"/>
            <w:gridSpan w:val="2"/>
            <w:shd w:val="clear" w:color="auto" w:fill="CFF0FC"/>
          </w:tcPr>
          <w:p>
            <w:pPr>
              <w:ind w:left="20"/>
              <w:spacing w:after="0"/>
              <w:rPr>
                <w:sz w:val="20"/>
                <w:szCs w:val="20"/>
                <w:color w:val="auto"/>
              </w:rPr>
            </w:pPr>
            <w:r>
              <w:rPr>
                <w:rFonts w:ascii="Arial" w:cs="Arial" w:eastAsia="Arial" w:hAnsi="Arial"/>
                <w:sz w:val="18"/>
                <w:szCs w:val="18"/>
                <w:color w:val="auto"/>
              </w:rPr>
              <w:t>—</w:t>
            </w:r>
          </w:p>
        </w:tc>
        <w:tc>
          <w:tcPr>
            <w:tcW w:w="140" w:type="dxa"/>
            <w:vAlign w:val="bottom"/>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1280" w:type="dxa"/>
            <w:vAlign w:val="bottom"/>
            <w:gridSpan w:val="2"/>
            <w:shd w:val="clear" w:color="auto" w:fill="CFF0FC"/>
          </w:tcPr>
          <w:p>
            <w:pPr>
              <w:ind w:left="98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0"/>
        </w:trPr>
        <w:tc>
          <w:tcPr>
            <w:tcW w:w="3020" w:type="dxa"/>
            <w:vAlign w:val="bottom"/>
            <w:tcBorders>
              <w:top w:val="single" w:sz="8" w:color="CFF0FC"/>
            </w:tcBorders>
          </w:tcPr>
          <w:p>
            <w:pPr>
              <w:spacing w:after="0" w:line="20" w:lineRule="exact"/>
              <w:rPr>
                <w:sz w:val="1"/>
                <w:szCs w:val="1"/>
                <w:color w:val="auto"/>
              </w:rPr>
            </w:pPr>
          </w:p>
        </w:tc>
        <w:tc>
          <w:tcPr>
            <w:tcW w:w="400" w:type="dxa"/>
            <w:vAlign w:val="bottom"/>
            <w:tcBorders>
              <w:top w:val="single" w:sz="8" w:color="CFF0FC"/>
            </w:tcBorders>
          </w:tcPr>
          <w:p>
            <w:pPr>
              <w:spacing w:after="0" w:line="20" w:lineRule="exact"/>
              <w:rPr>
                <w:sz w:val="1"/>
                <w:szCs w:val="1"/>
                <w:color w:val="auto"/>
              </w:rPr>
            </w:pPr>
          </w:p>
        </w:tc>
        <w:tc>
          <w:tcPr>
            <w:tcW w:w="460" w:type="dxa"/>
            <w:vAlign w:val="bottom"/>
            <w:tcBorders>
              <w:top w:val="single" w:sz="8" w:color="auto"/>
              <w:bottom w:val="single" w:sz="8" w:color="auto"/>
            </w:tcBorders>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Borders>
              <w:top w:val="single" w:sz="8" w:color="CFF0FC"/>
            </w:tcBorders>
          </w:tcPr>
          <w:p>
            <w:pPr>
              <w:spacing w:after="0" w:line="20" w:lineRule="exact"/>
              <w:rPr>
                <w:sz w:val="1"/>
                <w:szCs w:val="1"/>
                <w:color w:val="auto"/>
              </w:rPr>
            </w:pPr>
          </w:p>
        </w:tc>
        <w:tc>
          <w:tcPr>
            <w:tcW w:w="120" w:type="dxa"/>
            <w:vAlign w:val="bottom"/>
            <w:tcBorders>
              <w:top w:val="single" w:sz="8" w:color="CFF0FC"/>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42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Borders>
              <w:top w:val="single" w:sz="8" w:color="CFF0FC"/>
            </w:tcBorders>
          </w:tcPr>
          <w:p>
            <w:pPr>
              <w:spacing w:after="0" w:line="20" w:lineRule="exact"/>
              <w:rPr>
                <w:sz w:val="1"/>
                <w:szCs w:val="1"/>
                <w:color w:val="auto"/>
              </w:rPr>
            </w:pPr>
          </w:p>
        </w:tc>
        <w:tc>
          <w:tcPr>
            <w:tcW w:w="140" w:type="dxa"/>
            <w:vAlign w:val="bottom"/>
            <w:tcBorders>
              <w:top w:val="single" w:sz="8" w:color="CFF0FC"/>
            </w:tcBorders>
          </w:tcPr>
          <w:p>
            <w:pPr>
              <w:spacing w:after="0" w:line="20" w:lineRule="exact"/>
              <w:rPr>
                <w:sz w:val="1"/>
                <w:szCs w:val="1"/>
                <w:color w:val="auto"/>
              </w:rPr>
            </w:pPr>
          </w:p>
        </w:tc>
        <w:tc>
          <w:tcPr>
            <w:tcW w:w="132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Borders>
              <w:top w:val="single" w:sz="8" w:color="CFF0FC"/>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11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FF0F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rPr>
          <w:sz w:val="20"/>
          <w:szCs w:val="20"/>
          <w:color w:val="auto"/>
        </w:rPr>
      </w:pPr>
      <w:r>
        <w:rPr>
          <w:rFonts w:ascii="Arial" w:cs="Arial" w:eastAsia="Arial" w:hAnsi="Arial"/>
          <w:sz w:val="18"/>
          <w:szCs w:val="18"/>
          <w:color w:val="auto"/>
        </w:rPr>
        <w:t>_____________________________________________________</w:t>
      </w:r>
    </w:p>
    <w:p>
      <w:pPr>
        <w:spacing w:after="0" w:line="9" w:lineRule="exact"/>
        <w:rPr>
          <w:sz w:val="20"/>
          <w:szCs w:val="20"/>
          <w:color w:val="auto"/>
        </w:rPr>
      </w:pPr>
    </w:p>
    <w:p>
      <w:pPr>
        <w:ind w:left="380" w:hanging="372"/>
        <w:spacing w:after="0"/>
        <w:tabs>
          <w:tab w:leader="none" w:pos="380" w:val="left"/>
        </w:tabs>
        <w:numPr>
          <w:ilvl w:val="0"/>
          <w:numId w:val="3"/>
        </w:numPr>
        <w:rPr>
          <w:rFonts w:ascii="Arial" w:cs="Arial" w:eastAsia="Arial" w:hAnsi="Arial"/>
          <w:sz w:val="16"/>
          <w:szCs w:val="16"/>
          <w:color w:val="auto"/>
        </w:rPr>
      </w:pPr>
      <w:r>
        <w:rPr>
          <w:rFonts w:ascii="Arial" w:cs="Arial" w:eastAsia="Arial" w:hAnsi="Arial"/>
          <w:sz w:val="16"/>
          <w:szCs w:val="16"/>
          <w:color w:val="auto"/>
        </w:rPr>
        <w:t>Included in Cash and cash equivalents and Funds receivable and funds held on behalf of clients on the Condensed Consolidated Balance Sheet.</w:t>
      </w:r>
    </w:p>
    <w:p>
      <w:pPr>
        <w:spacing w:after="0" w:line="32" w:lineRule="exact"/>
        <w:rPr>
          <w:rFonts w:ascii="Arial" w:cs="Arial" w:eastAsia="Arial" w:hAnsi="Arial"/>
          <w:sz w:val="16"/>
          <w:szCs w:val="16"/>
          <w:color w:val="auto"/>
        </w:rPr>
      </w:pPr>
    </w:p>
    <w:p>
      <w:pPr>
        <w:ind w:left="380" w:hanging="372"/>
        <w:spacing w:after="0"/>
        <w:tabs>
          <w:tab w:leader="none" w:pos="380" w:val="left"/>
        </w:tabs>
        <w:numPr>
          <w:ilvl w:val="0"/>
          <w:numId w:val="3"/>
        </w:numPr>
        <w:rPr>
          <w:rFonts w:ascii="Arial" w:cs="Arial" w:eastAsia="Arial" w:hAnsi="Arial"/>
          <w:sz w:val="18"/>
          <w:szCs w:val="18"/>
          <w:color w:val="auto"/>
        </w:rPr>
      </w:pPr>
      <w:r>
        <w:rPr>
          <w:rFonts w:ascii="Arial" w:cs="Arial" w:eastAsia="Arial" w:hAnsi="Arial"/>
          <w:sz w:val="18"/>
          <w:szCs w:val="18"/>
          <w:color w:val="auto"/>
        </w:rPr>
        <w:t>Included in Investments on the Condensed Consolidated Balance Sheet.</w:t>
      </w:r>
    </w:p>
    <w:p>
      <w:pPr>
        <w:spacing w:after="0" w:line="9" w:lineRule="exact"/>
        <w:rPr>
          <w:rFonts w:ascii="Arial" w:cs="Arial" w:eastAsia="Arial" w:hAnsi="Arial"/>
          <w:sz w:val="18"/>
          <w:szCs w:val="18"/>
          <w:color w:val="auto"/>
        </w:rPr>
      </w:pPr>
    </w:p>
    <w:p>
      <w:pPr>
        <w:ind w:left="380" w:hanging="372"/>
        <w:spacing w:after="0"/>
        <w:tabs>
          <w:tab w:leader="none" w:pos="380" w:val="left"/>
        </w:tabs>
        <w:numPr>
          <w:ilvl w:val="0"/>
          <w:numId w:val="3"/>
        </w:numPr>
        <w:rPr>
          <w:rFonts w:ascii="Arial" w:cs="Arial" w:eastAsia="Arial" w:hAnsi="Arial"/>
          <w:sz w:val="18"/>
          <w:szCs w:val="18"/>
          <w:color w:val="auto"/>
        </w:rPr>
      </w:pPr>
      <w:r>
        <w:rPr>
          <w:rFonts w:ascii="Arial" w:cs="Arial" w:eastAsia="Arial" w:hAnsi="Arial"/>
          <w:sz w:val="18"/>
          <w:szCs w:val="18"/>
          <w:color w:val="auto"/>
        </w:rPr>
        <w:t>Included in Other long-term liabilities on the Condensed Consolidated Balance Sheet.</w:t>
      </w:r>
    </w:p>
    <w:p>
      <w:pPr>
        <w:spacing w:after="0" w:line="211" w:lineRule="exact"/>
        <w:rPr>
          <w:sz w:val="20"/>
          <w:szCs w:val="20"/>
          <w:color w:val="auto"/>
        </w:rPr>
      </w:pPr>
    </w:p>
    <w:p>
      <w:pPr>
        <w:ind w:left="560"/>
        <w:spacing w:after="0"/>
        <w:rPr>
          <w:sz w:val="20"/>
          <w:szCs w:val="20"/>
          <w:color w:val="auto"/>
        </w:rPr>
      </w:pPr>
      <w:r>
        <w:rPr>
          <w:rFonts w:ascii="Arial" w:cs="Arial" w:eastAsia="Arial" w:hAnsi="Arial"/>
          <w:sz w:val="17"/>
          <w:szCs w:val="17"/>
          <w:color w:val="auto"/>
        </w:rPr>
        <w:t>During the three months ended March 31, 2020, the fair value of our non-marketable equity securities was adjusted downward by $1.0 million.</w:t>
      </w:r>
    </w:p>
    <w:p>
      <w:pPr>
        <w:spacing w:after="0" w:line="237" w:lineRule="exact"/>
        <w:rPr>
          <w:sz w:val="20"/>
          <w:szCs w:val="20"/>
          <w:color w:val="auto"/>
        </w:rPr>
      </w:pPr>
    </w:p>
    <w:p>
      <w:pPr>
        <w:ind w:firstLine="562"/>
        <w:spacing w:after="0" w:line="270" w:lineRule="auto"/>
        <w:rPr>
          <w:sz w:val="20"/>
          <w:szCs w:val="20"/>
          <w:color w:val="auto"/>
        </w:rPr>
      </w:pPr>
      <w:r>
        <w:rPr>
          <w:rFonts w:ascii="Arial" w:cs="Arial" w:eastAsia="Arial" w:hAnsi="Arial"/>
          <w:sz w:val="17"/>
          <w:szCs w:val="17"/>
          <w:color w:val="auto"/>
        </w:rPr>
        <w:t>We have partnership interests in various private equity funds that are not included in the tables above. Our investments in private equity funds were $37.7 million and $39.8 million at March 31, 2021 and December 31, 2020, respectively, of which $32.9 million and $35.7 million, respectively, were measured using net asset value as a practical expedient for fair value and $4.8 million and $4.1 million, respectively, were accounted for under the equity method of accounting. The investments in private equity funds represent underlying investments in domestic and international markets across various industry sectors. At March 31, 2021 and December 31, 2020 one of our investments in private equity funds, representing 48% and 57%, respectively, of the total value of the private equity fund investments, was primarily invested in real estate. We have no management rights associated with our partnership interests in this fund and withdrawals from this fund are subject to general partner consent. We expect to receive distributions from this fund upon liquidation of the underlying investments over the next several years, however the exact timing of the distributions is unknown. We have no unfunded commitments related to this fund.</w:t>
      </w:r>
    </w:p>
    <w:p>
      <w:pPr>
        <w:spacing w:after="0" w:line="181" w:lineRule="exact"/>
        <w:rPr>
          <w:sz w:val="20"/>
          <w:szCs w:val="20"/>
          <w:color w:val="auto"/>
        </w:rPr>
      </w:pPr>
    </w:p>
    <w:p>
      <w:pPr>
        <w:jc w:val="both"/>
        <w:ind w:right="340" w:firstLine="562"/>
        <w:spacing w:after="0" w:line="263" w:lineRule="auto"/>
        <w:rPr>
          <w:sz w:val="20"/>
          <w:szCs w:val="20"/>
          <w:color w:val="auto"/>
        </w:rPr>
      </w:pPr>
      <w:r>
        <w:rPr>
          <w:rFonts w:ascii="Arial" w:cs="Arial" w:eastAsia="Arial" w:hAnsi="Arial"/>
          <w:sz w:val="18"/>
          <w:szCs w:val="18"/>
          <w:color w:val="auto"/>
        </w:rPr>
        <w:t>Generally, our investments in private equity funds are non-transferable or are subject to long holding periods, and withdrawals from the private equity firm partnerships are typically not permitted. The maximum risk of loss related to our private equity fund investments is limited to the carrying value of its investments in the entities.</w:t>
      </w:r>
    </w:p>
    <w:p>
      <w:pPr>
        <w:spacing w:after="0" w:line="18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4—Unconsolidated Affiliates</w:t>
      </w:r>
    </w:p>
    <w:p>
      <w:pPr>
        <w:spacing w:after="0" w:line="229" w:lineRule="exact"/>
        <w:rPr>
          <w:sz w:val="20"/>
          <w:szCs w:val="20"/>
          <w:color w:val="auto"/>
        </w:rPr>
      </w:pPr>
    </w:p>
    <w:p>
      <w:pPr>
        <w:ind w:left="560"/>
        <w:spacing w:after="0"/>
        <w:rPr>
          <w:sz w:val="20"/>
          <w:szCs w:val="20"/>
          <w:color w:val="auto"/>
        </w:rPr>
      </w:pPr>
      <w:r>
        <w:rPr>
          <w:rFonts w:ascii="Arial" w:cs="Arial" w:eastAsia="Arial" w:hAnsi="Arial"/>
          <w:sz w:val="18"/>
          <w:szCs w:val="18"/>
          <w:color w:val="auto"/>
        </w:rPr>
        <w:t>Investments in unconsolidated affiliates are as follows (in millions):</w:t>
      </w:r>
    </w:p>
    <w:p>
      <w:pPr>
        <w:spacing w:after="0" w:line="82" w:lineRule="exact"/>
        <w:rPr>
          <w:sz w:val="20"/>
          <w:szCs w:val="20"/>
          <w:color w:val="auto"/>
        </w:rPr>
      </w:pPr>
    </w:p>
    <w:tbl>
      <w:tblPr>
        <w:tblLayout w:type="fixed"/>
        <w:tblInd w:w="580" w:type="dxa"/>
        <w:tblCellMar>
          <w:top w:w="0" w:type="dxa"/>
          <w:left w:w="0" w:type="dxa"/>
          <w:bottom w:w="0" w:type="dxa"/>
          <w:right w:w="0" w:type="dxa"/>
        </w:tblCellMar>
      </w:tblPr>
      <w:tr>
        <w:trPr>
          <w:trHeight w:val="171"/>
        </w:trPr>
        <w:tc>
          <w:tcPr>
            <w:tcW w:w="3120" w:type="dxa"/>
            <w:vAlign w:val="bottom"/>
          </w:tcPr>
          <w:p>
            <w:pPr>
              <w:spacing w:after="0"/>
              <w:rPr>
                <w:sz w:val="14"/>
                <w:szCs w:val="14"/>
                <w:color w:val="auto"/>
              </w:rPr>
            </w:pPr>
          </w:p>
        </w:tc>
        <w:tc>
          <w:tcPr>
            <w:tcW w:w="12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2500" w:type="dxa"/>
            <w:vAlign w:val="bottom"/>
            <w:tcBorders>
              <w:bottom w:val="single" w:sz="8" w:color="auto"/>
            </w:tcBorders>
            <w:gridSpan w:val="4"/>
          </w:tcPr>
          <w:p>
            <w:pPr>
              <w:jc w:val="right"/>
              <w:ind w:right="738"/>
              <w:spacing w:after="0"/>
              <w:rPr>
                <w:sz w:val="20"/>
                <w:szCs w:val="20"/>
                <w:color w:val="auto"/>
              </w:rPr>
            </w:pPr>
            <w:r>
              <w:rPr>
                <w:rFonts w:ascii="Arial" w:cs="Arial" w:eastAsia="Arial" w:hAnsi="Arial"/>
                <w:sz w:val="14"/>
                <w:szCs w:val="14"/>
                <w:b w:val="1"/>
                <w:bCs w:val="1"/>
                <w:color w:val="auto"/>
              </w:rPr>
              <w:t>March 31, 2021</w:t>
            </w:r>
          </w:p>
        </w:tc>
        <w:tc>
          <w:tcPr>
            <w:tcW w:w="200" w:type="dxa"/>
            <w:vAlign w:val="bottom"/>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2540" w:type="dxa"/>
            <w:vAlign w:val="bottom"/>
            <w:tcBorders>
              <w:bottom w:val="single" w:sz="8" w:color="auto"/>
            </w:tcBorders>
            <w:gridSpan w:val="4"/>
          </w:tcPr>
          <w:p>
            <w:pPr>
              <w:jc w:val="right"/>
              <w:ind w:right="653"/>
              <w:spacing w:after="0"/>
              <w:rPr>
                <w:sz w:val="20"/>
                <w:szCs w:val="20"/>
                <w:color w:val="auto"/>
              </w:rPr>
            </w:pPr>
            <w:r>
              <w:rPr>
                <w:rFonts w:ascii="Arial" w:cs="Arial" w:eastAsia="Arial" w:hAnsi="Arial"/>
                <w:sz w:val="14"/>
                <w:szCs w:val="14"/>
                <w:b w:val="1"/>
                <w:bCs w:val="1"/>
                <w:color w:val="auto"/>
              </w:rPr>
              <w:t>December 31, 2020</w:t>
            </w:r>
          </w:p>
        </w:tc>
        <w:tc>
          <w:tcPr>
            <w:tcW w:w="1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33"/>
        </w:trPr>
        <w:tc>
          <w:tcPr>
            <w:tcW w:w="3120" w:type="dxa"/>
            <w:vAlign w:val="bottom"/>
          </w:tcPr>
          <w:p>
            <w:pPr>
              <w:spacing w:after="0"/>
              <w:rPr>
                <w:sz w:val="11"/>
                <w:szCs w:val="11"/>
                <w:color w:val="auto"/>
              </w:rPr>
            </w:pPr>
          </w:p>
        </w:tc>
        <w:tc>
          <w:tcPr>
            <w:tcW w:w="120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100" w:type="dxa"/>
            <w:vAlign w:val="bottom"/>
          </w:tcPr>
          <w:p>
            <w:pPr>
              <w:jc w:val="center"/>
              <w:ind w:right="18"/>
              <w:spacing w:after="0" w:line="133" w:lineRule="exact"/>
              <w:rPr>
                <w:sz w:val="20"/>
                <w:szCs w:val="20"/>
                <w:color w:val="auto"/>
              </w:rPr>
            </w:pPr>
            <w:r>
              <w:rPr>
                <w:rFonts w:ascii="Arial" w:cs="Arial" w:eastAsia="Arial" w:hAnsi="Arial"/>
                <w:sz w:val="14"/>
                <w:szCs w:val="14"/>
                <w:b w:val="1"/>
                <w:bCs w:val="1"/>
                <w:color w:val="auto"/>
                <w:w w:val="89"/>
              </w:rPr>
              <w:t>Excess carrying</w:t>
            </w:r>
          </w:p>
        </w:tc>
        <w:tc>
          <w:tcPr>
            <w:tcW w:w="2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280" w:type="dxa"/>
            <w:vAlign w:val="bottom"/>
            <w:gridSpan w:val="2"/>
            <w:vMerge w:val="restart"/>
          </w:tcPr>
          <w:p>
            <w:pPr>
              <w:jc w:val="center"/>
              <w:ind w:right="240"/>
              <w:spacing w:after="0"/>
              <w:rPr>
                <w:sz w:val="20"/>
                <w:szCs w:val="20"/>
                <w:color w:val="auto"/>
              </w:rPr>
            </w:pPr>
            <w:r>
              <w:rPr>
                <w:rFonts w:ascii="Arial" w:cs="Arial" w:eastAsia="Arial" w:hAnsi="Arial"/>
                <w:sz w:val="14"/>
                <w:szCs w:val="14"/>
                <w:b w:val="1"/>
                <w:bCs w:val="1"/>
                <w:color w:val="auto"/>
                <w:w w:val="89"/>
              </w:rPr>
              <w:t>Excess carrying</w:t>
            </w:r>
          </w:p>
        </w:tc>
        <w:tc>
          <w:tcPr>
            <w:tcW w:w="0" w:type="dxa"/>
            <w:vAlign w:val="bottom"/>
          </w:tcPr>
          <w:p>
            <w:pPr>
              <w:spacing w:after="0"/>
              <w:rPr>
                <w:sz w:val="1"/>
                <w:szCs w:val="1"/>
                <w:color w:val="auto"/>
              </w:rPr>
            </w:pPr>
          </w:p>
        </w:tc>
      </w:tr>
      <w:tr>
        <w:trPr>
          <w:trHeight w:val="148"/>
        </w:trPr>
        <w:tc>
          <w:tcPr>
            <w:tcW w:w="3120" w:type="dxa"/>
            <w:vAlign w:val="bottom"/>
          </w:tcPr>
          <w:p>
            <w:pPr>
              <w:spacing w:after="0"/>
              <w:rPr>
                <w:sz w:val="12"/>
                <w:szCs w:val="12"/>
                <w:color w:val="auto"/>
              </w:rPr>
            </w:pPr>
          </w:p>
        </w:tc>
        <w:tc>
          <w:tcPr>
            <w:tcW w:w="120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10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300" w:type="dxa"/>
            <w:vAlign w:val="bottom"/>
            <w:gridSpan w:val="2"/>
          </w:tcPr>
          <w:p>
            <w:pPr>
              <w:jc w:val="center"/>
              <w:ind w:right="300"/>
              <w:spacing w:after="0" w:line="149" w:lineRule="exact"/>
              <w:rPr>
                <w:sz w:val="20"/>
                <w:szCs w:val="20"/>
                <w:color w:val="auto"/>
              </w:rPr>
            </w:pPr>
            <w:r>
              <w:rPr>
                <w:rFonts w:ascii="Arial" w:cs="Arial" w:eastAsia="Arial" w:hAnsi="Arial"/>
                <w:sz w:val="14"/>
                <w:szCs w:val="14"/>
                <w:b w:val="1"/>
                <w:bCs w:val="1"/>
                <w:color w:val="auto"/>
                <w:w w:val="90"/>
              </w:rPr>
              <w:t>value of</w:t>
            </w:r>
          </w:p>
        </w:tc>
        <w:tc>
          <w:tcPr>
            <w:tcW w:w="100" w:type="dxa"/>
            <w:vAlign w:val="bottom"/>
          </w:tcPr>
          <w:p>
            <w:pPr>
              <w:spacing w:after="0"/>
              <w:rPr>
                <w:sz w:val="12"/>
                <w:szCs w:val="12"/>
                <w:color w:val="auto"/>
              </w:rPr>
            </w:pPr>
          </w:p>
        </w:tc>
        <w:tc>
          <w:tcPr>
            <w:tcW w:w="108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280" w:type="dxa"/>
            <w:vAlign w:val="bottom"/>
            <w:gridSpan w:val="2"/>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3120" w:type="dxa"/>
            <w:vAlign w:val="bottom"/>
          </w:tcPr>
          <w:p>
            <w:pPr>
              <w:spacing w:after="0"/>
              <w:rPr>
                <w:sz w:val="12"/>
                <w:szCs w:val="12"/>
                <w:color w:val="auto"/>
              </w:rPr>
            </w:pPr>
          </w:p>
        </w:tc>
        <w:tc>
          <w:tcPr>
            <w:tcW w:w="1420" w:type="dxa"/>
            <w:vAlign w:val="bottom"/>
            <w:gridSpan w:val="2"/>
            <w:vMerge w:val="restart"/>
          </w:tcPr>
          <w:p>
            <w:pPr>
              <w:jc w:val="center"/>
              <w:ind w:right="220"/>
              <w:spacing w:after="0"/>
              <w:rPr>
                <w:sz w:val="20"/>
                <w:szCs w:val="20"/>
                <w:color w:val="auto"/>
              </w:rPr>
            </w:pPr>
            <w:r>
              <w:rPr>
                <w:rFonts w:ascii="Arial" w:cs="Arial" w:eastAsia="Arial" w:hAnsi="Arial"/>
                <w:sz w:val="14"/>
                <w:szCs w:val="14"/>
                <w:b w:val="1"/>
                <w:bCs w:val="1"/>
                <w:color w:val="auto"/>
                <w:w w:val="93"/>
              </w:rPr>
              <w:t>Ownership</w:t>
            </w:r>
          </w:p>
        </w:tc>
        <w:tc>
          <w:tcPr>
            <w:tcW w:w="100" w:type="dxa"/>
            <w:vAlign w:val="bottom"/>
          </w:tcPr>
          <w:p>
            <w:pPr>
              <w:spacing w:after="0"/>
              <w:rPr>
                <w:sz w:val="12"/>
                <w:szCs w:val="12"/>
                <w:color w:val="auto"/>
              </w:rPr>
            </w:pPr>
          </w:p>
        </w:tc>
        <w:tc>
          <w:tcPr>
            <w:tcW w:w="110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300" w:type="dxa"/>
            <w:vAlign w:val="bottom"/>
            <w:gridSpan w:val="2"/>
          </w:tcPr>
          <w:p>
            <w:pPr>
              <w:jc w:val="center"/>
              <w:ind w:right="280"/>
              <w:spacing w:after="0" w:line="149" w:lineRule="exact"/>
              <w:rPr>
                <w:sz w:val="20"/>
                <w:szCs w:val="20"/>
                <w:color w:val="auto"/>
              </w:rPr>
            </w:pPr>
            <w:r>
              <w:rPr>
                <w:rFonts w:ascii="Arial" w:cs="Arial" w:eastAsia="Arial" w:hAnsi="Arial"/>
                <w:sz w:val="14"/>
                <w:szCs w:val="14"/>
                <w:b w:val="1"/>
                <w:bCs w:val="1"/>
                <w:color w:val="auto"/>
                <w:w w:val="91"/>
              </w:rPr>
              <w:t>investment over</w:t>
            </w:r>
          </w:p>
        </w:tc>
        <w:tc>
          <w:tcPr>
            <w:tcW w:w="100" w:type="dxa"/>
            <w:vAlign w:val="bottom"/>
          </w:tcPr>
          <w:p>
            <w:pPr>
              <w:spacing w:after="0"/>
              <w:rPr>
                <w:sz w:val="12"/>
                <w:szCs w:val="12"/>
                <w:color w:val="auto"/>
              </w:rPr>
            </w:pPr>
          </w:p>
        </w:tc>
        <w:tc>
          <w:tcPr>
            <w:tcW w:w="108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400" w:type="dxa"/>
            <w:vAlign w:val="bottom"/>
            <w:gridSpan w:val="3"/>
          </w:tcPr>
          <w:p>
            <w:pPr>
              <w:jc w:val="center"/>
              <w:ind w:right="120"/>
              <w:spacing w:after="0" w:line="149" w:lineRule="exact"/>
              <w:rPr>
                <w:sz w:val="20"/>
                <w:szCs w:val="20"/>
                <w:color w:val="auto"/>
              </w:rPr>
            </w:pPr>
            <w:r>
              <w:rPr>
                <w:rFonts w:ascii="Arial" w:cs="Arial" w:eastAsia="Arial" w:hAnsi="Arial"/>
                <w:sz w:val="14"/>
                <w:szCs w:val="14"/>
                <w:b w:val="1"/>
                <w:bCs w:val="1"/>
                <w:color w:val="auto"/>
                <w:w w:val="91"/>
              </w:rPr>
              <w:t>value of investment</w:t>
            </w:r>
          </w:p>
        </w:tc>
        <w:tc>
          <w:tcPr>
            <w:tcW w:w="0" w:type="dxa"/>
            <w:vAlign w:val="bottom"/>
          </w:tcPr>
          <w:p>
            <w:pPr>
              <w:spacing w:after="0"/>
              <w:rPr>
                <w:sz w:val="1"/>
                <w:szCs w:val="1"/>
                <w:color w:val="auto"/>
              </w:rPr>
            </w:pPr>
          </w:p>
        </w:tc>
      </w:tr>
      <w:tr>
        <w:trPr>
          <w:trHeight w:val="148"/>
        </w:trPr>
        <w:tc>
          <w:tcPr>
            <w:tcW w:w="3120" w:type="dxa"/>
            <w:vAlign w:val="bottom"/>
          </w:tcPr>
          <w:p>
            <w:pPr>
              <w:spacing w:after="0"/>
              <w:rPr>
                <w:sz w:val="12"/>
                <w:szCs w:val="12"/>
                <w:color w:val="auto"/>
              </w:rPr>
            </w:pPr>
          </w:p>
        </w:tc>
        <w:tc>
          <w:tcPr>
            <w:tcW w:w="1420" w:type="dxa"/>
            <w:vAlign w:val="bottom"/>
            <w:gridSpan w:val="2"/>
            <w:vMerge w:val="continue"/>
          </w:tcPr>
          <w:p>
            <w:pPr>
              <w:spacing w:after="0"/>
              <w:rPr>
                <w:sz w:val="12"/>
                <w:szCs w:val="12"/>
                <w:color w:val="auto"/>
              </w:rPr>
            </w:pPr>
          </w:p>
        </w:tc>
        <w:tc>
          <w:tcPr>
            <w:tcW w:w="100" w:type="dxa"/>
            <w:vAlign w:val="bottom"/>
          </w:tcPr>
          <w:p>
            <w:pPr>
              <w:spacing w:after="0"/>
              <w:rPr>
                <w:sz w:val="12"/>
                <w:szCs w:val="12"/>
                <w:color w:val="auto"/>
              </w:rPr>
            </w:pPr>
          </w:p>
        </w:tc>
        <w:tc>
          <w:tcPr>
            <w:tcW w:w="1100" w:type="dxa"/>
            <w:vAlign w:val="bottom"/>
            <w:vMerge w:val="restart"/>
          </w:tcPr>
          <w:p>
            <w:pPr>
              <w:jc w:val="right"/>
              <w:ind w:right="55"/>
              <w:spacing w:after="0"/>
              <w:rPr>
                <w:sz w:val="20"/>
                <w:szCs w:val="20"/>
                <w:color w:val="auto"/>
              </w:rPr>
            </w:pPr>
            <w:r>
              <w:rPr>
                <w:rFonts w:ascii="Arial" w:cs="Arial" w:eastAsia="Arial" w:hAnsi="Arial"/>
                <w:sz w:val="14"/>
                <w:szCs w:val="14"/>
                <w:b w:val="1"/>
                <w:bCs w:val="1"/>
                <w:color w:val="auto"/>
                <w:w w:val="95"/>
              </w:rPr>
              <w:t>Carrying Value</w:t>
            </w:r>
          </w:p>
        </w:tc>
        <w:tc>
          <w:tcPr>
            <w:tcW w:w="2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300" w:type="dxa"/>
            <w:vAlign w:val="bottom"/>
            <w:gridSpan w:val="2"/>
          </w:tcPr>
          <w:p>
            <w:pPr>
              <w:jc w:val="center"/>
              <w:ind w:right="300"/>
              <w:spacing w:after="0" w:line="149" w:lineRule="exact"/>
              <w:rPr>
                <w:sz w:val="20"/>
                <w:szCs w:val="20"/>
                <w:color w:val="auto"/>
              </w:rPr>
            </w:pPr>
            <w:r>
              <w:rPr>
                <w:rFonts w:ascii="Arial" w:cs="Arial" w:eastAsia="Arial" w:hAnsi="Arial"/>
                <w:sz w:val="14"/>
                <w:szCs w:val="14"/>
                <w:b w:val="1"/>
                <w:bCs w:val="1"/>
                <w:color w:val="auto"/>
                <w:w w:val="92"/>
              </w:rPr>
              <w:t>proportionate</w:t>
            </w:r>
          </w:p>
        </w:tc>
        <w:tc>
          <w:tcPr>
            <w:tcW w:w="100" w:type="dxa"/>
            <w:vAlign w:val="bottom"/>
          </w:tcPr>
          <w:p>
            <w:pPr>
              <w:spacing w:after="0"/>
              <w:rPr>
                <w:sz w:val="12"/>
                <w:szCs w:val="12"/>
                <w:color w:val="auto"/>
              </w:rPr>
            </w:pPr>
          </w:p>
        </w:tc>
        <w:tc>
          <w:tcPr>
            <w:tcW w:w="1080" w:type="dxa"/>
            <w:vAlign w:val="bottom"/>
            <w:vMerge w:val="restart"/>
          </w:tcPr>
          <w:p>
            <w:pPr>
              <w:jc w:val="right"/>
              <w:ind w:right="35"/>
              <w:spacing w:after="0"/>
              <w:rPr>
                <w:sz w:val="20"/>
                <w:szCs w:val="20"/>
                <w:color w:val="auto"/>
              </w:rPr>
            </w:pPr>
            <w:r>
              <w:rPr>
                <w:rFonts w:ascii="Arial" w:cs="Arial" w:eastAsia="Arial" w:hAnsi="Arial"/>
                <w:sz w:val="14"/>
                <w:szCs w:val="14"/>
                <w:b w:val="1"/>
                <w:bCs w:val="1"/>
                <w:color w:val="auto"/>
                <w:w w:val="95"/>
              </w:rPr>
              <w:t>Carrying Value</w:t>
            </w:r>
          </w:p>
        </w:tc>
        <w:tc>
          <w:tcPr>
            <w:tcW w:w="180" w:type="dxa"/>
            <w:vAlign w:val="bottom"/>
          </w:tcPr>
          <w:p>
            <w:pPr>
              <w:spacing w:after="0"/>
              <w:rPr>
                <w:sz w:val="12"/>
                <w:szCs w:val="12"/>
                <w:color w:val="auto"/>
              </w:rPr>
            </w:pPr>
          </w:p>
        </w:tc>
        <w:tc>
          <w:tcPr>
            <w:tcW w:w="1400" w:type="dxa"/>
            <w:vAlign w:val="bottom"/>
            <w:gridSpan w:val="3"/>
          </w:tcPr>
          <w:p>
            <w:pPr>
              <w:jc w:val="center"/>
              <w:ind w:right="120"/>
              <w:spacing w:after="0" w:line="149" w:lineRule="exact"/>
              <w:rPr>
                <w:sz w:val="20"/>
                <w:szCs w:val="20"/>
                <w:color w:val="auto"/>
              </w:rPr>
            </w:pPr>
            <w:r>
              <w:rPr>
                <w:rFonts w:ascii="Arial" w:cs="Arial" w:eastAsia="Arial" w:hAnsi="Arial"/>
                <w:sz w:val="14"/>
                <w:szCs w:val="14"/>
                <w:b w:val="1"/>
                <w:bCs w:val="1"/>
                <w:color w:val="auto"/>
                <w:w w:val="93"/>
              </w:rPr>
              <w:t>over proportionate</w:t>
            </w:r>
          </w:p>
        </w:tc>
        <w:tc>
          <w:tcPr>
            <w:tcW w:w="0" w:type="dxa"/>
            <w:vAlign w:val="bottom"/>
          </w:tcPr>
          <w:p>
            <w:pPr>
              <w:spacing w:after="0"/>
              <w:rPr>
                <w:sz w:val="1"/>
                <w:szCs w:val="1"/>
                <w:color w:val="auto"/>
              </w:rPr>
            </w:pPr>
          </w:p>
        </w:tc>
      </w:tr>
      <w:tr>
        <w:trPr>
          <w:trHeight w:val="171"/>
        </w:trPr>
        <w:tc>
          <w:tcPr>
            <w:tcW w:w="3120" w:type="dxa"/>
            <w:vAlign w:val="bottom"/>
          </w:tcPr>
          <w:p>
            <w:pPr>
              <w:spacing w:after="0"/>
              <w:rPr>
                <w:sz w:val="14"/>
                <w:szCs w:val="14"/>
                <w:color w:val="auto"/>
              </w:rPr>
            </w:pPr>
          </w:p>
        </w:tc>
        <w:tc>
          <w:tcPr>
            <w:tcW w:w="1420" w:type="dxa"/>
            <w:vAlign w:val="bottom"/>
            <w:gridSpan w:val="2"/>
          </w:tcPr>
          <w:p>
            <w:pPr>
              <w:jc w:val="center"/>
              <w:ind w:right="220"/>
              <w:spacing w:after="0"/>
              <w:rPr>
                <w:sz w:val="20"/>
                <w:szCs w:val="20"/>
                <w:color w:val="auto"/>
              </w:rPr>
            </w:pPr>
            <w:r>
              <w:rPr>
                <w:rFonts w:ascii="Arial" w:cs="Arial" w:eastAsia="Arial" w:hAnsi="Arial"/>
                <w:sz w:val="14"/>
                <w:szCs w:val="14"/>
                <w:b w:val="1"/>
                <w:bCs w:val="1"/>
                <w:color w:val="auto"/>
                <w:w w:val="90"/>
              </w:rPr>
              <w:t>Percentage</w:t>
            </w:r>
          </w:p>
        </w:tc>
        <w:tc>
          <w:tcPr>
            <w:tcW w:w="100" w:type="dxa"/>
            <w:vAlign w:val="bottom"/>
          </w:tcPr>
          <w:p>
            <w:pPr>
              <w:spacing w:after="0"/>
              <w:rPr>
                <w:sz w:val="14"/>
                <w:szCs w:val="14"/>
                <w:color w:val="auto"/>
              </w:rPr>
            </w:pPr>
          </w:p>
        </w:tc>
        <w:tc>
          <w:tcPr>
            <w:tcW w:w="1100" w:type="dxa"/>
            <w:vAlign w:val="bottom"/>
            <w:vMerge w:val="continue"/>
          </w:tcPr>
          <w:p>
            <w:pPr>
              <w:spacing w:after="0"/>
              <w:rPr>
                <w:sz w:val="14"/>
                <w:szCs w:val="14"/>
                <w:color w:val="auto"/>
              </w:rPr>
            </w:pPr>
          </w:p>
        </w:tc>
        <w:tc>
          <w:tcPr>
            <w:tcW w:w="200" w:type="dxa"/>
            <w:vAlign w:val="bottom"/>
          </w:tcPr>
          <w:p>
            <w:pPr>
              <w:spacing w:after="0"/>
              <w:rPr>
                <w:sz w:val="14"/>
                <w:szCs w:val="14"/>
                <w:color w:val="auto"/>
              </w:rPr>
            </w:pPr>
          </w:p>
        </w:tc>
        <w:tc>
          <w:tcPr>
            <w:tcW w:w="1400" w:type="dxa"/>
            <w:vAlign w:val="bottom"/>
            <w:gridSpan w:val="3"/>
          </w:tcPr>
          <w:p>
            <w:pPr>
              <w:jc w:val="center"/>
              <w:ind w:right="180"/>
              <w:spacing w:after="0"/>
              <w:rPr>
                <w:sz w:val="20"/>
                <w:szCs w:val="20"/>
                <w:color w:val="auto"/>
              </w:rPr>
            </w:pPr>
            <w:r>
              <w:rPr>
                <w:rFonts w:ascii="Arial" w:cs="Arial" w:eastAsia="Arial" w:hAnsi="Arial"/>
                <w:sz w:val="14"/>
                <w:szCs w:val="14"/>
                <w:b w:val="1"/>
                <w:bCs w:val="1"/>
                <w:color w:val="auto"/>
                <w:w w:val="86"/>
              </w:rPr>
              <w:t>share of net assets</w:t>
            </w:r>
          </w:p>
        </w:tc>
        <w:tc>
          <w:tcPr>
            <w:tcW w:w="100" w:type="dxa"/>
            <w:vAlign w:val="bottom"/>
          </w:tcPr>
          <w:p>
            <w:pPr>
              <w:spacing w:after="0"/>
              <w:rPr>
                <w:sz w:val="14"/>
                <w:szCs w:val="14"/>
                <w:color w:val="auto"/>
              </w:rPr>
            </w:pPr>
          </w:p>
        </w:tc>
        <w:tc>
          <w:tcPr>
            <w:tcW w:w="1080" w:type="dxa"/>
            <w:vAlign w:val="bottom"/>
            <w:vMerge w:val="continue"/>
          </w:tcPr>
          <w:p>
            <w:pPr>
              <w:spacing w:after="0"/>
              <w:rPr>
                <w:sz w:val="14"/>
                <w:szCs w:val="14"/>
                <w:color w:val="auto"/>
              </w:rPr>
            </w:pPr>
          </w:p>
        </w:tc>
        <w:tc>
          <w:tcPr>
            <w:tcW w:w="180" w:type="dxa"/>
            <w:vAlign w:val="bottom"/>
          </w:tcPr>
          <w:p>
            <w:pPr>
              <w:spacing w:after="0"/>
              <w:rPr>
                <w:sz w:val="14"/>
                <w:szCs w:val="14"/>
                <w:color w:val="auto"/>
              </w:rPr>
            </w:pPr>
          </w:p>
        </w:tc>
        <w:tc>
          <w:tcPr>
            <w:tcW w:w="1400" w:type="dxa"/>
            <w:vAlign w:val="bottom"/>
            <w:gridSpan w:val="3"/>
          </w:tcPr>
          <w:p>
            <w:pPr>
              <w:jc w:val="center"/>
              <w:ind w:right="140"/>
              <w:spacing w:after="0"/>
              <w:rPr>
                <w:sz w:val="20"/>
                <w:szCs w:val="20"/>
                <w:color w:val="auto"/>
              </w:rPr>
            </w:pPr>
            <w:r>
              <w:rPr>
                <w:rFonts w:ascii="Arial" w:cs="Arial" w:eastAsia="Arial" w:hAnsi="Arial"/>
                <w:sz w:val="14"/>
                <w:szCs w:val="14"/>
                <w:b w:val="1"/>
                <w:bCs w:val="1"/>
                <w:color w:val="auto"/>
                <w:w w:val="86"/>
              </w:rPr>
              <w:t>share of net assets</w:t>
            </w:r>
          </w:p>
        </w:tc>
        <w:tc>
          <w:tcPr>
            <w:tcW w:w="0" w:type="dxa"/>
            <w:vAlign w:val="bottom"/>
          </w:tcPr>
          <w:p>
            <w:pPr>
              <w:spacing w:after="0"/>
              <w:rPr>
                <w:sz w:val="1"/>
                <w:szCs w:val="1"/>
                <w:color w:val="auto"/>
              </w:rPr>
            </w:pPr>
          </w:p>
        </w:tc>
      </w:tr>
      <w:tr>
        <w:trPr>
          <w:trHeight w:val="209"/>
        </w:trPr>
        <w:tc>
          <w:tcPr>
            <w:tcW w:w="3120" w:type="dxa"/>
            <w:vAlign w:val="bottom"/>
            <w:tcBorders>
              <w:top w:val="single" w:sz="8" w:color="CFF0FC"/>
            </w:tcBorders>
            <w:shd w:val="clear" w:color="auto" w:fill="CFF0FC"/>
          </w:tcPr>
          <w:p>
            <w:pPr>
              <w:spacing w:after="0"/>
              <w:rPr>
                <w:sz w:val="20"/>
                <w:szCs w:val="20"/>
                <w:color w:val="auto"/>
              </w:rPr>
            </w:pPr>
            <w:r>
              <w:rPr>
                <w:rFonts w:ascii="Arial" w:cs="Arial" w:eastAsia="Arial" w:hAnsi="Arial"/>
                <w:sz w:val="18"/>
                <w:szCs w:val="18"/>
                <w:color w:val="auto"/>
              </w:rPr>
              <w:t>International Financial Data Services</w:t>
            </w:r>
          </w:p>
        </w:tc>
        <w:tc>
          <w:tcPr>
            <w:tcW w:w="1200" w:type="dxa"/>
            <w:vAlign w:val="bottom"/>
            <w:tcBorders>
              <w:top w:val="single" w:sz="8" w:color="auto"/>
            </w:tcBorders>
            <w:shd w:val="clear" w:color="auto" w:fill="CFF0FC"/>
          </w:tcPr>
          <w:p>
            <w:pPr>
              <w:spacing w:after="0"/>
              <w:rPr>
                <w:sz w:val="18"/>
                <w:szCs w:val="18"/>
                <w:color w:val="auto"/>
              </w:rPr>
            </w:pPr>
          </w:p>
        </w:tc>
        <w:tc>
          <w:tcPr>
            <w:tcW w:w="220" w:type="dxa"/>
            <w:vAlign w:val="bottom"/>
            <w:tcBorders>
              <w:top w:val="single" w:sz="8" w:color="CFF0FC"/>
            </w:tcBorders>
            <w:shd w:val="clear" w:color="auto" w:fill="CFF0FC"/>
          </w:tcPr>
          <w:p>
            <w:pPr>
              <w:spacing w:after="0"/>
              <w:rPr>
                <w:sz w:val="18"/>
                <w:szCs w:val="18"/>
                <w:color w:val="auto"/>
              </w:rPr>
            </w:pPr>
          </w:p>
        </w:tc>
        <w:tc>
          <w:tcPr>
            <w:tcW w:w="100" w:type="dxa"/>
            <w:vAlign w:val="bottom"/>
            <w:tcBorders>
              <w:top w:val="single" w:sz="8" w:color="auto"/>
            </w:tcBorders>
            <w:shd w:val="clear" w:color="auto" w:fill="CFF0FC"/>
          </w:tcPr>
          <w:p>
            <w:pPr>
              <w:spacing w:after="0"/>
              <w:rPr>
                <w:sz w:val="18"/>
                <w:szCs w:val="18"/>
                <w:color w:val="auto"/>
              </w:rPr>
            </w:pPr>
          </w:p>
        </w:tc>
        <w:tc>
          <w:tcPr>
            <w:tcW w:w="1100" w:type="dxa"/>
            <w:vAlign w:val="bottom"/>
            <w:tcBorders>
              <w:top w:val="single" w:sz="8" w:color="auto"/>
            </w:tcBorders>
            <w:shd w:val="clear" w:color="auto" w:fill="CFF0FC"/>
          </w:tcPr>
          <w:p>
            <w:pPr>
              <w:spacing w:after="0"/>
              <w:rPr>
                <w:sz w:val="18"/>
                <w:szCs w:val="18"/>
                <w:color w:val="auto"/>
              </w:rPr>
            </w:pPr>
          </w:p>
        </w:tc>
        <w:tc>
          <w:tcPr>
            <w:tcW w:w="200" w:type="dxa"/>
            <w:vAlign w:val="bottom"/>
            <w:tcBorders>
              <w:top w:val="single" w:sz="8" w:color="CFF0FC"/>
            </w:tcBorders>
            <w:shd w:val="clear" w:color="auto" w:fill="CFF0FC"/>
          </w:tcPr>
          <w:p>
            <w:pPr>
              <w:spacing w:after="0"/>
              <w:rPr>
                <w:sz w:val="18"/>
                <w:szCs w:val="18"/>
                <w:color w:val="auto"/>
              </w:rPr>
            </w:pPr>
          </w:p>
        </w:tc>
        <w:tc>
          <w:tcPr>
            <w:tcW w:w="100" w:type="dxa"/>
            <w:vAlign w:val="bottom"/>
            <w:tcBorders>
              <w:top w:val="single" w:sz="8" w:color="auto"/>
            </w:tcBorders>
            <w:shd w:val="clear" w:color="auto" w:fill="CFF0FC"/>
          </w:tcPr>
          <w:p>
            <w:pPr>
              <w:spacing w:after="0"/>
              <w:rPr>
                <w:sz w:val="18"/>
                <w:szCs w:val="18"/>
                <w:color w:val="auto"/>
              </w:rPr>
            </w:pPr>
          </w:p>
        </w:tc>
        <w:tc>
          <w:tcPr>
            <w:tcW w:w="1100" w:type="dxa"/>
            <w:vAlign w:val="bottom"/>
            <w:tcBorders>
              <w:top w:val="single" w:sz="8" w:color="auto"/>
            </w:tcBorders>
            <w:shd w:val="clear" w:color="auto" w:fill="CFF0FC"/>
          </w:tcPr>
          <w:p>
            <w:pPr>
              <w:spacing w:after="0"/>
              <w:rPr>
                <w:sz w:val="18"/>
                <w:szCs w:val="18"/>
                <w:color w:val="auto"/>
              </w:rPr>
            </w:pPr>
          </w:p>
        </w:tc>
        <w:tc>
          <w:tcPr>
            <w:tcW w:w="200" w:type="dxa"/>
            <w:vAlign w:val="bottom"/>
            <w:tcBorders>
              <w:top w:val="single" w:sz="8" w:color="CFF0FC"/>
            </w:tcBorders>
            <w:shd w:val="clear" w:color="auto" w:fill="CFF0FC"/>
          </w:tcPr>
          <w:p>
            <w:pPr>
              <w:spacing w:after="0"/>
              <w:rPr>
                <w:sz w:val="18"/>
                <w:szCs w:val="18"/>
                <w:color w:val="auto"/>
              </w:rPr>
            </w:pPr>
          </w:p>
        </w:tc>
        <w:tc>
          <w:tcPr>
            <w:tcW w:w="100" w:type="dxa"/>
            <w:vAlign w:val="bottom"/>
            <w:tcBorders>
              <w:top w:val="single" w:sz="8" w:color="auto"/>
            </w:tcBorders>
            <w:shd w:val="clear" w:color="auto" w:fill="CFF0FC"/>
          </w:tcPr>
          <w:p>
            <w:pPr>
              <w:spacing w:after="0"/>
              <w:rPr>
                <w:sz w:val="18"/>
                <w:szCs w:val="18"/>
                <w:color w:val="auto"/>
              </w:rPr>
            </w:pPr>
          </w:p>
        </w:tc>
        <w:tc>
          <w:tcPr>
            <w:tcW w:w="1080" w:type="dxa"/>
            <w:vAlign w:val="bottom"/>
            <w:tcBorders>
              <w:top w:val="single" w:sz="8" w:color="auto"/>
            </w:tcBorders>
            <w:shd w:val="clear" w:color="auto" w:fill="CFF0FC"/>
          </w:tcPr>
          <w:p>
            <w:pPr>
              <w:spacing w:after="0"/>
              <w:rPr>
                <w:sz w:val="18"/>
                <w:szCs w:val="18"/>
                <w:color w:val="auto"/>
              </w:rPr>
            </w:pPr>
          </w:p>
        </w:tc>
        <w:tc>
          <w:tcPr>
            <w:tcW w:w="180" w:type="dxa"/>
            <w:vAlign w:val="bottom"/>
            <w:tcBorders>
              <w:top w:val="single" w:sz="8" w:color="CFF0FC"/>
            </w:tcBorders>
            <w:shd w:val="clear" w:color="auto" w:fill="CFF0FC"/>
          </w:tcPr>
          <w:p>
            <w:pPr>
              <w:spacing w:after="0"/>
              <w:rPr>
                <w:sz w:val="18"/>
                <w:szCs w:val="18"/>
                <w:color w:val="auto"/>
              </w:rPr>
            </w:pPr>
          </w:p>
        </w:tc>
        <w:tc>
          <w:tcPr>
            <w:tcW w:w="120" w:type="dxa"/>
            <w:vAlign w:val="bottom"/>
            <w:tcBorders>
              <w:top w:val="single" w:sz="8" w:color="auto"/>
            </w:tcBorders>
            <w:shd w:val="clear" w:color="auto" w:fill="CFF0FC"/>
          </w:tcPr>
          <w:p>
            <w:pPr>
              <w:spacing w:after="0"/>
              <w:rPr>
                <w:sz w:val="18"/>
                <w:szCs w:val="18"/>
                <w:color w:val="auto"/>
              </w:rPr>
            </w:pPr>
          </w:p>
        </w:tc>
        <w:tc>
          <w:tcPr>
            <w:tcW w:w="1160" w:type="dxa"/>
            <w:vAlign w:val="bottom"/>
            <w:tcBorders>
              <w:top w:val="single" w:sz="8" w:color="auto"/>
            </w:tcBorders>
            <w:shd w:val="clear" w:color="auto" w:fill="CFF0FC"/>
          </w:tcPr>
          <w:p>
            <w:pPr>
              <w:spacing w:after="0"/>
              <w:rPr>
                <w:sz w:val="18"/>
                <w:szCs w:val="18"/>
                <w:color w:val="auto"/>
              </w:rPr>
            </w:pPr>
          </w:p>
        </w:tc>
        <w:tc>
          <w:tcPr>
            <w:tcW w:w="120" w:type="dxa"/>
            <w:vAlign w:val="bottom"/>
            <w:tcBorders>
              <w:top w:val="single" w:sz="8" w:color="CFF0FC"/>
            </w:tcBorders>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3120" w:type="dxa"/>
            <w:vAlign w:val="bottom"/>
            <w:shd w:val="clear" w:color="auto" w:fill="CFF0FC"/>
          </w:tcPr>
          <w:p>
            <w:pPr>
              <w:spacing w:after="0"/>
              <w:rPr>
                <w:sz w:val="20"/>
                <w:szCs w:val="20"/>
                <w:color w:val="auto"/>
              </w:rPr>
            </w:pPr>
            <w:r>
              <w:rPr>
                <w:rFonts w:ascii="Arial" w:cs="Arial" w:eastAsia="Arial" w:hAnsi="Arial"/>
                <w:sz w:val="18"/>
                <w:szCs w:val="18"/>
                <w:color w:val="auto"/>
              </w:rPr>
              <w:t>L.P.</w:t>
            </w:r>
          </w:p>
        </w:tc>
        <w:tc>
          <w:tcPr>
            <w:tcW w:w="1200" w:type="dxa"/>
            <w:vAlign w:val="bottom"/>
            <w:shd w:val="clear" w:color="auto" w:fill="CFF0FC"/>
          </w:tcPr>
          <w:p>
            <w:pPr>
              <w:jc w:val="center"/>
              <w:spacing w:after="0"/>
              <w:rPr>
                <w:sz w:val="20"/>
                <w:szCs w:val="20"/>
                <w:color w:val="auto"/>
              </w:rPr>
            </w:pPr>
            <w:r>
              <w:rPr>
                <w:rFonts w:ascii="Arial" w:cs="Arial" w:eastAsia="Arial" w:hAnsi="Arial"/>
                <w:sz w:val="18"/>
                <w:szCs w:val="18"/>
                <w:color w:val="auto"/>
                <w:w w:val="94"/>
              </w:rPr>
              <w:t>50%</w:t>
            </w:r>
          </w:p>
        </w:tc>
        <w:tc>
          <w:tcPr>
            <w:tcW w:w="220" w:type="dxa"/>
            <w:vAlign w:val="bottom"/>
            <w:shd w:val="clear" w:color="auto" w:fill="CFF0FC"/>
          </w:tcPr>
          <w:p>
            <w:pPr>
              <w:spacing w:after="0"/>
              <w:rPr>
                <w:sz w:val="20"/>
                <w:szCs w:val="20"/>
                <w:color w:val="auto"/>
              </w:rPr>
            </w:pPr>
          </w:p>
        </w:tc>
        <w:tc>
          <w:tcPr>
            <w:tcW w:w="100" w:type="dxa"/>
            <w:vAlign w:val="bottom"/>
            <w:shd w:val="clear" w:color="auto" w:fill="CFF0FC"/>
          </w:tcPr>
          <w:p>
            <w:pPr>
              <w:jc w:val="right"/>
              <w:spacing w:after="0"/>
              <w:rPr>
                <w:sz w:val="20"/>
                <w:szCs w:val="20"/>
                <w:color w:val="auto"/>
              </w:rPr>
            </w:pPr>
            <w:r>
              <w:rPr>
                <w:rFonts w:ascii="Arial" w:cs="Arial" w:eastAsia="Arial" w:hAnsi="Arial"/>
                <w:sz w:val="15"/>
                <w:szCs w:val="15"/>
                <w:color w:val="auto"/>
                <w:w w:val="71"/>
              </w:rPr>
              <w:t>$</w:t>
            </w:r>
          </w:p>
        </w:tc>
        <w:tc>
          <w:tcPr>
            <w:tcW w:w="11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98.9</w:t>
            </w:r>
          </w:p>
        </w:tc>
        <w:tc>
          <w:tcPr>
            <w:tcW w:w="300" w:type="dxa"/>
            <w:vAlign w:val="bottom"/>
            <w:gridSpan w:val="2"/>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11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40.7</w:t>
            </w:r>
          </w:p>
        </w:tc>
        <w:tc>
          <w:tcPr>
            <w:tcW w:w="200" w:type="dxa"/>
            <w:vAlign w:val="bottom"/>
            <w:shd w:val="clear" w:color="auto" w:fill="CFF0FC"/>
          </w:tcPr>
          <w:p>
            <w:pPr>
              <w:spacing w:after="0"/>
              <w:rPr>
                <w:sz w:val="20"/>
                <w:szCs w:val="20"/>
                <w:color w:val="auto"/>
              </w:rPr>
            </w:pPr>
          </w:p>
        </w:tc>
        <w:tc>
          <w:tcPr>
            <w:tcW w:w="100" w:type="dxa"/>
            <w:vAlign w:val="bottom"/>
            <w:shd w:val="clear" w:color="auto" w:fill="CFF0FC"/>
          </w:tcPr>
          <w:p>
            <w:pPr>
              <w:jc w:val="right"/>
              <w:spacing w:after="0"/>
              <w:rPr>
                <w:sz w:val="20"/>
                <w:szCs w:val="20"/>
                <w:color w:val="auto"/>
              </w:rPr>
            </w:pPr>
            <w:r>
              <w:rPr>
                <w:rFonts w:ascii="Arial" w:cs="Arial" w:eastAsia="Arial" w:hAnsi="Arial"/>
                <w:sz w:val="15"/>
                <w:szCs w:val="15"/>
                <w:color w:val="auto"/>
                <w:w w:val="71"/>
              </w:rPr>
              <w:t>$</w:t>
            </w:r>
          </w:p>
        </w:tc>
        <w:tc>
          <w:tcPr>
            <w:tcW w:w="10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97.5</w:t>
            </w:r>
          </w:p>
        </w:tc>
        <w:tc>
          <w:tcPr>
            <w:tcW w:w="300" w:type="dxa"/>
            <w:vAlign w:val="bottom"/>
            <w:gridSpan w:val="2"/>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11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41.5</w:t>
            </w:r>
          </w:p>
        </w:tc>
        <w:tc>
          <w:tcPr>
            <w:tcW w:w="120" w:type="dxa"/>
            <w:vAlign w:val="bottom"/>
            <w:shd w:val="clear" w:color="auto" w:fill="CFF0FC"/>
          </w:tcPr>
          <w:p>
            <w:pPr>
              <w:spacing w:after="0"/>
              <w:rPr>
                <w:sz w:val="20"/>
                <w:szCs w:val="20"/>
                <w:color w:val="auto"/>
              </w:rPr>
            </w:pPr>
          </w:p>
        </w:tc>
        <w:tc>
          <w:tcPr>
            <w:tcW w:w="0" w:type="dxa"/>
            <w:vAlign w:val="bottom"/>
          </w:tcPr>
          <w:p>
            <w:pPr>
              <w:spacing w:after="0"/>
              <w:rPr>
                <w:sz w:val="1"/>
                <w:szCs w:val="1"/>
                <w:color w:val="auto"/>
              </w:rPr>
            </w:pPr>
          </w:p>
        </w:tc>
      </w:tr>
      <w:tr>
        <w:trPr>
          <w:trHeight w:val="215"/>
        </w:trPr>
        <w:tc>
          <w:tcPr>
            <w:tcW w:w="3120" w:type="dxa"/>
            <w:vAlign w:val="bottom"/>
          </w:tcPr>
          <w:p>
            <w:pPr>
              <w:spacing w:after="0"/>
              <w:rPr>
                <w:sz w:val="20"/>
                <w:szCs w:val="20"/>
                <w:color w:val="auto"/>
              </w:rPr>
            </w:pPr>
            <w:r>
              <w:rPr>
                <w:rFonts w:ascii="Arial" w:cs="Arial" w:eastAsia="Arial" w:hAnsi="Arial"/>
                <w:sz w:val="18"/>
                <w:szCs w:val="18"/>
                <w:color w:val="auto"/>
                <w:w w:val="97"/>
              </w:rPr>
              <w:t>Pershing Road Development Company,</w:t>
            </w:r>
          </w:p>
        </w:tc>
        <w:tc>
          <w:tcPr>
            <w:tcW w:w="12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3120" w:type="dxa"/>
            <w:vAlign w:val="bottom"/>
          </w:tcPr>
          <w:p>
            <w:pPr>
              <w:spacing w:after="0"/>
              <w:rPr>
                <w:sz w:val="20"/>
                <w:szCs w:val="20"/>
                <w:color w:val="auto"/>
              </w:rPr>
            </w:pPr>
            <w:r>
              <w:rPr>
                <w:rFonts w:ascii="Arial" w:cs="Arial" w:eastAsia="Arial" w:hAnsi="Arial"/>
                <w:sz w:val="18"/>
                <w:szCs w:val="18"/>
                <w:color w:val="auto"/>
              </w:rPr>
              <w:t>LLC</w:t>
            </w:r>
          </w:p>
        </w:tc>
        <w:tc>
          <w:tcPr>
            <w:tcW w:w="1200" w:type="dxa"/>
            <w:vAlign w:val="bottom"/>
          </w:tcPr>
          <w:p>
            <w:pPr>
              <w:jc w:val="center"/>
              <w:spacing w:after="0"/>
              <w:rPr>
                <w:sz w:val="20"/>
                <w:szCs w:val="20"/>
                <w:color w:val="auto"/>
              </w:rPr>
            </w:pPr>
            <w:r>
              <w:rPr>
                <w:rFonts w:ascii="Arial" w:cs="Arial" w:eastAsia="Arial" w:hAnsi="Arial"/>
                <w:sz w:val="18"/>
                <w:szCs w:val="18"/>
                <w:color w:val="auto"/>
                <w:w w:val="94"/>
              </w:rPr>
              <w:t>50%</w:t>
            </w:r>
          </w:p>
        </w:tc>
        <w:tc>
          <w:tcPr>
            <w:tcW w:w="2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75.6</w:t>
            </w:r>
          </w:p>
        </w:tc>
        <w:tc>
          <w:tcPr>
            <w:tcW w:w="2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72.1</w:t>
            </w:r>
          </w:p>
        </w:tc>
        <w:tc>
          <w:tcPr>
            <w:tcW w:w="2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74.1</w:t>
            </w:r>
          </w:p>
        </w:tc>
        <w:tc>
          <w:tcPr>
            <w:tcW w:w="1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72.7</w:t>
            </w:r>
          </w:p>
        </w:tc>
        <w:tc>
          <w:tcPr>
            <w:tcW w:w="1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30"/>
        </w:trPr>
        <w:tc>
          <w:tcPr>
            <w:tcW w:w="3120" w:type="dxa"/>
            <w:vAlign w:val="bottom"/>
            <w:shd w:val="clear" w:color="auto" w:fill="CFF0FC"/>
          </w:tcPr>
          <w:p>
            <w:pPr>
              <w:spacing w:after="0"/>
              <w:rPr>
                <w:sz w:val="20"/>
                <w:szCs w:val="20"/>
                <w:color w:val="auto"/>
              </w:rPr>
            </w:pPr>
            <w:r>
              <w:rPr>
                <w:rFonts w:ascii="Arial" w:cs="Arial" w:eastAsia="Arial" w:hAnsi="Arial"/>
                <w:sz w:val="18"/>
                <w:szCs w:val="18"/>
                <w:color w:val="auto"/>
              </w:rPr>
              <w:t>Broadway Square Partners, LLP</w:t>
            </w:r>
          </w:p>
        </w:tc>
        <w:tc>
          <w:tcPr>
            <w:tcW w:w="1200" w:type="dxa"/>
            <w:vAlign w:val="bottom"/>
            <w:shd w:val="clear" w:color="auto" w:fill="CFF0FC"/>
          </w:tcPr>
          <w:p>
            <w:pPr>
              <w:jc w:val="center"/>
              <w:spacing w:after="0"/>
              <w:rPr>
                <w:sz w:val="20"/>
                <w:szCs w:val="20"/>
                <w:color w:val="auto"/>
              </w:rPr>
            </w:pPr>
            <w:r>
              <w:rPr>
                <w:rFonts w:ascii="Arial" w:cs="Arial" w:eastAsia="Arial" w:hAnsi="Arial"/>
                <w:sz w:val="18"/>
                <w:szCs w:val="18"/>
                <w:color w:val="auto"/>
                <w:w w:val="94"/>
              </w:rPr>
              <w:t>50%</w:t>
            </w:r>
          </w:p>
        </w:tc>
        <w:tc>
          <w:tcPr>
            <w:tcW w:w="22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11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53.0</w:t>
            </w:r>
          </w:p>
        </w:tc>
        <w:tc>
          <w:tcPr>
            <w:tcW w:w="20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11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29.5</w:t>
            </w:r>
          </w:p>
        </w:tc>
        <w:tc>
          <w:tcPr>
            <w:tcW w:w="20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10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52.6</w:t>
            </w:r>
          </w:p>
        </w:tc>
        <w:tc>
          <w:tcPr>
            <w:tcW w:w="18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11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29.6</w:t>
            </w:r>
          </w:p>
        </w:tc>
        <w:tc>
          <w:tcPr>
            <w:tcW w:w="12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3120" w:type="dxa"/>
            <w:vAlign w:val="bottom"/>
          </w:tcPr>
          <w:p>
            <w:pPr>
              <w:spacing w:after="0"/>
              <w:rPr>
                <w:sz w:val="20"/>
                <w:szCs w:val="20"/>
                <w:color w:val="auto"/>
              </w:rPr>
            </w:pPr>
            <w:r>
              <w:rPr>
                <w:rFonts w:ascii="Arial" w:cs="Arial" w:eastAsia="Arial" w:hAnsi="Arial"/>
                <w:sz w:val="18"/>
                <w:szCs w:val="18"/>
                <w:color w:val="auto"/>
              </w:rPr>
              <w:t>Other unconsolidated affiliates</w:t>
            </w:r>
          </w:p>
        </w:tc>
        <w:tc>
          <w:tcPr>
            <w:tcW w:w="12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1.0</w:t>
            </w:r>
          </w:p>
        </w:tc>
        <w:tc>
          <w:tcPr>
            <w:tcW w:w="2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30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1.4</w:t>
            </w:r>
          </w:p>
        </w:tc>
        <w:tc>
          <w:tcPr>
            <w:tcW w:w="1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280" w:type="dxa"/>
            <w:vAlign w:val="bottom"/>
            <w:gridSpan w:val="2"/>
          </w:tcPr>
          <w:p>
            <w:pPr>
              <w:jc w:val="right"/>
              <w:ind w:right="12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23"/>
        </w:trPr>
        <w:tc>
          <w:tcPr>
            <w:tcW w:w="3120" w:type="dxa"/>
            <w:vAlign w:val="bottom"/>
            <w:tcBorders>
              <w:top w:val="single" w:sz="8" w:color="CFF0FC"/>
              <w:bottom w:val="single" w:sz="8" w:color="CFF0FC"/>
            </w:tcBorders>
            <w:shd w:val="clear" w:color="auto" w:fill="CFF0FC"/>
          </w:tcPr>
          <w:p>
            <w:pPr>
              <w:ind w:left="120"/>
              <w:spacing w:after="0"/>
              <w:rPr>
                <w:sz w:val="20"/>
                <w:szCs w:val="20"/>
                <w:color w:val="auto"/>
              </w:rPr>
            </w:pPr>
            <w:r>
              <w:rPr>
                <w:rFonts w:ascii="Arial" w:cs="Arial" w:eastAsia="Arial" w:hAnsi="Arial"/>
                <w:sz w:val="18"/>
                <w:szCs w:val="18"/>
                <w:color w:val="auto"/>
              </w:rPr>
              <w:t>Total</w:t>
            </w:r>
          </w:p>
        </w:tc>
        <w:tc>
          <w:tcPr>
            <w:tcW w:w="1200" w:type="dxa"/>
            <w:vAlign w:val="bottom"/>
            <w:tcBorders>
              <w:top w:val="single" w:sz="8" w:color="CFF0FC"/>
              <w:bottom w:val="single" w:sz="8" w:color="CFF0FC"/>
            </w:tcBorders>
            <w:shd w:val="clear" w:color="auto" w:fill="CFF0FC"/>
          </w:tcPr>
          <w:p>
            <w:pPr>
              <w:spacing w:after="0"/>
              <w:rPr>
                <w:sz w:val="19"/>
                <w:szCs w:val="19"/>
                <w:color w:val="auto"/>
              </w:rPr>
            </w:pPr>
          </w:p>
        </w:tc>
        <w:tc>
          <w:tcPr>
            <w:tcW w:w="220" w:type="dxa"/>
            <w:vAlign w:val="bottom"/>
            <w:tcBorders>
              <w:top w:val="single" w:sz="8" w:color="CFF0FC"/>
              <w:bottom w:val="single" w:sz="8" w:color="CFF0FC"/>
            </w:tcBorders>
            <w:shd w:val="clear" w:color="auto" w:fill="CFF0FC"/>
          </w:tcPr>
          <w:p>
            <w:pPr>
              <w:spacing w:after="0"/>
              <w:rPr>
                <w:sz w:val="19"/>
                <w:szCs w:val="19"/>
                <w:color w:val="auto"/>
              </w:rPr>
            </w:pPr>
          </w:p>
        </w:tc>
        <w:tc>
          <w:tcPr>
            <w:tcW w:w="10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5"/>
                <w:szCs w:val="15"/>
                <w:color w:val="auto"/>
                <w:w w:val="71"/>
              </w:rPr>
              <w:t>$</w:t>
            </w:r>
          </w:p>
        </w:tc>
        <w:tc>
          <w:tcPr>
            <w:tcW w:w="110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228.5</w:t>
            </w:r>
          </w:p>
        </w:tc>
        <w:tc>
          <w:tcPr>
            <w:tcW w:w="200" w:type="dxa"/>
            <w:vAlign w:val="bottom"/>
            <w:tcBorders>
              <w:top w:val="single" w:sz="8" w:color="CFF0FC"/>
              <w:bottom w:val="single" w:sz="8" w:color="CFF0FC"/>
            </w:tcBorders>
            <w:shd w:val="clear" w:color="auto" w:fill="CFF0FC"/>
          </w:tcPr>
          <w:p>
            <w:pPr>
              <w:spacing w:after="0"/>
              <w:rPr>
                <w:sz w:val="19"/>
                <w:szCs w:val="19"/>
                <w:color w:val="auto"/>
              </w:rPr>
            </w:pPr>
          </w:p>
        </w:tc>
        <w:tc>
          <w:tcPr>
            <w:tcW w:w="10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110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142.3</w:t>
            </w:r>
          </w:p>
        </w:tc>
        <w:tc>
          <w:tcPr>
            <w:tcW w:w="200" w:type="dxa"/>
            <w:vAlign w:val="bottom"/>
            <w:tcBorders>
              <w:top w:val="single" w:sz="8" w:color="CFF0FC"/>
              <w:bottom w:val="single" w:sz="8" w:color="CFF0FC"/>
            </w:tcBorders>
            <w:shd w:val="clear" w:color="auto" w:fill="CFF0FC"/>
          </w:tcPr>
          <w:p>
            <w:pPr>
              <w:spacing w:after="0"/>
              <w:rPr>
                <w:sz w:val="19"/>
                <w:szCs w:val="19"/>
                <w:color w:val="auto"/>
              </w:rPr>
            </w:pPr>
          </w:p>
        </w:tc>
        <w:tc>
          <w:tcPr>
            <w:tcW w:w="10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5"/>
                <w:szCs w:val="15"/>
                <w:color w:val="auto"/>
                <w:w w:val="71"/>
              </w:rPr>
              <w:t>$</w:t>
            </w:r>
          </w:p>
        </w:tc>
        <w:tc>
          <w:tcPr>
            <w:tcW w:w="108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225.6</w:t>
            </w:r>
          </w:p>
        </w:tc>
        <w:tc>
          <w:tcPr>
            <w:tcW w:w="180" w:type="dxa"/>
            <w:vAlign w:val="bottom"/>
            <w:tcBorders>
              <w:top w:val="single" w:sz="8" w:color="CFF0FC"/>
              <w:bottom w:val="single" w:sz="8" w:color="CFF0FC"/>
            </w:tcBorders>
            <w:shd w:val="clear" w:color="auto" w:fill="CFF0FC"/>
          </w:tcPr>
          <w:p>
            <w:pPr>
              <w:spacing w:after="0"/>
              <w:rPr>
                <w:sz w:val="19"/>
                <w:szCs w:val="19"/>
                <w:color w:val="auto"/>
              </w:rPr>
            </w:pPr>
          </w:p>
        </w:tc>
        <w:tc>
          <w:tcPr>
            <w:tcW w:w="12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116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143.8</w:t>
            </w:r>
          </w:p>
        </w:tc>
        <w:tc>
          <w:tcPr>
            <w:tcW w:w="120" w:type="dxa"/>
            <w:vAlign w:val="bottom"/>
            <w:tcBorders>
              <w:top w:val="single" w:sz="8" w:color="CFF0FC"/>
              <w:bottom w:val="single" w:sz="8" w:color="CFF0FC"/>
            </w:tcBorders>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3120" w:type="dxa"/>
            <w:vAlign w:val="bottom"/>
          </w:tcPr>
          <w:p>
            <w:pPr>
              <w:spacing w:after="0" w:line="20" w:lineRule="exact"/>
              <w:rPr>
                <w:sz w:val="1"/>
                <w:szCs w:val="1"/>
                <w:color w:val="auto"/>
              </w:rPr>
            </w:pPr>
          </w:p>
        </w:tc>
        <w:tc>
          <w:tcPr>
            <w:tcW w:w="12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2" w:lineRule="exact"/>
        <w:rPr>
          <w:sz w:val="20"/>
          <w:szCs w:val="20"/>
          <w:color w:val="auto"/>
        </w:rPr>
      </w:pPr>
    </w:p>
    <w:p>
      <w:pPr>
        <w:ind w:right="100" w:firstLine="562"/>
        <w:spacing w:after="0" w:line="269" w:lineRule="auto"/>
        <w:rPr>
          <w:sz w:val="20"/>
          <w:szCs w:val="20"/>
          <w:color w:val="auto"/>
        </w:rPr>
      </w:pPr>
      <w:r>
        <w:rPr>
          <w:rFonts w:ascii="Arial" w:cs="Arial" w:eastAsia="Arial" w:hAnsi="Arial"/>
          <w:sz w:val="17"/>
          <w:szCs w:val="17"/>
          <w:color w:val="auto"/>
        </w:rPr>
        <w:t>Investments in unconsolidated affiliates are accounted for under the equity method of accounting. We record our proportionate share of the results of the unconsolidated affiliates and amortization expense related to basis differences in Equity in earnings of unconsolidated affiliates, net on the Condensed Consolidated Statement of Comprehensive Income (Loss). One of the unconsolidated affiliates is a party to an interest rate swap agreement. We record our proportionate share of the change in value of the interest rate swap agreement in Accumulated other comprehensive</w:t>
      </w:r>
    </w:p>
    <w:p>
      <w:pPr>
        <w:spacing w:after="0" w:line="2" w:lineRule="exact"/>
        <w:rPr>
          <w:sz w:val="20"/>
          <w:szCs w:val="20"/>
          <w:color w:val="auto"/>
        </w:rPr>
      </w:pPr>
    </w:p>
    <w:p>
      <w:pPr>
        <w:ind w:right="140"/>
        <w:spacing w:after="0" w:line="260" w:lineRule="auto"/>
        <w:rPr>
          <w:sz w:val="20"/>
          <w:szCs w:val="20"/>
          <w:color w:val="auto"/>
        </w:rPr>
      </w:pPr>
      <w:r>
        <w:rPr>
          <w:rFonts w:ascii="Arial" w:cs="Arial" w:eastAsia="Arial" w:hAnsi="Arial"/>
          <w:sz w:val="18"/>
          <w:szCs w:val="18"/>
          <w:color w:val="auto"/>
        </w:rPr>
        <w:t>loss. Amounts reclassified from Accumulated other comprehensive loss to Net income are recorded in Equity in earnings of unconsolidated affiliates, net on the Condensed Consolidated Statement of Comprehensive Income (Loss).</w:t>
      </w:r>
    </w:p>
    <w:p>
      <w:pPr>
        <w:spacing w:after="0" w:line="18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643" w:right="359" w:bottom="1440" w:gutter="0" w:footer="0" w:header="0"/>
        </w:sectPr>
      </w:pPr>
    </w:p>
    <w:bookmarkStart w:id="9" w:name="page10"/>
    <w:bookmarkEnd w:id="9"/>
    <w:p>
      <w:pPr>
        <w:ind w:left="560"/>
        <w:spacing w:after="0"/>
        <w:rPr>
          <w:sz w:val="20"/>
          <w:szCs w:val="20"/>
          <w:color w:val="auto"/>
        </w:rPr>
      </w:pPr>
      <w:r>
        <w:rPr>
          <w:rFonts w:ascii="Arial" w:cs="Arial" w:eastAsia="Arial" w:hAnsi="Arial"/>
          <w:sz w:val="18"/>
          <w:szCs w:val="18"/>
          <w:color w:val="auto"/>
        </w:rPr>
        <w:t>Equity in earnings of unconsolidated affiliates, net are as follows (in millions):</w:t>
      </w:r>
    </w:p>
    <w:p>
      <w:pPr>
        <w:spacing w:after="0" w:line="95" w:lineRule="exact"/>
        <w:rPr>
          <w:sz w:val="20"/>
          <w:szCs w:val="20"/>
          <w:color w:val="auto"/>
        </w:rPr>
      </w:pPr>
    </w:p>
    <w:tbl>
      <w:tblPr>
        <w:tblLayout w:type="fixed"/>
        <w:tblInd w:w="580" w:type="dxa"/>
        <w:tblCellMar>
          <w:top w:w="0" w:type="dxa"/>
          <w:left w:w="0" w:type="dxa"/>
          <w:bottom w:w="0" w:type="dxa"/>
          <w:right w:w="0" w:type="dxa"/>
        </w:tblCellMar>
      </w:tblPr>
      <w:tr>
        <w:trPr>
          <w:trHeight w:val="171"/>
        </w:trPr>
        <w:tc>
          <w:tcPr>
            <w:tcW w:w="432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1260" w:type="dxa"/>
            <w:vAlign w:val="bottom"/>
            <w:tcBorders>
              <w:bottom w:val="single" w:sz="8" w:color="auto"/>
            </w:tcBorders>
          </w:tcPr>
          <w:p>
            <w:pPr>
              <w:spacing w:after="0"/>
              <w:rPr>
                <w:sz w:val="14"/>
                <w:szCs w:val="14"/>
                <w:color w:val="auto"/>
              </w:rPr>
            </w:pPr>
          </w:p>
        </w:tc>
        <w:tc>
          <w:tcPr>
            <w:tcW w:w="2060" w:type="dxa"/>
            <w:vAlign w:val="bottom"/>
            <w:tcBorders>
              <w:bottom w:val="single" w:sz="8" w:color="auto"/>
            </w:tcBorders>
            <w:gridSpan w:val="3"/>
          </w:tcPr>
          <w:p>
            <w:pPr>
              <w:jc w:val="right"/>
              <w:spacing w:after="0"/>
              <w:rPr>
                <w:sz w:val="20"/>
                <w:szCs w:val="20"/>
                <w:color w:val="auto"/>
              </w:rPr>
            </w:pPr>
            <w:r>
              <w:rPr>
                <w:rFonts w:ascii="Arial" w:cs="Arial" w:eastAsia="Arial" w:hAnsi="Arial"/>
                <w:sz w:val="14"/>
                <w:szCs w:val="14"/>
                <w:b w:val="1"/>
                <w:bCs w:val="1"/>
                <w:color w:val="auto"/>
                <w:w w:val="96"/>
              </w:rPr>
              <w:t>Three Months Ended March 31,</w:t>
            </w:r>
          </w:p>
        </w:tc>
        <w:tc>
          <w:tcPr>
            <w:tcW w:w="1280" w:type="dxa"/>
            <w:vAlign w:val="bottom"/>
            <w:tcBorders>
              <w:bottom w:val="single" w:sz="8" w:color="auto"/>
            </w:tcBorders>
          </w:tcPr>
          <w:p>
            <w:pPr>
              <w:spacing w:after="0"/>
              <w:rPr>
                <w:sz w:val="14"/>
                <w:szCs w:val="14"/>
                <w:color w:val="auto"/>
              </w:rPr>
            </w:pPr>
          </w:p>
        </w:tc>
        <w:tc>
          <w:tcPr>
            <w:tcW w:w="100" w:type="dxa"/>
            <w:vAlign w:val="bottom"/>
          </w:tcPr>
          <w:p>
            <w:pPr>
              <w:spacing w:after="0"/>
              <w:rPr>
                <w:sz w:val="14"/>
                <w:szCs w:val="14"/>
                <w:color w:val="auto"/>
              </w:rPr>
            </w:pPr>
          </w:p>
        </w:tc>
      </w:tr>
      <w:tr>
        <w:trPr>
          <w:trHeight w:val="236"/>
        </w:trPr>
        <w:tc>
          <w:tcPr>
            <w:tcW w:w="4320" w:type="dxa"/>
            <w:vAlign w:val="bottom"/>
            <w:tcBorders>
              <w:bottom w:val="single" w:sz="8" w:color="CFF0FC"/>
            </w:tcBorders>
          </w:tcPr>
          <w:p>
            <w:pPr>
              <w:spacing w:after="0"/>
              <w:rPr>
                <w:sz w:val="20"/>
                <w:szCs w:val="20"/>
                <w:color w:val="auto"/>
              </w:rPr>
            </w:pPr>
          </w:p>
        </w:tc>
        <w:tc>
          <w:tcPr>
            <w:tcW w:w="1080" w:type="dxa"/>
            <w:vAlign w:val="bottom"/>
            <w:tcBorders>
              <w:bottom w:val="single" w:sz="8" w:color="CFF0FC"/>
            </w:tcBorders>
          </w:tcPr>
          <w:p>
            <w:pPr>
              <w:spacing w:after="0"/>
              <w:rPr>
                <w:sz w:val="20"/>
                <w:szCs w:val="20"/>
                <w:color w:val="auto"/>
              </w:rPr>
            </w:pPr>
          </w:p>
        </w:tc>
        <w:tc>
          <w:tcPr>
            <w:tcW w:w="126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2021</w:t>
            </w:r>
          </w:p>
        </w:tc>
        <w:tc>
          <w:tcPr>
            <w:tcW w:w="880" w:type="dxa"/>
            <w:vAlign w:val="bottom"/>
            <w:tcBorders>
              <w:bottom w:val="single" w:sz="8" w:color="auto"/>
            </w:tcBorders>
          </w:tcPr>
          <w:p>
            <w:pPr>
              <w:spacing w:after="0"/>
              <w:rPr>
                <w:sz w:val="20"/>
                <w:szCs w:val="20"/>
                <w:color w:val="auto"/>
              </w:rPr>
            </w:pPr>
          </w:p>
        </w:tc>
        <w:tc>
          <w:tcPr>
            <w:tcW w:w="320" w:type="dxa"/>
            <w:vAlign w:val="bottom"/>
            <w:tcBorders>
              <w:bottom w:val="single" w:sz="8" w:color="CFF0FC"/>
            </w:tcBorders>
          </w:tcPr>
          <w:p>
            <w:pPr>
              <w:spacing w:after="0"/>
              <w:rPr>
                <w:sz w:val="20"/>
                <w:szCs w:val="20"/>
                <w:color w:val="auto"/>
              </w:rPr>
            </w:pPr>
          </w:p>
        </w:tc>
        <w:tc>
          <w:tcPr>
            <w:tcW w:w="860" w:type="dxa"/>
            <w:vAlign w:val="bottom"/>
            <w:tcBorders>
              <w:bottom w:val="single" w:sz="8" w:color="auto"/>
            </w:tcBorders>
          </w:tcPr>
          <w:p>
            <w:pPr>
              <w:spacing w:after="0"/>
              <w:rPr>
                <w:sz w:val="20"/>
                <w:szCs w:val="20"/>
                <w:color w:val="auto"/>
              </w:rPr>
            </w:pPr>
          </w:p>
        </w:tc>
        <w:tc>
          <w:tcPr>
            <w:tcW w:w="1280" w:type="dxa"/>
            <w:vAlign w:val="bottom"/>
            <w:tcBorders>
              <w:bottom w:val="single" w:sz="8" w:color="auto"/>
            </w:tcBorders>
          </w:tcPr>
          <w:p>
            <w:pPr>
              <w:jc w:val="right"/>
              <w:ind w:right="853"/>
              <w:spacing w:after="0"/>
              <w:rPr>
                <w:sz w:val="20"/>
                <w:szCs w:val="20"/>
                <w:color w:val="auto"/>
              </w:rPr>
            </w:pPr>
            <w:r>
              <w:rPr>
                <w:rFonts w:ascii="Arial" w:cs="Arial" w:eastAsia="Arial" w:hAnsi="Arial"/>
                <w:sz w:val="14"/>
                <w:szCs w:val="14"/>
                <w:b w:val="1"/>
                <w:bCs w:val="1"/>
                <w:color w:val="auto"/>
              </w:rPr>
              <w:t>2020</w:t>
            </w:r>
          </w:p>
        </w:tc>
        <w:tc>
          <w:tcPr>
            <w:tcW w:w="100" w:type="dxa"/>
            <w:vAlign w:val="bottom"/>
            <w:tcBorders>
              <w:bottom w:val="single" w:sz="8" w:color="CFF0FC"/>
            </w:tcBorders>
          </w:tcPr>
          <w:p>
            <w:pPr>
              <w:spacing w:after="0"/>
              <w:rPr>
                <w:sz w:val="20"/>
                <w:szCs w:val="20"/>
                <w:color w:val="auto"/>
              </w:rPr>
            </w:pPr>
          </w:p>
        </w:tc>
      </w:tr>
      <w:tr>
        <w:trPr>
          <w:trHeight w:val="237"/>
        </w:trPr>
        <w:tc>
          <w:tcPr>
            <w:tcW w:w="4320" w:type="dxa"/>
            <w:vAlign w:val="bottom"/>
            <w:shd w:val="clear" w:color="auto" w:fill="CFF0FC"/>
          </w:tcPr>
          <w:p>
            <w:pPr>
              <w:spacing w:after="0"/>
              <w:rPr>
                <w:sz w:val="20"/>
                <w:szCs w:val="20"/>
                <w:color w:val="auto"/>
              </w:rPr>
            </w:pPr>
            <w:r>
              <w:rPr>
                <w:rFonts w:ascii="Arial" w:cs="Arial" w:eastAsia="Arial" w:hAnsi="Arial"/>
                <w:sz w:val="18"/>
                <w:szCs w:val="18"/>
                <w:color w:val="auto"/>
              </w:rPr>
              <w:t>International Financial Data Services L.P.</w:t>
            </w:r>
          </w:p>
        </w:tc>
        <w:tc>
          <w:tcPr>
            <w:tcW w:w="2340" w:type="dxa"/>
            <w:vAlign w:val="bottom"/>
            <w:gridSpan w:val="2"/>
            <w:shd w:val="clear" w:color="auto" w:fill="CFF0FC"/>
          </w:tcPr>
          <w:p>
            <w:pPr>
              <w:jc w:val="right"/>
              <w:ind w:right="1079"/>
              <w:spacing w:after="0"/>
              <w:rPr>
                <w:sz w:val="20"/>
                <w:szCs w:val="20"/>
                <w:color w:val="auto"/>
              </w:rPr>
            </w:pPr>
            <w:r>
              <w:rPr>
                <w:rFonts w:ascii="Arial" w:cs="Arial" w:eastAsia="Arial" w:hAnsi="Arial"/>
                <w:sz w:val="18"/>
                <w:szCs w:val="18"/>
                <w:color w:val="auto"/>
              </w:rPr>
              <w:t>$</w:t>
            </w:r>
          </w:p>
        </w:tc>
        <w:tc>
          <w:tcPr>
            <w:tcW w:w="8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1.6</w:t>
            </w:r>
          </w:p>
        </w:tc>
        <w:tc>
          <w:tcPr>
            <w:tcW w:w="320" w:type="dxa"/>
            <w:vAlign w:val="bottom"/>
            <w:shd w:val="clear" w:color="auto" w:fill="CFF0FC"/>
          </w:tcPr>
          <w:p>
            <w:pPr>
              <w:spacing w:after="0"/>
              <w:rPr>
                <w:sz w:val="20"/>
                <w:szCs w:val="20"/>
                <w:color w:val="auto"/>
              </w:rPr>
            </w:pPr>
          </w:p>
        </w:tc>
        <w:tc>
          <w:tcPr>
            <w:tcW w:w="860" w:type="dxa"/>
            <w:vAlign w:val="bottom"/>
            <w:shd w:val="clear" w:color="auto" w:fill="CFF0FC"/>
          </w:tcPr>
          <w:p>
            <w:pPr>
              <w:jc w:val="right"/>
              <w:ind w:right="707"/>
              <w:spacing w:after="0"/>
              <w:rPr>
                <w:sz w:val="20"/>
                <w:szCs w:val="20"/>
                <w:color w:val="auto"/>
              </w:rPr>
            </w:pPr>
            <w:r>
              <w:rPr>
                <w:rFonts w:ascii="Arial" w:cs="Arial" w:eastAsia="Arial" w:hAnsi="Arial"/>
                <w:sz w:val="15"/>
                <w:szCs w:val="15"/>
                <w:color w:val="auto"/>
                <w:w w:val="71"/>
              </w:rPr>
              <w:t>$</w:t>
            </w:r>
          </w:p>
        </w:tc>
        <w:tc>
          <w:tcPr>
            <w:tcW w:w="12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0.7</w:t>
            </w:r>
          </w:p>
        </w:tc>
        <w:tc>
          <w:tcPr>
            <w:tcW w:w="100" w:type="dxa"/>
            <w:vAlign w:val="bottom"/>
            <w:shd w:val="clear" w:color="auto" w:fill="CFF0FC"/>
          </w:tcPr>
          <w:p>
            <w:pPr>
              <w:spacing w:after="0"/>
              <w:rPr>
                <w:sz w:val="20"/>
                <w:szCs w:val="20"/>
                <w:color w:val="auto"/>
              </w:rPr>
            </w:pPr>
          </w:p>
        </w:tc>
      </w:tr>
      <w:tr>
        <w:trPr>
          <w:trHeight w:val="243"/>
        </w:trPr>
        <w:tc>
          <w:tcPr>
            <w:tcW w:w="4320" w:type="dxa"/>
            <w:vAlign w:val="bottom"/>
          </w:tcPr>
          <w:p>
            <w:pPr>
              <w:spacing w:after="0"/>
              <w:rPr>
                <w:sz w:val="20"/>
                <w:szCs w:val="20"/>
                <w:color w:val="auto"/>
              </w:rPr>
            </w:pPr>
            <w:r>
              <w:rPr>
                <w:rFonts w:ascii="Arial" w:cs="Arial" w:eastAsia="Arial" w:hAnsi="Arial"/>
                <w:sz w:val="18"/>
                <w:szCs w:val="18"/>
                <w:color w:val="auto"/>
              </w:rPr>
              <w:t>Pershing Road Development Company, LLC</w:t>
            </w:r>
          </w:p>
        </w:tc>
        <w:tc>
          <w:tcPr>
            <w:tcW w:w="1080" w:type="dxa"/>
            <w:vAlign w:val="bottom"/>
          </w:tcPr>
          <w:p>
            <w:pPr>
              <w:spacing w:after="0"/>
              <w:rPr>
                <w:sz w:val="21"/>
                <w:szCs w:val="21"/>
                <w:color w:val="auto"/>
              </w:rPr>
            </w:pPr>
          </w:p>
        </w:tc>
        <w:tc>
          <w:tcPr>
            <w:tcW w:w="1260" w:type="dxa"/>
            <w:vAlign w:val="bottom"/>
          </w:tcPr>
          <w:p>
            <w:pPr>
              <w:spacing w:after="0"/>
              <w:rPr>
                <w:sz w:val="21"/>
                <w:szCs w:val="21"/>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0.9</w:t>
            </w:r>
          </w:p>
        </w:tc>
        <w:tc>
          <w:tcPr>
            <w:tcW w:w="320" w:type="dxa"/>
            <w:vAlign w:val="bottom"/>
          </w:tcPr>
          <w:p>
            <w:pPr>
              <w:spacing w:after="0"/>
              <w:rPr>
                <w:sz w:val="21"/>
                <w:szCs w:val="21"/>
                <w:color w:val="auto"/>
              </w:rPr>
            </w:pPr>
          </w:p>
        </w:tc>
        <w:tc>
          <w:tcPr>
            <w:tcW w:w="860" w:type="dxa"/>
            <w:vAlign w:val="bottom"/>
          </w:tcPr>
          <w:p>
            <w:pPr>
              <w:spacing w:after="0"/>
              <w:rPr>
                <w:sz w:val="21"/>
                <w:szCs w:val="21"/>
                <w:color w:val="auto"/>
              </w:rPr>
            </w:pPr>
          </w:p>
        </w:tc>
        <w:tc>
          <w:tcPr>
            <w:tcW w:w="1280" w:type="dxa"/>
            <w:vAlign w:val="bottom"/>
          </w:tcPr>
          <w:p>
            <w:pPr>
              <w:jc w:val="right"/>
              <w:spacing w:after="0"/>
              <w:rPr>
                <w:sz w:val="20"/>
                <w:szCs w:val="20"/>
                <w:color w:val="auto"/>
              </w:rPr>
            </w:pPr>
            <w:r>
              <w:rPr>
                <w:rFonts w:ascii="Arial" w:cs="Arial" w:eastAsia="Arial" w:hAnsi="Arial"/>
                <w:sz w:val="18"/>
                <w:szCs w:val="18"/>
                <w:color w:val="auto"/>
              </w:rPr>
              <w:t>0.7</w:t>
            </w:r>
          </w:p>
        </w:tc>
        <w:tc>
          <w:tcPr>
            <w:tcW w:w="100" w:type="dxa"/>
            <w:vAlign w:val="bottom"/>
          </w:tcPr>
          <w:p>
            <w:pPr>
              <w:spacing w:after="0"/>
              <w:rPr>
                <w:sz w:val="21"/>
                <w:szCs w:val="21"/>
                <w:color w:val="auto"/>
              </w:rPr>
            </w:pPr>
          </w:p>
        </w:tc>
      </w:tr>
      <w:tr>
        <w:trPr>
          <w:trHeight w:val="243"/>
        </w:trPr>
        <w:tc>
          <w:tcPr>
            <w:tcW w:w="4320" w:type="dxa"/>
            <w:vAlign w:val="bottom"/>
            <w:shd w:val="clear" w:color="auto" w:fill="CFF0FC"/>
          </w:tcPr>
          <w:p>
            <w:pPr>
              <w:spacing w:after="0"/>
              <w:rPr>
                <w:sz w:val="20"/>
                <w:szCs w:val="20"/>
                <w:color w:val="auto"/>
              </w:rPr>
            </w:pPr>
            <w:r>
              <w:rPr>
                <w:rFonts w:ascii="Arial" w:cs="Arial" w:eastAsia="Arial" w:hAnsi="Arial"/>
                <w:sz w:val="18"/>
                <w:szCs w:val="18"/>
                <w:color w:val="auto"/>
              </w:rPr>
              <w:t>Broadway Square Partners, LLP</w:t>
            </w:r>
          </w:p>
        </w:tc>
        <w:tc>
          <w:tcPr>
            <w:tcW w:w="1080" w:type="dxa"/>
            <w:vAlign w:val="bottom"/>
            <w:shd w:val="clear" w:color="auto" w:fill="CFF0FC"/>
          </w:tcPr>
          <w:p>
            <w:pPr>
              <w:spacing w:after="0"/>
              <w:rPr>
                <w:sz w:val="21"/>
                <w:szCs w:val="21"/>
                <w:color w:val="auto"/>
              </w:rPr>
            </w:pPr>
          </w:p>
        </w:tc>
        <w:tc>
          <w:tcPr>
            <w:tcW w:w="1260" w:type="dxa"/>
            <w:vAlign w:val="bottom"/>
            <w:shd w:val="clear" w:color="auto" w:fill="CFF0FC"/>
          </w:tcPr>
          <w:p>
            <w:pPr>
              <w:spacing w:after="0"/>
              <w:rPr>
                <w:sz w:val="21"/>
                <w:szCs w:val="21"/>
                <w:color w:val="auto"/>
              </w:rPr>
            </w:pPr>
          </w:p>
        </w:tc>
        <w:tc>
          <w:tcPr>
            <w:tcW w:w="8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0.4</w:t>
            </w:r>
          </w:p>
        </w:tc>
        <w:tc>
          <w:tcPr>
            <w:tcW w:w="320" w:type="dxa"/>
            <w:vAlign w:val="bottom"/>
            <w:shd w:val="clear" w:color="auto" w:fill="CFF0FC"/>
          </w:tcPr>
          <w:p>
            <w:pPr>
              <w:spacing w:after="0"/>
              <w:rPr>
                <w:sz w:val="21"/>
                <w:szCs w:val="21"/>
                <w:color w:val="auto"/>
              </w:rPr>
            </w:pPr>
          </w:p>
        </w:tc>
        <w:tc>
          <w:tcPr>
            <w:tcW w:w="860" w:type="dxa"/>
            <w:vAlign w:val="bottom"/>
            <w:shd w:val="clear" w:color="auto" w:fill="CFF0FC"/>
          </w:tcPr>
          <w:p>
            <w:pPr>
              <w:spacing w:after="0"/>
              <w:rPr>
                <w:sz w:val="21"/>
                <w:szCs w:val="21"/>
                <w:color w:val="auto"/>
              </w:rPr>
            </w:pPr>
          </w:p>
        </w:tc>
        <w:tc>
          <w:tcPr>
            <w:tcW w:w="12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0.3</w:t>
            </w:r>
          </w:p>
        </w:tc>
        <w:tc>
          <w:tcPr>
            <w:tcW w:w="100" w:type="dxa"/>
            <w:vAlign w:val="bottom"/>
            <w:shd w:val="clear" w:color="auto" w:fill="CFF0FC"/>
          </w:tcPr>
          <w:p>
            <w:pPr>
              <w:spacing w:after="0"/>
              <w:rPr>
                <w:sz w:val="21"/>
                <w:szCs w:val="21"/>
                <w:color w:val="auto"/>
              </w:rPr>
            </w:pPr>
          </w:p>
        </w:tc>
      </w:tr>
      <w:tr>
        <w:trPr>
          <w:trHeight w:val="243"/>
        </w:trPr>
        <w:tc>
          <w:tcPr>
            <w:tcW w:w="4320" w:type="dxa"/>
            <w:vAlign w:val="bottom"/>
          </w:tcPr>
          <w:p>
            <w:pPr>
              <w:spacing w:after="0"/>
              <w:rPr>
                <w:sz w:val="20"/>
                <w:szCs w:val="20"/>
                <w:color w:val="auto"/>
              </w:rPr>
            </w:pPr>
            <w:r>
              <w:rPr>
                <w:rFonts w:ascii="Arial" w:cs="Arial" w:eastAsia="Arial" w:hAnsi="Arial"/>
                <w:sz w:val="18"/>
                <w:szCs w:val="18"/>
                <w:color w:val="auto"/>
              </w:rPr>
              <w:t>Other unconsolidated affiliates</w:t>
            </w:r>
          </w:p>
        </w:tc>
        <w:tc>
          <w:tcPr>
            <w:tcW w:w="1080" w:type="dxa"/>
            <w:vAlign w:val="bottom"/>
          </w:tcPr>
          <w:p>
            <w:pPr>
              <w:spacing w:after="0"/>
              <w:rPr>
                <w:sz w:val="21"/>
                <w:szCs w:val="21"/>
                <w:color w:val="auto"/>
              </w:rPr>
            </w:pPr>
          </w:p>
        </w:tc>
        <w:tc>
          <w:tcPr>
            <w:tcW w:w="1260" w:type="dxa"/>
            <w:vAlign w:val="bottom"/>
          </w:tcPr>
          <w:p>
            <w:pPr>
              <w:spacing w:after="0"/>
              <w:rPr>
                <w:sz w:val="21"/>
                <w:szCs w:val="21"/>
                <w:color w:val="auto"/>
              </w:rPr>
            </w:pPr>
          </w:p>
        </w:tc>
        <w:tc>
          <w:tcPr>
            <w:tcW w:w="1200" w:type="dxa"/>
            <w:vAlign w:val="bottom"/>
            <w:gridSpan w:val="2"/>
          </w:tcPr>
          <w:p>
            <w:pPr>
              <w:jc w:val="right"/>
              <w:ind w:right="260"/>
              <w:spacing w:after="0"/>
              <w:rPr>
                <w:sz w:val="20"/>
                <w:szCs w:val="20"/>
                <w:color w:val="auto"/>
              </w:rPr>
            </w:pPr>
            <w:r>
              <w:rPr>
                <w:rFonts w:ascii="Arial" w:cs="Arial" w:eastAsia="Arial" w:hAnsi="Arial"/>
                <w:sz w:val="18"/>
                <w:szCs w:val="18"/>
                <w:color w:val="auto"/>
              </w:rPr>
              <w:t>(2.6)</w:t>
            </w:r>
          </w:p>
        </w:tc>
        <w:tc>
          <w:tcPr>
            <w:tcW w:w="860" w:type="dxa"/>
            <w:vAlign w:val="bottom"/>
          </w:tcPr>
          <w:p>
            <w:pPr>
              <w:spacing w:after="0"/>
              <w:rPr>
                <w:sz w:val="21"/>
                <w:szCs w:val="21"/>
                <w:color w:val="auto"/>
              </w:rPr>
            </w:pPr>
          </w:p>
        </w:tc>
        <w:tc>
          <w:tcPr>
            <w:tcW w:w="1380" w:type="dxa"/>
            <w:vAlign w:val="bottom"/>
            <w:gridSpan w:val="2"/>
          </w:tcPr>
          <w:p>
            <w:pPr>
              <w:jc w:val="right"/>
              <w:ind w:right="40"/>
              <w:spacing w:after="0"/>
              <w:rPr>
                <w:sz w:val="20"/>
                <w:szCs w:val="20"/>
                <w:color w:val="auto"/>
              </w:rPr>
            </w:pPr>
            <w:r>
              <w:rPr>
                <w:rFonts w:ascii="Arial" w:cs="Arial" w:eastAsia="Arial" w:hAnsi="Arial"/>
                <w:sz w:val="18"/>
                <w:szCs w:val="18"/>
                <w:color w:val="auto"/>
              </w:rPr>
              <w:t>(1.0)</w:t>
            </w:r>
          </w:p>
        </w:tc>
      </w:tr>
      <w:tr>
        <w:trPr>
          <w:trHeight w:val="237"/>
        </w:trPr>
        <w:tc>
          <w:tcPr>
            <w:tcW w:w="4320" w:type="dxa"/>
            <w:vAlign w:val="bottom"/>
            <w:tcBorders>
              <w:top w:val="single" w:sz="8" w:color="CFF0FC"/>
              <w:bottom w:val="single" w:sz="8" w:color="CFF0FC"/>
            </w:tcBorders>
            <w:shd w:val="clear" w:color="auto" w:fill="CFF0FC"/>
          </w:tcPr>
          <w:p>
            <w:pPr>
              <w:ind w:left="120"/>
              <w:spacing w:after="0"/>
              <w:rPr>
                <w:sz w:val="20"/>
                <w:szCs w:val="20"/>
                <w:color w:val="auto"/>
              </w:rPr>
            </w:pPr>
            <w:r>
              <w:rPr>
                <w:rFonts w:ascii="Arial" w:cs="Arial" w:eastAsia="Arial" w:hAnsi="Arial"/>
                <w:sz w:val="18"/>
                <w:szCs w:val="18"/>
                <w:color w:val="auto"/>
              </w:rPr>
              <w:t>Total</w:t>
            </w:r>
          </w:p>
        </w:tc>
        <w:tc>
          <w:tcPr>
            <w:tcW w:w="1080" w:type="dxa"/>
            <w:vAlign w:val="bottom"/>
            <w:tcBorders>
              <w:top w:val="single" w:sz="8" w:color="CFF0FC"/>
              <w:bottom w:val="single" w:sz="8" w:color="CFF0FC"/>
            </w:tcBorders>
            <w:shd w:val="clear" w:color="auto" w:fill="CFF0FC"/>
          </w:tcPr>
          <w:p>
            <w:pPr>
              <w:spacing w:after="0"/>
              <w:rPr>
                <w:sz w:val="20"/>
                <w:szCs w:val="20"/>
                <w:color w:val="auto"/>
              </w:rPr>
            </w:pPr>
          </w:p>
        </w:tc>
        <w:tc>
          <w:tcPr>
            <w:tcW w:w="1260" w:type="dxa"/>
            <w:vAlign w:val="bottom"/>
            <w:tcBorders>
              <w:top w:val="single" w:sz="8" w:color="auto"/>
              <w:bottom w:val="single" w:sz="8" w:color="auto"/>
            </w:tcBorders>
            <w:shd w:val="clear" w:color="auto" w:fill="CFF0FC"/>
          </w:tcPr>
          <w:p>
            <w:pPr>
              <w:jc w:val="right"/>
              <w:ind w:right="1079"/>
              <w:spacing w:after="0"/>
              <w:rPr>
                <w:sz w:val="20"/>
                <w:szCs w:val="20"/>
                <w:color w:val="auto"/>
              </w:rPr>
            </w:pPr>
            <w:r>
              <w:rPr>
                <w:rFonts w:ascii="Arial" w:cs="Arial" w:eastAsia="Arial" w:hAnsi="Arial"/>
                <w:sz w:val="18"/>
                <w:szCs w:val="18"/>
                <w:color w:val="auto"/>
                <w:w w:val="79"/>
              </w:rPr>
              <w:t>$</w:t>
            </w:r>
          </w:p>
        </w:tc>
        <w:tc>
          <w:tcPr>
            <w:tcW w:w="88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0.3</w:t>
            </w:r>
          </w:p>
        </w:tc>
        <w:tc>
          <w:tcPr>
            <w:tcW w:w="320" w:type="dxa"/>
            <w:vAlign w:val="bottom"/>
            <w:tcBorders>
              <w:top w:val="single" w:sz="8" w:color="CFF0FC"/>
              <w:bottom w:val="single" w:sz="8" w:color="CFF0FC"/>
            </w:tcBorders>
            <w:shd w:val="clear" w:color="auto" w:fill="CFF0FC"/>
          </w:tcPr>
          <w:p>
            <w:pPr>
              <w:spacing w:after="0"/>
              <w:rPr>
                <w:sz w:val="20"/>
                <w:szCs w:val="20"/>
                <w:color w:val="auto"/>
              </w:rPr>
            </w:pPr>
          </w:p>
        </w:tc>
        <w:tc>
          <w:tcPr>
            <w:tcW w:w="860" w:type="dxa"/>
            <w:vAlign w:val="bottom"/>
            <w:tcBorders>
              <w:top w:val="single" w:sz="8" w:color="auto"/>
              <w:bottom w:val="single" w:sz="8" w:color="auto"/>
            </w:tcBorders>
            <w:shd w:val="clear" w:color="auto" w:fill="CFF0FC"/>
          </w:tcPr>
          <w:p>
            <w:pPr>
              <w:jc w:val="right"/>
              <w:ind w:right="707"/>
              <w:spacing w:after="0"/>
              <w:rPr>
                <w:sz w:val="20"/>
                <w:szCs w:val="20"/>
                <w:color w:val="auto"/>
              </w:rPr>
            </w:pPr>
            <w:r>
              <w:rPr>
                <w:rFonts w:ascii="Arial" w:cs="Arial" w:eastAsia="Arial" w:hAnsi="Arial"/>
                <w:sz w:val="15"/>
                <w:szCs w:val="15"/>
                <w:color w:val="auto"/>
                <w:w w:val="71"/>
              </w:rPr>
              <w:t>$</w:t>
            </w:r>
          </w:p>
        </w:tc>
        <w:tc>
          <w:tcPr>
            <w:tcW w:w="128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0.7</w:t>
            </w:r>
          </w:p>
        </w:tc>
        <w:tc>
          <w:tcPr>
            <w:tcW w:w="100" w:type="dxa"/>
            <w:vAlign w:val="bottom"/>
            <w:tcBorders>
              <w:top w:val="single" w:sz="8" w:color="CFF0FC"/>
              <w:bottom w:val="single" w:sz="8" w:color="CFF0FC"/>
            </w:tcBorders>
            <w:shd w:val="clear" w:color="auto" w:fill="CFF0FC"/>
          </w:tcPr>
          <w:p>
            <w:pPr>
              <w:spacing w:after="0"/>
              <w:rPr>
                <w:sz w:val="20"/>
                <w:szCs w:val="20"/>
                <w:color w:val="auto"/>
              </w:rPr>
            </w:pPr>
          </w:p>
        </w:tc>
      </w:tr>
      <w:tr>
        <w:trPr>
          <w:trHeight w:val="20"/>
        </w:trPr>
        <w:tc>
          <w:tcPr>
            <w:tcW w:w="4320" w:type="dxa"/>
            <w:vAlign w:val="bottom"/>
          </w:tcPr>
          <w:p>
            <w:pPr>
              <w:spacing w:after="0" w:line="20" w:lineRule="exact"/>
              <w:rPr>
                <w:sz w:val="1"/>
                <w:szCs w:val="1"/>
                <w:color w:val="auto"/>
              </w:rPr>
            </w:pPr>
          </w:p>
        </w:tc>
        <w:tc>
          <w:tcPr>
            <w:tcW w:w="1080" w:type="dxa"/>
            <w:vAlign w:val="bottom"/>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12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19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5—Acquisitions</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Capita</w:t>
      </w:r>
    </w:p>
    <w:p>
      <w:pPr>
        <w:spacing w:after="0" w:line="23" w:lineRule="exact"/>
        <w:rPr>
          <w:sz w:val="20"/>
          <w:szCs w:val="20"/>
          <w:color w:val="auto"/>
        </w:rPr>
      </w:pPr>
    </w:p>
    <w:p>
      <w:pPr>
        <w:ind w:right="20" w:firstLine="749"/>
        <w:spacing w:after="0" w:line="253" w:lineRule="auto"/>
        <w:rPr>
          <w:sz w:val="20"/>
          <w:szCs w:val="20"/>
          <w:color w:val="auto"/>
        </w:rPr>
      </w:pPr>
      <w:r>
        <w:rPr>
          <w:rFonts w:ascii="Arial" w:cs="Arial" w:eastAsia="Arial" w:hAnsi="Arial"/>
          <w:sz w:val="18"/>
          <w:szCs w:val="18"/>
          <w:color w:val="auto"/>
        </w:rPr>
        <w:t>On March 1, 2021, we purchased all of the outstanding stock of Capita Life &amp; Pensions Services (Ireland) Limited (“Capita”) and certain related businesses. The acquisition of Capita resulted in a net receipt of approximately $7.1 million in cash, as the amount of cash acquired exceeded the cash paid consideration. Capita provides business process management, technology and consultancy services to the international life and pensions sector. Services offered include financial and back-office administration, claims management, actuarial and financial reporting, investment administration, product and IT development and business transformation services.</w:t>
      </w:r>
    </w:p>
    <w:p>
      <w:pPr>
        <w:spacing w:after="0" w:line="191" w:lineRule="exact"/>
        <w:rPr>
          <w:sz w:val="20"/>
          <w:szCs w:val="20"/>
          <w:color w:val="auto"/>
        </w:rPr>
      </w:pPr>
    </w:p>
    <w:p>
      <w:pPr>
        <w:ind w:right="580" w:firstLine="749"/>
        <w:spacing w:after="0" w:line="277" w:lineRule="auto"/>
        <w:rPr>
          <w:sz w:val="20"/>
          <w:szCs w:val="20"/>
          <w:color w:val="auto"/>
        </w:rPr>
      </w:pPr>
      <w:r>
        <w:rPr>
          <w:rFonts w:ascii="Arial" w:cs="Arial" w:eastAsia="Arial" w:hAnsi="Arial"/>
          <w:sz w:val="18"/>
          <w:szCs w:val="18"/>
          <w:color w:val="auto"/>
        </w:rPr>
        <w:t>The net assets and results of operations of Capita have been included in our Condensed Consolidated Financial Statements from March 1, 2021. The excess of fair values of the net assets over the purchase price was recorded as a gain on bargain purchase.</w:t>
      </w:r>
    </w:p>
    <w:p>
      <w:pPr>
        <w:spacing w:after="0" w:line="170" w:lineRule="exact"/>
        <w:rPr>
          <w:sz w:val="20"/>
          <w:szCs w:val="20"/>
          <w:color w:val="auto"/>
        </w:rPr>
      </w:pPr>
    </w:p>
    <w:p>
      <w:pPr>
        <w:ind w:right="440" w:firstLine="749"/>
        <w:spacing w:after="0" w:line="277" w:lineRule="auto"/>
        <w:rPr>
          <w:sz w:val="20"/>
          <w:szCs w:val="20"/>
          <w:color w:val="auto"/>
        </w:rPr>
      </w:pPr>
      <w:r>
        <w:rPr>
          <w:rFonts w:ascii="Arial" w:cs="Arial" w:eastAsia="Arial" w:hAnsi="Arial"/>
          <w:sz w:val="18"/>
          <w:szCs w:val="18"/>
          <w:color w:val="auto"/>
        </w:rPr>
        <w:t>There are $3.7 million in revenues from Capita’s operations included in the Condensed Consolidated Statements of Comprehensive Income (Loss) for the three months ended March 31, 2021.</w:t>
      </w:r>
    </w:p>
    <w:p>
      <w:pPr>
        <w:spacing w:after="0" w:line="170" w:lineRule="exact"/>
        <w:rPr>
          <w:sz w:val="20"/>
          <w:szCs w:val="20"/>
          <w:color w:val="auto"/>
        </w:rPr>
      </w:pPr>
    </w:p>
    <w:p>
      <w:pPr>
        <w:ind w:right="120" w:firstLine="749"/>
        <w:spacing w:after="0" w:line="277" w:lineRule="auto"/>
        <w:rPr>
          <w:sz w:val="20"/>
          <w:szCs w:val="20"/>
          <w:color w:val="auto"/>
        </w:rPr>
      </w:pPr>
      <w:r>
        <w:rPr>
          <w:rFonts w:ascii="Arial" w:cs="Arial" w:eastAsia="Arial" w:hAnsi="Arial"/>
          <w:sz w:val="18"/>
          <w:szCs w:val="18"/>
          <w:color w:val="auto"/>
        </w:rPr>
        <w:t>The following summarizes the preliminary allocation of the purchase price for the 2021 acquisition of Capita. The assets and liabilities pending finalization include the valuation of acquired tangible assets and the evaluation of taxes (in millions):</w:t>
      </w:r>
    </w:p>
    <w:p>
      <w:pPr>
        <w:spacing w:after="0" w:line="243"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884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1680" w:type="dxa"/>
            <w:vAlign w:val="bottom"/>
            <w:gridSpan w:val="2"/>
          </w:tcPr>
          <w:p>
            <w:pPr>
              <w:jc w:val="right"/>
              <w:ind w:right="900"/>
              <w:spacing w:after="0"/>
              <w:rPr>
                <w:sz w:val="20"/>
                <w:szCs w:val="20"/>
                <w:color w:val="auto"/>
              </w:rPr>
            </w:pPr>
            <w:r>
              <w:rPr>
                <w:rFonts w:ascii="Arial" w:cs="Arial" w:eastAsia="Arial" w:hAnsi="Arial"/>
                <w:sz w:val="14"/>
                <w:szCs w:val="14"/>
                <w:b w:val="1"/>
                <w:bCs w:val="1"/>
                <w:color w:val="auto"/>
              </w:rPr>
              <w:t>Capita</w:t>
            </w:r>
          </w:p>
        </w:tc>
        <w:tc>
          <w:tcPr>
            <w:tcW w:w="0" w:type="dxa"/>
            <w:vAlign w:val="bottom"/>
          </w:tcPr>
          <w:p>
            <w:pPr>
              <w:spacing w:after="0"/>
              <w:rPr>
                <w:sz w:val="1"/>
                <w:szCs w:val="1"/>
                <w:color w:val="auto"/>
              </w:rPr>
            </w:pPr>
          </w:p>
        </w:tc>
      </w:tr>
      <w:tr>
        <w:trPr>
          <w:trHeight w:val="223"/>
        </w:trPr>
        <w:tc>
          <w:tcPr>
            <w:tcW w:w="8840" w:type="dxa"/>
            <w:vAlign w:val="bottom"/>
            <w:tcBorders>
              <w:top w:val="single" w:sz="8" w:color="CFF0FC"/>
            </w:tcBorders>
            <w:shd w:val="clear" w:color="auto" w:fill="CFF0FC"/>
          </w:tcPr>
          <w:p>
            <w:pPr>
              <w:spacing w:after="0"/>
              <w:rPr>
                <w:sz w:val="20"/>
                <w:szCs w:val="20"/>
                <w:color w:val="auto"/>
              </w:rPr>
            </w:pPr>
            <w:r>
              <w:rPr>
                <w:rFonts w:ascii="Arial" w:cs="Arial" w:eastAsia="Arial" w:hAnsi="Arial"/>
                <w:sz w:val="18"/>
                <w:szCs w:val="18"/>
                <w:color w:val="auto"/>
              </w:rPr>
              <w:t>Accounts receivable</w:t>
            </w:r>
          </w:p>
        </w:tc>
        <w:tc>
          <w:tcPr>
            <w:tcW w:w="440" w:type="dxa"/>
            <w:vAlign w:val="bottom"/>
            <w:tcBorders>
              <w:top w:val="single" w:sz="8" w:color="auto"/>
            </w:tcBorders>
            <w:shd w:val="clear" w:color="auto" w:fill="CFF0FC"/>
          </w:tcPr>
          <w:p>
            <w:pPr>
              <w:jc w:val="right"/>
              <w:ind w:right="287"/>
              <w:spacing w:after="0"/>
              <w:rPr>
                <w:sz w:val="20"/>
                <w:szCs w:val="20"/>
                <w:color w:val="auto"/>
              </w:rPr>
            </w:pPr>
            <w:r>
              <w:rPr>
                <w:rFonts w:ascii="Arial" w:cs="Arial" w:eastAsia="Arial" w:hAnsi="Arial"/>
                <w:sz w:val="15"/>
                <w:szCs w:val="15"/>
                <w:color w:val="auto"/>
                <w:w w:val="71"/>
              </w:rPr>
              <w:t>$</w:t>
            </w:r>
          </w:p>
        </w:tc>
        <w:tc>
          <w:tcPr>
            <w:tcW w:w="158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3.8</w:t>
            </w:r>
          </w:p>
        </w:tc>
        <w:tc>
          <w:tcPr>
            <w:tcW w:w="100" w:type="dxa"/>
            <w:vAlign w:val="bottom"/>
            <w:tcBorders>
              <w:top w:val="single" w:sz="8" w:color="CFF0FC"/>
            </w:tcBorders>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8840" w:type="dxa"/>
            <w:vAlign w:val="bottom"/>
          </w:tcPr>
          <w:p>
            <w:pPr>
              <w:spacing w:after="0"/>
              <w:rPr>
                <w:sz w:val="20"/>
                <w:szCs w:val="20"/>
                <w:color w:val="auto"/>
              </w:rPr>
            </w:pPr>
            <w:r>
              <w:rPr>
                <w:rFonts w:ascii="Arial" w:cs="Arial" w:eastAsia="Arial" w:hAnsi="Arial"/>
                <w:sz w:val="18"/>
                <w:szCs w:val="18"/>
                <w:color w:val="auto"/>
              </w:rPr>
              <w:t>Fixed assets</w:t>
            </w:r>
          </w:p>
        </w:tc>
        <w:tc>
          <w:tcPr>
            <w:tcW w:w="440" w:type="dxa"/>
            <w:vAlign w:val="bottom"/>
          </w:tcPr>
          <w:p>
            <w:pPr>
              <w:spacing w:after="0"/>
              <w:rPr>
                <w:sz w:val="19"/>
                <w:szCs w:val="19"/>
                <w:color w:val="auto"/>
              </w:rPr>
            </w:pPr>
          </w:p>
        </w:tc>
        <w:tc>
          <w:tcPr>
            <w:tcW w:w="1580" w:type="dxa"/>
            <w:vAlign w:val="bottom"/>
          </w:tcPr>
          <w:p>
            <w:pPr>
              <w:jc w:val="right"/>
              <w:spacing w:after="0"/>
              <w:rPr>
                <w:sz w:val="20"/>
                <w:szCs w:val="20"/>
                <w:color w:val="auto"/>
              </w:rPr>
            </w:pPr>
            <w:r>
              <w:rPr>
                <w:rFonts w:ascii="Arial" w:cs="Arial" w:eastAsia="Arial" w:hAnsi="Arial"/>
                <w:sz w:val="18"/>
                <w:szCs w:val="18"/>
                <w:color w:val="auto"/>
              </w:rPr>
              <w:t>0.5</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8840" w:type="dxa"/>
            <w:vAlign w:val="bottom"/>
            <w:shd w:val="clear" w:color="auto" w:fill="CFF0FC"/>
          </w:tcPr>
          <w:p>
            <w:pPr>
              <w:spacing w:after="0"/>
              <w:rPr>
                <w:sz w:val="20"/>
                <w:szCs w:val="20"/>
                <w:color w:val="auto"/>
              </w:rPr>
            </w:pPr>
            <w:r>
              <w:rPr>
                <w:rFonts w:ascii="Arial" w:cs="Arial" w:eastAsia="Arial" w:hAnsi="Arial"/>
                <w:sz w:val="18"/>
                <w:szCs w:val="18"/>
                <w:color w:val="auto"/>
              </w:rPr>
              <w:t>Other assets</w:t>
            </w:r>
          </w:p>
        </w:tc>
        <w:tc>
          <w:tcPr>
            <w:tcW w:w="440" w:type="dxa"/>
            <w:vAlign w:val="bottom"/>
            <w:shd w:val="clear" w:color="auto" w:fill="CFF0FC"/>
          </w:tcPr>
          <w:p>
            <w:pPr>
              <w:spacing w:after="0"/>
              <w:rPr>
                <w:sz w:val="19"/>
                <w:szCs w:val="19"/>
                <w:color w:val="auto"/>
              </w:rPr>
            </w:pPr>
          </w:p>
        </w:tc>
        <w:tc>
          <w:tcPr>
            <w:tcW w:w="15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5.5</w:t>
            </w: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8840" w:type="dxa"/>
            <w:vAlign w:val="bottom"/>
          </w:tcPr>
          <w:p>
            <w:pPr>
              <w:spacing w:after="0"/>
              <w:rPr>
                <w:sz w:val="20"/>
                <w:szCs w:val="20"/>
                <w:color w:val="auto"/>
              </w:rPr>
            </w:pPr>
            <w:r>
              <w:rPr>
                <w:rFonts w:ascii="Arial" w:cs="Arial" w:eastAsia="Arial" w:hAnsi="Arial"/>
                <w:sz w:val="18"/>
                <w:szCs w:val="18"/>
                <w:color w:val="auto"/>
              </w:rPr>
              <w:t>Accounts payable</w:t>
            </w:r>
          </w:p>
        </w:tc>
        <w:tc>
          <w:tcPr>
            <w:tcW w:w="440" w:type="dxa"/>
            <w:vAlign w:val="bottom"/>
          </w:tcPr>
          <w:p>
            <w:pPr>
              <w:spacing w:after="0"/>
              <w:rPr>
                <w:sz w:val="19"/>
                <w:szCs w:val="19"/>
                <w:color w:val="auto"/>
              </w:rPr>
            </w:pPr>
          </w:p>
        </w:tc>
        <w:tc>
          <w:tcPr>
            <w:tcW w:w="1680" w:type="dxa"/>
            <w:vAlign w:val="bottom"/>
            <w:gridSpan w:val="2"/>
          </w:tcPr>
          <w:p>
            <w:pPr>
              <w:jc w:val="right"/>
              <w:ind w:right="40"/>
              <w:spacing w:after="0"/>
              <w:rPr>
                <w:sz w:val="20"/>
                <w:szCs w:val="20"/>
                <w:color w:val="auto"/>
              </w:rPr>
            </w:pPr>
            <w:r>
              <w:rPr>
                <w:rFonts w:ascii="Arial" w:cs="Arial" w:eastAsia="Arial" w:hAnsi="Arial"/>
                <w:sz w:val="18"/>
                <w:szCs w:val="18"/>
                <w:color w:val="auto"/>
              </w:rPr>
              <w:t>(3.8)</w:t>
            </w:r>
          </w:p>
        </w:tc>
        <w:tc>
          <w:tcPr>
            <w:tcW w:w="0" w:type="dxa"/>
            <w:vAlign w:val="bottom"/>
          </w:tcPr>
          <w:p>
            <w:pPr>
              <w:spacing w:after="0"/>
              <w:rPr>
                <w:sz w:val="1"/>
                <w:szCs w:val="1"/>
                <w:color w:val="auto"/>
              </w:rPr>
            </w:pPr>
          </w:p>
        </w:tc>
      </w:tr>
      <w:tr>
        <w:trPr>
          <w:trHeight w:val="230"/>
        </w:trPr>
        <w:tc>
          <w:tcPr>
            <w:tcW w:w="8840" w:type="dxa"/>
            <w:vAlign w:val="bottom"/>
            <w:shd w:val="clear" w:color="auto" w:fill="CFF0FC"/>
          </w:tcPr>
          <w:p>
            <w:pPr>
              <w:spacing w:after="0"/>
              <w:rPr>
                <w:sz w:val="20"/>
                <w:szCs w:val="20"/>
                <w:color w:val="auto"/>
              </w:rPr>
            </w:pPr>
            <w:r>
              <w:rPr>
                <w:rFonts w:ascii="Arial" w:cs="Arial" w:eastAsia="Arial" w:hAnsi="Arial"/>
                <w:sz w:val="18"/>
                <w:szCs w:val="18"/>
                <w:color w:val="auto"/>
              </w:rPr>
              <w:t>Deferred revenue</w:t>
            </w:r>
          </w:p>
        </w:tc>
        <w:tc>
          <w:tcPr>
            <w:tcW w:w="440" w:type="dxa"/>
            <w:vAlign w:val="bottom"/>
            <w:shd w:val="clear" w:color="auto" w:fill="CFF0FC"/>
          </w:tcPr>
          <w:p>
            <w:pPr>
              <w:spacing w:after="0"/>
              <w:rPr>
                <w:sz w:val="19"/>
                <w:szCs w:val="19"/>
                <w:color w:val="auto"/>
              </w:rPr>
            </w:pPr>
          </w:p>
        </w:tc>
        <w:tc>
          <w:tcPr>
            <w:tcW w:w="1680" w:type="dxa"/>
            <w:vAlign w:val="bottom"/>
            <w:gridSpan w:val="2"/>
            <w:shd w:val="clear" w:color="auto" w:fill="CFF0FC"/>
          </w:tcPr>
          <w:p>
            <w:pPr>
              <w:jc w:val="right"/>
              <w:ind w:right="40"/>
              <w:spacing w:after="0"/>
              <w:rPr>
                <w:sz w:val="20"/>
                <w:szCs w:val="20"/>
                <w:color w:val="auto"/>
              </w:rPr>
            </w:pPr>
            <w:r>
              <w:rPr>
                <w:rFonts w:ascii="Arial" w:cs="Arial" w:eastAsia="Arial" w:hAnsi="Arial"/>
                <w:sz w:val="18"/>
                <w:szCs w:val="18"/>
                <w:color w:val="auto"/>
              </w:rPr>
              <w:t>(3.1)</w:t>
            </w:r>
          </w:p>
        </w:tc>
        <w:tc>
          <w:tcPr>
            <w:tcW w:w="0" w:type="dxa"/>
            <w:vAlign w:val="bottom"/>
          </w:tcPr>
          <w:p>
            <w:pPr>
              <w:spacing w:after="0"/>
              <w:rPr>
                <w:sz w:val="1"/>
                <w:szCs w:val="1"/>
                <w:color w:val="auto"/>
              </w:rPr>
            </w:pPr>
          </w:p>
        </w:tc>
      </w:tr>
      <w:tr>
        <w:trPr>
          <w:trHeight w:val="229"/>
        </w:trPr>
        <w:tc>
          <w:tcPr>
            <w:tcW w:w="8840" w:type="dxa"/>
            <w:vAlign w:val="bottom"/>
          </w:tcPr>
          <w:p>
            <w:pPr>
              <w:spacing w:after="0"/>
              <w:rPr>
                <w:sz w:val="20"/>
                <w:szCs w:val="20"/>
                <w:color w:val="auto"/>
              </w:rPr>
            </w:pPr>
            <w:r>
              <w:rPr>
                <w:rFonts w:ascii="Arial" w:cs="Arial" w:eastAsia="Arial" w:hAnsi="Arial"/>
                <w:sz w:val="18"/>
                <w:szCs w:val="18"/>
                <w:color w:val="auto"/>
              </w:rPr>
              <w:t>Other liabilities assumed</w:t>
            </w:r>
          </w:p>
        </w:tc>
        <w:tc>
          <w:tcPr>
            <w:tcW w:w="440" w:type="dxa"/>
            <w:vAlign w:val="bottom"/>
          </w:tcPr>
          <w:p>
            <w:pPr>
              <w:spacing w:after="0"/>
              <w:rPr>
                <w:sz w:val="19"/>
                <w:szCs w:val="19"/>
                <w:color w:val="auto"/>
              </w:rPr>
            </w:pPr>
          </w:p>
        </w:tc>
        <w:tc>
          <w:tcPr>
            <w:tcW w:w="1680" w:type="dxa"/>
            <w:vAlign w:val="bottom"/>
            <w:gridSpan w:val="2"/>
          </w:tcPr>
          <w:p>
            <w:pPr>
              <w:jc w:val="right"/>
              <w:ind w:right="40"/>
              <w:spacing w:after="0"/>
              <w:rPr>
                <w:sz w:val="20"/>
                <w:szCs w:val="20"/>
                <w:color w:val="auto"/>
              </w:rPr>
            </w:pPr>
            <w:r>
              <w:rPr>
                <w:rFonts w:ascii="Arial" w:cs="Arial" w:eastAsia="Arial" w:hAnsi="Arial"/>
                <w:sz w:val="18"/>
                <w:szCs w:val="18"/>
                <w:color w:val="auto"/>
              </w:rPr>
              <w:t>(7.1)</w:t>
            </w:r>
          </w:p>
        </w:tc>
        <w:tc>
          <w:tcPr>
            <w:tcW w:w="0" w:type="dxa"/>
            <w:vAlign w:val="bottom"/>
          </w:tcPr>
          <w:p>
            <w:pPr>
              <w:spacing w:after="0"/>
              <w:rPr>
                <w:sz w:val="1"/>
                <w:szCs w:val="1"/>
                <w:color w:val="auto"/>
              </w:rPr>
            </w:pPr>
          </w:p>
        </w:tc>
      </w:tr>
      <w:tr>
        <w:trPr>
          <w:trHeight w:val="230"/>
        </w:trPr>
        <w:tc>
          <w:tcPr>
            <w:tcW w:w="8840" w:type="dxa"/>
            <w:vAlign w:val="bottom"/>
            <w:shd w:val="clear" w:color="auto" w:fill="CFF0FC"/>
          </w:tcPr>
          <w:p>
            <w:pPr>
              <w:spacing w:after="0"/>
              <w:rPr>
                <w:sz w:val="20"/>
                <w:szCs w:val="20"/>
                <w:color w:val="auto"/>
              </w:rPr>
            </w:pPr>
            <w:r>
              <w:rPr>
                <w:rFonts w:ascii="Arial" w:cs="Arial" w:eastAsia="Arial" w:hAnsi="Arial"/>
                <w:sz w:val="18"/>
                <w:szCs w:val="18"/>
                <w:color w:val="auto"/>
              </w:rPr>
              <w:t>Gain on bargain purchase</w:t>
            </w:r>
          </w:p>
        </w:tc>
        <w:tc>
          <w:tcPr>
            <w:tcW w:w="440" w:type="dxa"/>
            <w:vAlign w:val="bottom"/>
            <w:shd w:val="clear" w:color="auto" w:fill="CFF0FC"/>
          </w:tcPr>
          <w:p>
            <w:pPr>
              <w:spacing w:after="0"/>
              <w:rPr>
                <w:sz w:val="19"/>
                <w:szCs w:val="19"/>
                <w:color w:val="auto"/>
              </w:rPr>
            </w:pPr>
          </w:p>
        </w:tc>
        <w:tc>
          <w:tcPr>
            <w:tcW w:w="1680" w:type="dxa"/>
            <w:vAlign w:val="bottom"/>
            <w:gridSpan w:val="2"/>
            <w:shd w:val="clear" w:color="auto" w:fill="CFF0FC"/>
          </w:tcPr>
          <w:p>
            <w:pPr>
              <w:jc w:val="right"/>
              <w:ind w:right="40"/>
              <w:spacing w:after="0"/>
              <w:rPr>
                <w:sz w:val="20"/>
                <w:szCs w:val="20"/>
                <w:color w:val="auto"/>
              </w:rPr>
            </w:pPr>
            <w:r>
              <w:rPr>
                <w:rFonts w:ascii="Arial" w:cs="Arial" w:eastAsia="Arial" w:hAnsi="Arial"/>
                <w:sz w:val="18"/>
                <w:szCs w:val="18"/>
                <w:color w:val="auto"/>
              </w:rPr>
              <w:t>(2.9)</w:t>
            </w:r>
          </w:p>
        </w:tc>
        <w:tc>
          <w:tcPr>
            <w:tcW w:w="0" w:type="dxa"/>
            <w:vAlign w:val="bottom"/>
          </w:tcPr>
          <w:p>
            <w:pPr>
              <w:spacing w:after="0"/>
              <w:rPr>
                <w:sz w:val="1"/>
                <w:szCs w:val="1"/>
                <w:color w:val="auto"/>
              </w:rPr>
            </w:pPr>
          </w:p>
        </w:tc>
      </w:tr>
      <w:tr>
        <w:trPr>
          <w:trHeight w:val="20"/>
        </w:trPr>
        <w:tc>
          <w:tcPr>
            <w:tcW w:w="8840" w:type="dxa"/>
            <w:vAlign w:val="bottom"/>
            <w:vMerge w:val="restart"/>
          </w:tcPr>
          <w:p>
            <w:pPr>
              <w:ind w:left="140"/>
              <w:spacing w:after="0"/>
              <w:rPr>
                <w:sz w:val="20"/>
                <w:szCs w:val="20"/>
                <w:color w:val="auto"/>
              </w:rPr>
            </w:pPr>
            <w:r>
              <w:rPr>
                <w:rFonts w:ascii="Arial" w:cs="Arial" w:eastAsia="Arial" w:hAnsi="Arial"/>
                <w:sz w:val="18"/>
                <w:szCs w:val="18"/>
                <w:color w:val="auto"/>
              </w:rPr>
              <w:t>Consideration paid, net of cash acquired</w:t>
            </w:r>
          </w:p>
        </w:tc>
        <w:tc>
          <w:tcPr>
            <w:tcW w:w="440" w:type="dxa"/>
            <w:vAlign w:val="bottom"/>
            <w:shd w:val="clear" w:color="auto" w:fill="000000"/>
          </w:tcPr>
          <w:p>
            <w:pPr>
              <w:spacing w:after="0" w:line="20" w:lineRule="exact"/>
              <w:rPr>
                <w:sz w:val="1"/>
                <w:szCs w:val="1"/>
                <w:color w:val="auto"/>
              </w:rPr>
            </w:pPr>
          </w:p>
        </w:tc>
        <w:tc>
          <w:tcPr>
            <w:tcW w:w="158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3"/>
        </w:trPr>
        <w:tc>
          <w:tcPr>
            <w:tcW w:w="8840" w:type="dxa"/>
            <w:vAlign w:val="bottom"/>
            <w:vMerge w:val="continue"/>
          </w:tcPr>
          <w:p>
            <w:pPr>
              <w:spacing w:after="0"/>
              <w:rPr>
                <w:sz w:val="19"/>
                <w:szCs w:val="19"/>
                <w:color w:val="auto"/>
              </w:rPr>
            </w:pPr>
          </w:p>
        </w:tc>
        <w:tc>
          <w:tcPr>
            <w:tcW w:w="440" w:type="dxa"/>
            <w:vAlign w:val="bottom"/>
          </w:tcPr>
          <w:p>
            <w:pPr>
              <w:jc w:val="right"/>
              <w:ind w:right="287"/>
              <w:spacing w:after="0"/>
              <w:rPr>
                <w:sz w:val="20"/>
                <w:szCs w:val="20"/>
                <w:color w:val="auto"/>
              </w:rPr>
            </w:pPr>
            <w:r>
              <w:rPr>
                <w:rFonts w:ascii="Arial" w:cs="Arial" w:eastAsia="Arial" w:hAnsi="Arial"/>
                <w:sz w:val="15"/>
                <w:szCs w:val="15"/>
                <w:color w:val="auto"/>
                <w:w w:val="71"/>
              </w:rPr>
              <w:t>$</w:t>
            </w:r>
          </w:p>
        </w:tc>
        <w:tc>
          <w:tcPr>
            <w:tcW w:w="1680" w:type="dxa"/>
            <w:vAlign w:val="bottom"/>
            <w:gridSpan w:val="2"/>
          </w:tcPr>
          <w:p>
            <w:pPr>
              <w:jc w:val="right"/>
              <w:ind w:right="40"/>
              <w:spacing w:after="0"/>
              <w:rPr>
                <w:sz w:val="20"/>
                <w:szCs w:val="20"/>
                <w:color w:val="auto"/>
              </w:rPr>
            </w:pPr>
            <w:r>
              <w:rPr>
                <w:rFonts w:ascii="Arial" w:cs="Arial" w:eastAsia="Arial" w:hAnsi="Arial"/>
                <w:sz w:val="18"/>
                <w:szCs w:val="18"/>
                <w:color w:val="auto"/>
              </w:rPr>
              <w:t>(7.1)</w:t>
            </w:r>
          </w:p>
        </w:tc>
        <w:tc>
          <w:tcPr>
            <w:tcW w:w="0" w:type="dxa"/>
            <w:vAlign w:val="bottom"/>
          </w:tcPr>
          <w:p>
            <w:pPr>
              <w:spacing w:after="0"/>
              <w:rPr>
                <w:sz w:val="1"/>
                <w:szCs w:val="1"/>
                <w:color w:val="auto"/>
              </w:rPr>
            </w:pPr>
          </w:p>
        </w:tc>
      </w:tr>
      <w:tr>
        <w:trPr>
          <w:trHeight w:val="20"/>
        </w:trPr>
        <w:tc>
          <w:tcPr>
            <w:tcW w:w="8840" w:type="dxa"/>
            <w:vAlign w:val="bottom"/>
          </w:tcPr>
          <w:p>
            <w:pPr>
              <w:spacing w:after="0" w:line="20" w:lineRule="exact"/>
              <w:rPr>
                <w:sz w:val="1"/>
                <w:szCs w:val="1"/>
                <w:color w:val="auto"/>
              </w:rPr>
            </w:pPr>
          </w:p>
        </w:tc>
        <w:tc>
          <w:tcPr>
            <w:tcW w:w="440" w:type="dxa"/>
            <w:vAlign w:val="bottom"/>
            <w:tcBorders>
              <w:top w:val="single" w:sz="8" w:color="auto"/>
              <w:bottom w:val="single" w:sz="8" w:color="auto"/>
            </w:tcBorders>
          </w:tcPr>
          <w:p>
            <w:pPr>
              <w:spacing w:after="0" w:line="20" w:lineRule="exact"/>
              <w:rPr>
                <w:sz w:val="1"/>
                <w:szCs w:val="1"/>
                <w:color w:val="auto"/>
              </w:rPr>
            </w:pPr>
          </w:p>
        </w:tc>
        <w:tc>
          <w:tcPr>
            <w:tcW w:w="15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2" w:lineRule="exact"/>
        <w:rPr>
          <w:sz w:val="20"/>
          <w:szCs w:val="20"/>
          <w:color w:val="auto"/>
        </w:rPr>
      </w:pPr>
    </w:p>
    <w:p>
      <w:pPr>
        <w:ind w:right="100" w:firstLine="749"/>
        <w:spacing w:after="0" w:line="259" w:lineRule="auto"/>
        <w:rPr>
          <w:sz w:val="20"/>
          <w:szCs w:val="20"/>
          <w:color w:val="auto"/>
        </w:rPr>
      </w:pPr>
      <w:r>
        <w:rPr>
          <w:rFonts w:ascii="Arial" w:cs="Arial" w:eastAsia="Arial" w:hAnsi="Arial"/>
          <w:sz w:val="18"/>
          <w:szCs w:val="18"/>
          <w:color w:val="auto"/>
        </w:rPr>
        <w:t>We recorded severance expense related to personnel reductions in connection with the continued integration efforts associated with the acquisitions of DST and Algorithmics during the three months ended March 31, 2021 and DST, Eze and Intralinks during the three months ended March 31, 2020. The amount of severance expense recognized in our Condensed Consolidated Statements of Comprehensive Income (Loss) for the three months ended March 31, 2021 and 2020 was as follows (in millions):</w:t>
      </w:r>
    </w:p>
    <w:p>
      <w:pPr>
        <w:spacing w:after="0" w:line="214" w:lineRule="exact"/>
        <w:rPr>
          <w:sz w:val="20"/>
          <w:szCs w:val="20"/>
          <w:color w:val="auto"/>
        </w:rPr>
      </w:pPr>
    </w:p>
    <w:tbl>
      <w:tblPr>
        <w:tblLayout w:type="fixed"/>
        <w:tblInd w:w="0" w:type="dxa"/>
        <w:tblCellMar>
          <w:top w:w="0" w:type="dxa"/>
          <w:left w:w="0" w:type="dxa"/>
          <w:bottom w:w="0" w:type="dxa"/>
          <w:right w:w="0" w:type="dxa"/>
        </w:tblCellMar>
      </w:tblPr>
      <w:tr>
        <w:trPr>
          <w:trHeight w:val="210"/>
        </w:trPr>
        <w:tc>
          <w:tcPr>
            <w:tcW w:w="56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560" w:type="dxa"/>
            <w:vAlign w:val="bottom"/>
            <w:tcBorders>
              <w:bottom w:val="single" w:sz="8" w:color="auto"/>
            </w:tcBorders>
          </w:tcPr>
          <w:p>
            <w:pPr>
              <w:spacing w:after="0"/>
              <w:rPr>
                <w:sz w:val="18"/>
                <w:szCs w:val="18"/>
                <w:color w:val="auto"/>
              </w:rPr>
            </w:pPr>
          </w:p>
        </w:tc>
        <w:tc>
          <w:tcPr>
            <w:tcW w:w="3220" w:type="dxa"/>
            <w:vAlign w:val="bottom"/>
            <w:tcBorders>
              <w:bottom w:val="single" w:sz="8" w:color="auto"/>
            </w:tcBorders>
            <w:gridSpan w:val="3"/>
          </w:tcPr>
          <w:p>
            <w:pPr>
              <w:jc w:val="right"/>
              <w:spacing w:after="0"/>
              <w:rPr>
                <w:sz w:val="20"/>
                <w:szCs w:val="20"/>
                <w:color w:val="auto"/>
              </w:rPr>
            </w:pPr>
            <w:r>
              <w:rPr>
                <w:rFonts w:ascii="Arial" w:cs="Arial" w:eastAsia="Arial" w:hAnsi="Arial"/>
                <w:sz w:val="16"/>
                <w:szCs w:val="16"/>
                <w:b w:val="1"/>
                <w:bCs w:val="1"/>
                <w:color w:val="auto"/>
              </w:rPr>
              <w:t>Three Months Ended March 31,</w:t>
            </w:r>
          </w:p>
        </w:tc>
        <w:tc>
          <w:tcPr>
            <w:tcW w:w="1480" w:type="dxa"/>
            <w:vAlign w:val="bottom"/>
            <w:tcBorders>
              <w:bottom w:val="single" w:sz="8" w:color="auto"/>
            </w:tcBorders>
          </w:tcPr>
          <w:p>
            <w:pPr>
              <w:spacing w:after="0"/>
              <w:rPr>
                <w:sz w:val="18"/>
                <w:szCs w:val="18"/>
                <w:color w:val="auto"/>
              </w:rPr>
            </w:pPr>
          </w:p>
        </w:tc>
        <w:tc>
          <w:tcPr>
            <w:tcW w:w="100" w:type="dxa"/>
            <w:vAlign w:val="bottom"/>
          </w:tcPr>
          <w:p>
            <w:pPr>
              <w:spacing w:after="0"/>
              <w:rPr>
                <w:sz w:val="18"/>
                <w:szCs w:val="18"/>
                <w:color w:val="auto"/>
              </w:rPr>
            </w:pPr>
          </w:p>
        </w:tc>
      </w:tr>
      <w:tr>
        <w:trPr>
          <w:trHeight w:val="213"/>
        </w:trPr>
        <w:tc>
          <w:tcPr>
            <w:tcW w:w="5660" w:type="dxa"/>
            <w:vAlign w:val="bottom"/>
            <w:tcBorders>
              <w:bottom w:val="single" w:sz="8" w:color="auto"/>
            </w:tcBorders>
          </w:tcPr>
          <w:p>
            <w:pPr>
              <w:spacing w:after="0"/>
              <w:rPr>
                <w:sz w:val="20"/>
                <w:szCs w:val="20"/>
                <w:color w:val="auto"/>
              </w:rPr>
            </w:pPr>
            <w:r>
              <w:rPr>
                <w:rFonts w:ascii="Arial" w:cs="Arial" w:eastAsia="Arial" w:hAnsi="Arial"/>
                <w:sz w:val="16"/>
                <w:szCs w:val="16"/>
                <w:b w:val="1"/>
                <w:bCs w:val="1"/>
                <w:color w:val="auto"/>
              </w:rPr>
              <w:t>Consolidated Statements of Comprehensive Income (Loss) Classification</w:t>
            </w:r>
          </w:p>
        </w:tc>
        <w:tc>
          <w:tcPr>
            <w:tcW w:w="220" w:type="dxa"/>
            <w:vAlign w:val="bottom"/>
            <w:tcBorders>
              <w:bottom w:val="single" w:sz="8" w:color="CFF0FC"/>
            </w:tcBorders>
          </w:tcPr>
          <w:p>
            <w:pPr>
              <w:spacing w:after="0"/>
              <w:rPr>
                <w:sz w:val="18"/>
                <w:szCs w:val="18"/>
                <w:color w:val="auto"/>
              </w:rPr>
            </w:pPr>
          </w:p>
        </w:tc>
        <w:tc>
          <w:tcPr>
            <w:tcW w:w="560" w:type="dxa"/>
            <w:vAlign w:val="bottom"/>
            <w:tcBorders>
              <w:bottom w:val="single" w:sz="8" w:color="auto"/>
            </w:tcBorders>
          </w:tcPr>
          <w:p>
            <w:pPr>
              <w:spacing w:after="0"/>
              <w:rPr>
                <w:sz w:val="18"/>
                <w:szCs w:val="18"/>
                <w:color w:val="auto"/>
              </w:rPr>
            </w:pPr>
          </w:p>
        </w:tc>
        <w:tc>
          <w:tcPr>
            <w:tcW w:w="1840" w:type="dxa"/>
            <w:vAlign w:val="bottom"/>
            <w:tcBorders>
              <w:bottom w:val="single" w:sz="8" w:color="auto"/>
            </w:tcBorders>
          </w:tcPr>
          <w:p>
            <w:pPr>
              <w:jc w:val="right"/>
              <w:ind w:right="959"/>
              <w:spacing w:after="0"/>
              <w:rPr>
                <w:sz w:val="20"/>
                <w:szCs w:val="20"/>
                <w:color w:val="auto"/>
              </w:rPr>
            </w:pPr>
            <w:r>
              <w:rPr>
                <w:rFonts w:ascii="Arial" w:cs="Arial" w:eastAsia="Arial" w:hAnsi="Arial"/>
                <w:sz w:val="16"/>
                <w:szCs w:val="16"/>
                <w:b w:val="1"/>
                <w:bCs w:val="1"/>
                <w:color w:val="auto"/>
              </w:rPr>
              <w:t>2021</w:t>
            </w:r>
          </w:p>
        </w:tc>
        <w:tc>
          <w:tcPr>
            <w:tcW w:w="340" w:type="dxa"/>
            <w:vAlign w:val="bottom"/>
            <w:tcBorders>
              <w:bottom w:val="single" w:sz="8" w:color="CFF0FC"/>
            </w:tcBorders>
          </w:tcPr>
          <w:p>
            <w:pPr>
              <w:spacing w:after="0"/>
              <w:rPr>
                <w:sz w:val="18"/>
                <w:szCs w:val="18"/>
                <w:color w:val="auto"/>
              </w:rPr>
            </w:pPr>
          </w:p>
        </w:tc>
        <w:tc>
          <w:tcPr>
            <w:tcW w:w="1040" w:type="dxa"/>
            <w:vAlign w:val="bottom"/>
            <w:tcBorders>
              <w:bottom w:val="single" w:sz="8" w:color="auto"/>
            </w:tcBorders>
          </w:tcPr>
          <w:p>
            <w:pPr>
              <w:spacing w:after="0"/>
              <w:rPr>
                <w:sz w:val="18"/>
                <w:szCs w:val="18"/>
                <w:color w:val="auto"/>
              </w:rPr>
            </w:pPr>
          </w:p>
        </w:tc>
        <w:tc>
          <w:tcPr>
            <w:tcW w:w="1480" w:type="dxa"/>
            <w:vAlign w:val="bottom"/>
            <w:tcBorders>
              <w:bottom w:val="single" w:sz="8" w:color="auto"/>
            </w:tcBorders>
          </w:tcPr>
          <w:p>
            <w:pPr>
              <w:jc w:val="right"/>
              <w:ind w:right="1019"/>
              <w:spacing w:after="0"/>
              <w:rPr>
                <w:sz w:val="20"/>
                <w:szCs w:val="20"/>
                <w:color w:val="auto"/>
              </w:rPr>
            </w:pPr>
            <w:r>
              <w:rPr>
                <w:rFonts w:ascii="Arial" w:cs="Arial" w:eastAsia="Arial" w:hAnsi="Arial"/>
                <w:sz w:val="16"/>
                <w:szCs w:val="16"/>
                <w:b w:val="1"/>
                <w:bCs w:val="1"/>
                <w:color w:val="auto"/>
              </w:rPr>
              <w:t>2020</w:t>
            </w:r>
          </w:p>
        </w:tc>
        <w:tc>
          <w:tcPr>
            <w:tcW w:w="100" w:type="dxa"/>
            <w:vAlign w:val="bottom"/>
            <w:tcBorders>
              <w:bottom w:val="single" w:sz="8" w:color="CFF0FC"/>
            </w:tcBorders>
          </w:tcPr>
          <w:p>
            <w:pPr>
              <w:spacing w:after="0"/>
              <w:rPr>
                <w:sz w:val="18"/>
                <w:szCs w:val="18"/>
                <w:color w:val="auto"/>
              </w:rPr>
            </w:pPr>
          </w:p>
        </w:tc>
      </w:tr>
      <w:tr>
        <w:trPr>
          <w:trHeight w:val="212"/>
        </w:trPr>
        <w:tc>
          <w:tcPr>
            <w:tcW w:w="5660" w:type="dxa"/>
            <w:vAlign w:val="bottom"/>
            <w:shd w:val="clear" w:color="auto" w:fill="CFF0FC"/>
          </w:tcPr>
          <w:p>
            <w:pPr>
              <w:spacing w:after="0"/>
              <w:rPr>
                <w:sz w:val="20"/>
                <w:szCs w:val="20"/>
                <w:color w:val="auto"/>
              </w:rPr>
            </w:pPr>
            <w:r>
              <w:rPr>
                <w:rFonts w:ascii="Arial" w:cs="Arial" w:eastAsia="Arial" w:hAnsi="Arial"/>
                <w:sz w:val="16"/>
                <w:szCs w:val="16"/>
                <w:color w:val="auto"/>
              </w:rPr>
              <w:t>Cost of software-enabled services</w:t>
            </w:r>
          </w:p>
        </w:tc>
        <w:tc>
          <w:tcPr>
            <w:tcW w:w="780" w:type="dxa"/>
            <w:vAlign w:val="bottom"/>
            <w:gridSpan w:val="2"/>
            <w:shd w:val="clear" w:color="auto" w:fill="CFF0FC"/>
          </w:tcPr>
          <w:p>
            <w:pPr>
              <w:jc w:val="right"/>
              <w:ind w:right="480"/>
              <w:spacing w:after="0"/>
              <w:rPr>
                <w:sz w:val="20"/>
                <w:szCs w:val="20"/>
                <w:color w:val="auto"/>
              </w:rPr>
            </w:pPr>
            <w:r>
              <w:rPr>
                <w:rFonts w:ascii="Arial" w:cs="Arial" w:eastAsia="Arial" w:hAnsi="Arial"/>
                <w:sz w:val="16"/>
                <w:szCs w:val="16"/>
                <w:color w:val="auto"/>
              </w:rPr>
              <w:t>$</w:t>
            </w:r>
          </w:p>
        </w:tc>
        <w:tc>
          <w:tcPr>
            <w:tcW w:w="1840" w:type="dxa"/>
            <w:vAlign w:val="bottom"/>
            <w:shd w:val="clear" w:color="auto" w:fill="CFF0FC"/>
          </w:tcPr>
          <w:p>
            <w:pPr>
              <w:jc w:val="right"/>
              <w:spacing w:after="0"/>
              <w:rPr>
                <w:sz w:val="20"/>
                <w:szCs w:val="20"/>
                <w:color w:val="auto"/>
              </w:rPr>
            </w:pPr>
            <w:r>
              <w:rPr>
                <w:rFonts w:ascii="Arial" w:cs="Arial" w:eastAsia="Arial" w:hAnsi="Arial"/>
                <w:sz w:val="16"/>
                <w:szCs w:val="16"/>
                <w:color w:val="auto"/>
              </w:rPr>
              <w:t>14.3</w:t>
            </w:r>
          </w:p>
        </w:tc>
        <w:tc>
          <w:tcPr>
            <w:tcW w:w="340" w:type="dxa"/>
            <w:vAlign w:val="bottom"/>
            <w:shd w:val="clear" w:color="auto" w:fill="CFF0FC"/>
          </w:tcPr>
          <w:p>
            <w:pPr>
              <w:spacing w:after="0"/>
              <w:rPr>
                <w:sz w:val="18"/>
                <w:szCs w:val="18"/>
                <w:color w:val="auto"/>
              </w:rPr>
            </w:pPr>
          </w:p>
        </w:tc>
        <w:tc>
          <w:tcPr>
            <w:tcW w:w="1040" w:type="dxa"/>
            <w:vAlign w:val="bottom"/>
            <w:shd w:val="clear" w:color="auto" w:fill="CFF0FC"/>
          </w:tcPr>
          <w:p>
            <w:pPr>
              <w:jc w:val="right"/>
              <w:ind w:right="884"/>
              <w:spacing w:after="0"/>
              <w:rPr>
                <w:sz w:val="20"/>
                <w:szCs w:val="20"/>
                <w:color w:val="auto"/>
              </w:rPr>
            </w:pPr>
            <w:r>
              <w:rPr>
                <w:rFonts w:ascii="Arial" w:cs="Arial" w:eastAsia="Arial" w:hAnsi="Arial"/>
                <w:sz w:val="15"/>
                <w:szCs w:val="15"/>
                <w:color w:val="auto"/>
                <w:w w:val="71"/>
              </w:rPr>
              <w:t>$</w:t>
            </w:r>
          </w:p>
        </w:tc>
        <w:tc>
          <w:tcPr>
            <w:tcW w:w="1480" w:type="dxa"/>
            <w:vAlign w:val="bottom"/>
            <w:shd w:val="clear" w:color="auto" w:fill="CFF0FC"/>
          </w:tcPr>
          <w:p>
            <w:pPr>
              <w:jc w:val="right"/>
              <w:spacing w:after="0"/>
              <w:rPr>
                <w:sz w:val="20"/>
                <w:szCs w:val="20"/>
                <w:color w:val="auto"/>
              </w:rPr>
            </w:pPr>
            <w:r>
              <w:rPr>
                <w:rFonts w:ascii="Arial" w:cs="Arial" w:eastAsia="Arial" w:hAnsi="Arial"/>
                <w:sz w:val="16"/>
                <w:szCs w:val="16"/>
                <w:color w:val="auto"/>
              </w:rPr>
              <w:t>21.7</w:t>
            </w:r>
          </w:p>
        </w:tc>
        <w:tc>
          <w:tcPr>
            <w:tcW w:w="100" w:type="dxa"/>
            <w:vAlign w:val="bottom"/>
            <w:shd w:val="clear" w:color="auto" w:fill="CFF0FC"/>
          </w:tcPr>
          <w:p>
            <w:pPr>
              <w:spacing w:after="0"/>
              <w:rPr>
                <w:sz w:val="18"/>
                <w:szCs w:val="18"/>
                <w:color w:val="auto"/>
              </w:rPr>
            </w:pPr>
          </w:p>
        </w:tc>
      </w:tr>
      <w:tr>
        <w:trPr>
          <w:trHeight w:val="213"/>
        </w:trPr>
        <w:tc>
          <w:tcPr>
            <w:tcW w:w="5660" w:type="dxa"/>
            <w:vAlign w:val="bottom"/>
            <w:tcBorders>
              <w:bottom w:val="single" w:sz="8" w:color="CFF0FC"/>
            </w:tcBorders>
          </w:tcPr>
          <w:p>
            <w:pPr>
              <w:spacing w:after="0"/>
              <w:rPr>
                <w:sz w:val="20"/>
                <w:szCs w:val="20"/>
                <w:color w:val="auto"/>
              </w:rPr>
            </w:pPr>
            <w:r>
              <w:rPr>
                <w:rFonts w:ascii="Arial" w:cs="Arial" w:eastAsia="Arial" w:hAnsi="Arial"/>
                <w:sz w:val="16"/>
                <w:szCs w:val="16"/>
                <w:color w:val="auto"/>
              </w:rPr>
              <w:t>Cost of license, maintenance and other related</w:t>
            </w:r>
          </w:p>
        </w:tc>
        <w:tc>
          <w:tcPr>
            <w:tcW w:w="220" w:type="dxa"/>
            <w:vAlign w:val="bottom"/>
            <w:tcBorders>
              <w:bottom w:val="single" w:sz="8" w:color="CFF0FC"/>
            </w:tcBorders>
          </w:tcPr>
          <w:p>
            <w:pPr>
              <w:spacing w:after="0"/>
              <w:rPr>
                <w:sz w:val="18"/>
                <w:szCs w:val="18"/>
                <w:color w:val="auto"/>
              </w:rPr>
            </w:pPr>
          </w:p>
        </w:tc>
        <w:tc>
          <w:tcPr>
            <w:tcW w:w="560" w:type="dxa"/>
            <w:vAlign w:val="bottom"/>
            <w:tcBorders>
              <w:bottom w:val="single" w:sz="8" w:color="auto"/>
            </w:tcBorders>
          </w:tcPr>
          <w:p>
            <w:pPr>
              <w:spacing w:after="0"/>
              <w:rPr>
                <w:sz w:val="18"/>
                <w:szCs w:val="18"/>
                <w:color w:val="auto"/>
              </w:rPr>
            </w:pPr>
          </w:p>
        </w:tc>
        <w:tc>
          <w:tcPr>
            <w:tcW w:w="18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0.9</w:t>
            </w:r>
          </w:p>
        </w:tc>
        <w:tc>
          <w:tcPr>
            <w:tcW w:w="340" w:type="dxa"/>
            <w:vAlign w:val="bottom"/>
            <w:tcBorders>
              <w:bottom w:val="single" w:sz="8" w:color="CFF0FC"/>
            </w:tcBorders>
          </w:tcPr>
          <w:p>
            <w:pPr>
              <w:spacing w:after="0"/>
              <w:rPr>
                <w:sz w:val="18"/>
                <w:szCs w:val="18"/>
                <w:color w:val="auto"/>
              </w:rPr>
            </w:pPr>
          </w:p>
        </w:tc>
        <w:tc>
          <w:tcPr>
            <w:tcW w:w="1040" w:type="dxa"/>
            <w:vAlign w:val="bottom"/>
            <w:tcBorders>
              <w:bottom w:val="single" w:sz="8" w:color="auto"/>
            </w:tcBorders>
          </w:tcPr>
          <w:p>
            <w:pPr>
              <w:spacing w:after="0"/>
              <w:rPr>
                <w:sz w:val="18"/>
                <w:szCs w:val="18"/>
                <w:color w:val="auto"/>
              </w:rPr>
            </w:pPr>
          </w:p>
        </w:tc>
        <w:tc>
          <w:tcPr>
            <w:tcW w:w="14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1.2</w:t>
            </w:r>
          </w:p>
        </w:tc>
        <w:tc>
          <w:tcPr>
            <w:tcW w:w="100" w:type="dxa"/>
            <w:vAlign w:val="bottom"/>
            <w:tcBorders>
              <w:bottom w:val="single" w:sz="8" w:color="CFF0FC"/>
            </w:tcBorders>
          </w:tcPr>
          <w:p>
            <w:pPr>
              <w:spacing w:after="0"/>
              <w:rPr>
                <w:sz w:val="18"/>
                <w:szCs w:val="18"/>
                <w:color w:val="auto"/>
              </w:rPr>
            </w:pPr>
          </w:p>
        </w:tc>
      </w:tr>
      <w:tr>
        <w:trPr>
          <w:trHeight w:val="213"/>
        </w:trPr>
        <w:tc>
          <w:tcPr>
            <w:tcW w:w="5660" w:type="dxa"/>
            <w:vAlign w:val="bottom"/>
            <w:shd w:val="clear" w:color="auto" w:fill="CFF0FC"/>
          </w:tcPr>
          <w:p>
            <w:pPr>
              <w:ind w:left="380"/>
              <w:spacing w:after="0"/>
              <w:rPr>
                <w:sz w:val="20"/>
                <w:szCs w:val="20"/>
                <w:color w:val="auto"/>
              </w:rPr>
            </w:pPr>
            <w:r>
              <w:rPr>
                <w:rFonts w:ascii="Arial" w:cs="Arial" w:eastAsia="Arial" w:hAnsi="Arial"/>
                <w:sz w:val="16"/>
                <w:szCs w:val="16"/>
                <w:color w:val="auto"/>
              </w:rPr>
              <w:t>Total cost of revenues</w:t>
            </w:r>
          </w:p>
        </w:tc>
        <w:tc>
          <w:tcPr>
            <w:tcW w:w="220" w:type="dxa"/>
            <w:vAlign w:val="bottom"/>
            <w:shd w:val="clear" w:color="auto" w:fill="CFF0FC"/>
          </w:tcPr>
          <w:p>
            <w:pPr>
              <w:spacing w:after="0"/>
              <w:rPr>
                <w:sz w:val="18"/>
                <w:szCs w:val="18"/>
                <w:color w:val="auto"/>
              </w:rPr>
            </w:pPr>
          </w:p>
        </w:tc>
        <w:tc>
          <w:tcPr>
            <w:tcW w:w="560" w:type="dxa"/>
            <w:vAlign w:val="bottom"/>
            <w:tcBorders>
              <w:bottom w:val="single" w:sz="8" w:color="auto"/>
            </w:tcBorders>
            <w:shd w:val="clear" w:color="auto" w:fill="CFF0FC"/>
          </w:tcPr>
          <w:p>
            <w:pPr>
              <w:spacing w:after="0"/>
              <w:rPr>
                <w:sz w:val="18"/>
                <w:szCs w:val="18"/>
                <w:color w:val="auto"/>
              </w:rPr>
            </w:pPr>
          </w:p>
        </w:tc>
        <w:tc>
          <w:tcPr>
            <w:tcW w:w="18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6"/>
                <w:szCs w:val="16"/>
                <w:color w:val="auto"/>
              </w:rPr>
              <w:t>15.2</w:t>
            </w:r>
          </w:p>
        </w:tc>
        <w:tc>
          <w:tcPr>
            <w:tcW w:w="340" w:type="dxa"/>
            <w:vAlign w:val="bottom"/>
            <w:shd w:val="clear" w:color="auto" w:fill="CFF0FC"/>
          </w:tcPr>
          <w:p>
            <w:pPr>
              <w:spacing w:after="0"/>
              <w:rPr>
                <w:sz w:val="18"/>
                <w:szCs w:val="18"/>
                <w:color w:val="auto"/>
              </w:rPr>
            </w:pPr>
          </w:p>
        </w:tc>
        <w:tc>
          <w:tcPr>
            <w:tcW w:w="1040" w:type="dxa"/>
            <w:vAlign w:val="bottom"/>
            <w:tcBorders>
              <w:bottom w:val="single" w:sz="8" w:color="auto"/>
            </w:tcBorders>
            <w:shd w:val="clear" w:color="auto" w:fill="CFF0FC"/>
          </w:tcPr>
          <w:p>
            <w:pPr>
              <w:spacing w:after="0"/>
              <w:rPr>
                <w:sz w:val="18"/>
                <w:szCs w:val="18"/>
                <w:color w:val="auto"/>
              </w:rPr>
            </w:pPr>
          </w:p>
        </w:tc>
        <w:tc>
          <w:tcPr>
            <w:tcW w:w="14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6"/>
                <w:szCs w:val="16"/>
                <w:color w:val="auto"/>
              </w:rPr>
              <w:t>22.9</w:t>
            </w:r>
          </w:p>
        </w:tc>
        <w:tc>
          <w:tcPr>
            <w:tcW w:w="100" w:type="dxa"/>
            <w:vAlign w:val="bottom"/>
            <w:shd w:val="clear" w:color="auto" w:fill="CFF0FC"/>
          </w:tcPr>
          <w:p>
            <w:pPr>
              <w:spacing w:after="0"/>
              <w:rPr>
                <w:sz w:val="18"/>
                <w:szCs w:val="18"/>
                <w:color w:val="auto"/>
              </w:rPr>
            </w:pPr>
          </w:p>
        </w:tc>
      </w:tr>
      <w:tr>
        <w:trPr>
          <w:trHeight w:val="207"/>
        </w:trPr>
        <w:tc>
          <w:tcPr>
            <w:tcW w:w="5660" w:type="dxa"/>
            <w:vAlign w:val="bottom"/>
          </w:tcPr>
          <w:p>
            <w:pPr>
              <w:spacing w:after="0"/>
              <w:rPr>
                <w:sz w:val="20"/>
                <w:szCs w:val="20"/>
                <w:color w:val="auto"/>
              </w:rPr>
            </w:pPr>
            <w:r>
              <w:rPr>
                <w:rFonts w:ascii="Arial" w:cs="Arial" w:eastAsia="Arial" w:hAnsi="Arial"/>
                <w:sz w:val="16"/>
                <w:szCs w:val="16"/>
                <w:color w:val="auto"/>
              </w:rPr>
              <w:t>Selling and marketing</w:t>
            </w:r>
          </w:p>
        </w:tc>
        <w:tc>
          <w:tcPr>
            <w:tcW w:w="22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1840" w:type="dxa"/>
            <w:vAlign w:val="bottom"/>
          </w:tcPr>
          <w:p>
            <w:pPr>
              <w:jc w:val="right"/>
              <w:spacing w:after="0"/>
              <w:rPr>
                <w:sz w:val="20"/>
                <w:szCs w:val="20"/>
                <w:color w:val="auto"/>
              </w:rPr>
            </w:pPr>
            <w:r>
              <w:rPr>
                <w:rFonts w:ascii="Arial" w:cs="Arial" w:eastAsia="Arial" w:hAnsi="Arial"/>
                <w:sz w:val="16"/>
                <w:szCs w:val="16"/>
                <w:color w:val="auto"/>
              </w:rPr>
              <w:t>0.4</w:t>
            </w:r>
          </w:p>
        </w:tc>
        <w:tc>
          <w:tcPr>
            <w:tcW w:w="34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1480" w:type="dxa"/>
            <w:vAlign w:val="bottom"/>
          </w:tcPr>
          <w:p>
            <w:pPr>
              <w:jc w:val="right"/>
              <w:spacing w:after="0"/>
              <w:rPr>
                <w:sz w:val="20"/>
                <w:szCs w:val="20"/>
                <w:color w:val="auto"/>
              </w:rPr>
            </w:pPr>
            <w:r>
              <w:rPr>
                <w:rFonts w:ascii="Arial" w:cs="Arial" w:eastAsia="Arial" w:hAnsi="Arial"/>
                <w:sz w:val="16"/>
                <w:szCs w:val="16"/>
                <w:color w:val="auto"/>
              </w:rPr>
              <w:t>1.1</w:t>
            </w:r>
          </w:p>
        </w:tc>
        <w:tc>
          <w:tcPr>
            <w:tcW w:w="100" w:type="dxa"/>
            <w:vAlign w:val="bottom"/>
          </w:tcPr>
          <w:p>
            <w:pPr>
              <w:spacing w:after="0"/>
              <w:rPr>
                <w:sz w:val="17"/>
                <w:szCs w:val="17"/>
                <w:color w:val="auto"/>
              </w:rPr>
            </w:pPr>
          </w:p>
        </w:tc>
      </w:tr>
      <w:tr>
        <w:trPr>
          <w:trHeight w:val="219"/>
        </w:trPr>
        <w:tc>
          <w:tcPr>
            <w:tcW w:w="5660" w:type="dxa"/>
            <w:vAlign w:val="bottom"/>
            <w:shd w:val="clear" w:color="auto" w:fill="CFF0FC"/>
          </w:tcPr>
          <w:p>
            <w:pPr>
              <w:spacing w:after="0"/>
              <w:rPr>
                <w:sz w:val="20"/>
                <w:szCs w:val="20"/>
                <w:color w:val="auto"/>
              </w:rPr>
            </w:pPr>
            <w:r>
              <w:rPr>
                <w:rFonts w:ascii="Arial" w:cs="Arial" w:eastAsia="Arial" w:hAnsi="Arial"/>
                <w:sz w:val="16"/>
                <w:szCs w:val="16"/>
                <w:color w:val="auto"/>
              </w:rPr>
              <w:t>Research and development</w:t>
            </w:r>
          </w:p>
        </w:tc>
        <w:tc>
          <w:tcPr>
            <w:tcW w:w="220" w:type="dxa"/>
            <w:vAlign w:val="bottom"/>
            <w:shd w:val="clear" w:color="auto" w:fill="CFF0FC"/>
          </w:tcPr>
          <w:p>
            <w:pPr>
              <w:spacing w:after="0"/>
              <w:rPr>
                <w:sz w:val="19"/>
                <w:szCs w:val="19"/>
                <w:color w:val="auto"/>
              </w:rPr>
            </w:pPr>
          </w:p>
        </w:tc>
        <w:tc>
          <w:tcPr>
            <w:tcW w:w="560" w:type="dxa"/>
            <w:vAlign w:val="bottom"/>
            <w:shd w:val="clear" w:color="auto" w:fill="CFF0FC"/>
          </w:tcPr>
          <w:p>
            <w:pPr>
              <w:spacing w:after="0"/>
              <w:rPr>
                <w:sz w:val="19"/>
                <w:szCs w:val="19"/>
                <w:color w:val="auto"/>
              </w:rPr>
            </w:pPr>
          </w:p>
        </w:tc>
        <w:tc>
          <w:tcPr>
            <w:tcW w:w="1840" w:type="dxa"/>
            <w:vAlign w:val="bottom"/>
            <w:shd w:val="clear" w:color="auto" w:fill="CFF0FC"/>
          </w:tcPr>
          <w:p>
            <w:pPr>
              <w:jc w:val="right"/>
              <w:spacing w:after="0"/>
              <w:rPr>
                <w:sz w:val="20"/>
                <w:szCs w:val="20"/>
                <w:color w:val="auto"/>
              </w:rPr>
            </w:pPr>
            <w:r>
              <w:rPr>
                <w:rFonts w:ascii="Arial" w:cs="Arial" w:eastAsia="Arial" w:hAnsi="Arial"/>
                <w:sz w:val="16"/>
                <w:szCs w:val="16"/>
                <w:color w:val="auto"/>
              </w:rPr>
              <w:t>6.1</w:t>
            </w:r>
          </w:p>
        </w:tc>
        <w:tc>
          <w:tcPr>
            <w:tcW w:w="340" w:type="dxa"/>
            <w:vAlign w:val="bottom"/>
            <w:shd w:val="clear" w:color="auto" w:fill="CFF0FC"/>
          </w:tcPr>
          <w:p>
            <w:pPr>
              <w:spacing w:after="0"/>
              <w:rPr>
                <w:sz w:val="19"/>
                <w:szCs w:val="19"/>
                <w:color w:val="auto"/>
              </w:rPr>
            </w:pPr>
          </w:p>
        </w:tc>
        <w:tc>
          <w:tcPr>
            <w:tcW w:w="1040" w:type="dxa"/>
            <w:vAlign w:val="bottom"/>
            <w:shd w:val="clear" w:color="auto" w:fill="CFF0FC"/>
          </w:tcPr>
          <w:p>
            <w:pPr>
              <w:spacing w:after="0"/>
              <w:rPr>
                <w:sz w:val="19"/>
                <w:szCs w:val="19"/>
                <w:color w:val="auto"/>
              </w:rPr>
            </w:pPr>
          </w:p>
        </w:tc>
        <w:tc>
          <w:tcPr>
            <w:tcW w:w="1480" w:type="dxa"/>
            <w:vAlign w:val="bottom"/>
            <w:shd w:val="clear" w:color="auto" w:fill="CFF0FC"/>
          </w:tcPr>
          <w:p>
            <w:pPr>
              <w:jc w:val="right"/>
              <w:spacing w:after="0"/>
              <w:rPr>
                <w:sz w:val="20"/>
                <w:szCs w:val="20"/>
                <w:color w:val="auto"/>
              </w:rPr>
            </w:pPr>
            <w:r>
              <w:rPr>
                <w:rFonts w:ascii="Arial" w:cs="Arial" w:eastAsia="Arial" w:hAnsi="Arial"/>
                <w:sz w:val="16"/>
                <w:szCs w:val="16"/>
                <w:color w:val="auto"/>
              </w:rPr>
              <w:t>5.1</w:t>
            </w:r>
          </w:p>
        </w:tc>
        <w:tc>
          <w:tcPr>
            <w:tcW w:w="100" w:type="dxa"/>
            <w:vAlign w:val="bottom"/>
            <w:shd w:val="clear" w:color="auto" w:fill="CFF0FC"/>
          </w:tcPr>
          <w:p>
            <w:pPr>
              <w:spacing w:after="0"/>
              <w:rPr>
                <w:sz w:val="19"/>
                <w:szCs w:val="19"/>
                <w:color w:val="auto"/>
              </w:rPr>
            </w:pPr>
          </w:p>
        </w:tc>
      </w:tr>
      <w:tr>
        <w:trPr>
          <w:trHeight w:val="213"/>
        </w:trPr>
        <w:tc>
          <w:tcPr>
            <w:tcW w:w="5660" w:type="dxa"/>
            <w:vAlign w:val="bottom"/>
            <w:tcBorders>
              <w:bottom w:val="single" w:sz="8" w:color="CFF0FC"/>
            </w:tcBorders>
          </w:tcPr>
          <w:p>
            <w:pPr>
              <w:spacing w:after="0"/>
              <w:rPr>
                <w:sz w:val="20"/>
                <w:szCs w:val="20"/>
                <w:color w:val="auto"/>
              </w:rPr>
            </w:pPr>
            <w:r>
              <w:rPr>
                <w:rFonts w:ascii="Arial" w:cs="Arial" w:eastAsia="Arial" w:hAnsi="Arial"/>
                <w:sz w:val="16"/>
                <w:szCs w:val="16"/>
                <w:color w:val="auto"/>
              </w:rPr>
              <w:t>General and administrative</w:t>
            </w:r>
          </w:p>
        </w:tc>
        <w:tc>
          <w:tcPr>
            <w:tcW w:w="220" w:type="dxa"/>
            <w:vAlign w:val="bottom"/>
            <w:tcBorders>
              <w:bottom w:val="single" w:sz="8" w:color="CFF0FC"/>
            </w:tcBorders>
          </w:tcPr>
          <w:p>
            <w:pPr>
              <w:spacing w:after="0"/>
              <w:rPr>
                <w:sz w:val="18"/>
                <w:szCs w:val="18"/>
                <w:color w:val="auto"/>
              </w:rPr>
            </w:pPr>
          </w:p>
        </w:tc>
        <w:tc>
          <w:tcPr>
            <w:tcW w:w="560" w:type="dxa"/>
            <w:vAlign w:val="bottom"/>
            <w:tcBorders>
              <w:bottom w:val="single" w:sz="8" w:color="auto"/>
            </w:tcBorders>
          </w:tcPr>
          <w:p>
            <w:pPr>
              <w:spacing w:after="0"/>
              <w:rPr>
                <w:sz w:val="18"/>
                <w:szCs w:val="18"/>
                <w:color w:val="auto"/>
              </w:rPr>
            </w:pPr>
          </w:p>
        </w:tc>
        <w:tc>
          <w:tcPr>
            <w:tcW w:w="18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0.3</w:t>
            </w:r>
          </w:p>
        </w:tc>
        <w:tc>
          <w:tcPr>
            <w:tcW w:w="340" w:type="dxa"/>
            <w:vAlign w:val="bottom"/>
            <w:tcBorders>
              <w:bottom w:val="single" w:sz="8" w:color="CFF0FC"/>
            </w:tcBorders>
          </w:tcPr>
          <w:p>
            <w:pPr>
              <w:spacing w:after="0"/>
              <w:rPr>
                <w:sz w:val="18"/>
                <w:szCs w:val="18"/>
                <w:color w:val="auto"/>
              </w:rPr>
            </w:pPr>
          </w:p>
        </w:tc>
        <w:tc>
          <w:tcPr>
            <w:tcW w:w="1040" w:type="dxa"/>
            <w:vAlign w:val="bottom"/>
            <w:tcBorders>
              <w:bottom w:val="single" w:sz="8" w:color="auto"/>
            </w:tcBorders>
          </w:tcPr>
          <w:p>
            <w:pPr>
              <w:spacing w:after="0"/>
              <w:rPr>
                <w:sz w:val="18"/>
                <w:szCs w:val="18"/>
                <w:color w:val="auto"/>
              </w:rPr>
            </w:pPr>
          </w:p>
        </w:tc>
        <w:tc>
          <w:tcPr>
            <w:tcW w:w="14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2.3</w:t>
            </w:r>
          </w:p>
        </w:tc>
        <w:tc>
          <w:tcPr>
            <w:tcW w:w="100" w:type="dxa"/>
            <w:vAlign w:val="bottom"/>
            <w:tcBorders>
              <w:bottom w:val="single" w:sz="8" w:color="CFF0FC"/>
            </w:tcBorders>
          </w:tcPr>
          <w:p>
            <w:pPr>
              <w:spacing w:after="0"/>
              <w:rPr>
                <w:sz w:val="18"/>
                <w:szCs w:val="18"/>
                <w:color w:val="auto"/>
              </w:rPr>
            </w:pPr>
          </w:p>
        </w:tc>
      </w:tr>
      <w:tr>
        <w:trPr>
          <w:trHeight w:val="213"/>
        </w:trPr>
        <w:tc>
          <w:tcPr>
            <w:tcW w:w="5660" w:type="dxa"/>
            <w:vAlign w:val="bottom"/>
            <w:shd w:val="clear" w:color="auto" w:fill="CFF0FC"/>
          </w:tcPr>
          <w:p>
            <w:pPr>
              <w:ind w:left="380"/>
              <w:spacing w:after="0"/>
              <w:rPr>
                <w:sz w:val="20"/>
                <w:szCs w:val="20"/>
                <w:color w:val="auto"/>
              </w:rPr>
            </w:pPr>
            <w:r>
              <w:rPr>
                <w:rFonts w:ascii="Arial" w:cs="Arial" w:eastAsia="Arial" w:hAnsi="Arial"/>
                <w:sz w:val="16"/>
                <w:szCs w:val="16"/>
                <w:color w:val="auto"/>
              </w:rPr>
              <w:t>Total operating expenses</w:t>
            </w:r>
          </w:p>
        </w:tc>
        <w:tc>
          <w:tcPr>
            <w:tcW w:w="220" w:type="dxa"/>
            <w:vAlign w:val="bottom"/>
            <w:shd w:val="clear" w:color="auto" w:fill="CFF0FC"/>
          </w:tcPr>
          <w:p>
            <w:pPr>
              <w:spacing w:after="0"/>
              <w:rPr>
                <w:sz w:val="18"/>
                <w:szCs w:val="18"/>
                <w:color w:val="auto"/>
              </w:rPr>
            </w:pPr>
          </w:p>
        </w:tc>
        <w:tc>
          <w:tcPr>
            <w:tcW w:w="560" w:type="dxa"/>
            <w:vAlign w:val="bottom"/>
            <w:tcBorders>
              <w:bottom w:val="single" w:sz="8" w:color="auto"/>
            </w:tcBorders>
            <w:shd w:val="clear" w:color="auto" w:fill="CFF0FC"/>
          </w:tcPr>
          <w:p>
            <w:pPr>
              <w:spacing w:after="0"/>
              <w:rPr>
                <w:sz w:val="18"/>
                <w:szCs w:val="18"/>
                <w:color w:val="auto"/>
              </w:rPr>
            </w:pPr>
          </w:p>
        </w:tc>
        <w:tc>
          <w:tcPr>
            <w:tcW w:w="18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6"/>
                <w:szCs w:val="16"/>
                <w:color w:val="auto"/>
              </w:rPr>
              <w:t>6.8</w:t>
            </w:r>
          </w:p>
        </w:tc>
        <w:tc>
          <w:tcPr>
            <w:tcW w:w="340" w:type="dxa"/>
            <w:vAlign w:val="bottom"/>
            <w:shd w:val="clear" w:color="auto" w:fill="CFF0FC"/>
          </w:tcPr>
          <w:p>
            <w:pPr>
              <w:spacing w:after="0"/>
              <w:rPr>
                <w:sz w:val="18"/>
                <w:szCs w:val="18"/>
                <w:color w:val="auto"/>
              </w:rPr>
            </w:pPr>
          </w:p>
        </w:tc>
        <w:tc>
          <w:tcPr>
            <w:tcW w:w="1040" w:type="dxa"/>
            <w:vAlign w:val="bottom"/>
            <w:tcBorders>
              <w:bottom w:val="single" w:sz="8" w:color="auto"/>
            </w:tcBorders>
            <w:shd w:val="clear" w:color="auto" w:fill="CFF0FC"/>
          </w:tcPr>
          <w:p>
            <w:pPr>
              <w:spacing w:after="0"/>
              <w:rPr>
                <w:sz w:val="18"/>
                <w:szCs w:val="18"/>
                <w:color w:val="auto"/>
              </w:rPr>
            </w:pPr>
          </w:p>
        </w:tc>
        <w:tc>
          <w:tcPr>
            <w:tcW w:w="14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6"/>
                <w:szCs w:val="16"/>
                <w:color w:val="auto"/>
              </w:rPr>
              <w:t>8.5</w:t>
            </w:r>
          </w:p>
        </w:tc>
        <w:tc>
          <w:tcPr>
            <w:tcW w:w="100" w:type="dxa"/>
            <w:vAlign w:val="bottom"/>
            <w:shd w:val="clear" w:color="auto" w:fill="CFF0FC"/>
          </w:tcPr>
          <w:p>
            <w:pPr>
              <w:spacing w:after="0"/>
              <w:rPr>
                <w:sz w:val="18"/>
                <w:szCs w:val="18"/>
                <w:color w:val="auto"/>
              </w:rPr>
            </w:pPr>
          </w:p>
        </w:tc>
      </w:tr>
      <w:tr>
        <w:trPr>
          <w:trHeight w:val="207"/>
        </w:trPr>
        <w:tc>
          <w:tcPr>
            <w:tcW w:w="5660" w:type="dxa"/>
            <w:vAlign w:val="bottom"/>
          </w:tcPr>
          <w:p>
            <w:pPr>
              <w:spacing w:after="0"/>
              <w:rPr>
                <w:sz w:val="20"/>
                <w:szCs w:val="20"/>
                <w:color w:val="auto"/>
              </w:rPr>
            </w:pPr>
            <w:r>
              <w:rPr>
                <w:rFonts w:ascii="Arial" w:cs="Arial" w:eastAsia="Arial" w:hAnsi="Arial"/>
                <w:sz w:val="16"/>
                <w:szCs w:val="16"/>
                <w:color w:val="auto"/>
              </w:rPr>
              <w:t>Total severance expense</w:t>
            </w:r>
          </w:p>
        </w:tc>
        <w:tc>
          <w:tcPr>
            <w:tcW w:w="780" w:type="dxa"/>
            <w:vAlign w:val="bottom"/>
            <w:gridSpan w:val="2"/>
          </w:tcPr>
          <w:p>
            <w:pPr>
              <w:jc w:val="right"/>
              <w:ind w:right="480"/>
              <w:spacing w:after="0"/>
              <w:rPr>
                <w:sz w:val="20"/>
                <w:szCs w:val="20"/>
                <w:color w:val="auto"/>
              </w:rPr>
            </w:pPr>
            <w:r>
              <w:rPr>
                <w:rFonts w:ascii="Arial" w:cs="Arial" w:eastAsia="Arial" w:hAnsi="Arial"/>
                <w:sz w:val="16"/>
                <w:szCs w:val="16"/>
                <w:color w:val="auto"/>
              </w:rPr>
              <w:t>$</w:t>
            </w:r>
          </w:p>
        </w:tc>
        <w:tc>
          <w:tcPr>
            <w:tcW w:w="1840" w:type="dxa"/>
            <w:vAlign w:val="bottom"/>
          </w:tcPr>
          <w:p>
            <w:pPr>
              <w:jc w:val="right"/>
              <w:spacing w:after="0"/>
              <w:rPr>
                <w:sz w:val="20"/>
                <w:szCs w:val="20"/>
                <w:color w:val="auto"/>
              </w:rPr>
            </w:pPr>
            <w:r>
              <w:rPr>
                <w:rFonts w:ascii="Arial" w:cs="Arial" w:eastAsia="Arial" w:hAnsi="Arial"/>
                <w:sz w:val="16"/>
                <w:szCs w:val="16"/>
                <w:color w:val="auto"/>
              </w:rPr>
              <w:t>22.0</w:t>
            </w:r>
          </w:p>
        </w:tc>
        <w:tc>
          <w:tcPr>
            <w:tcW w:w="340" w:type="dxa"/>
            <w:vAlign w:val="bottom"/>
          </w:tcPr>
          <w:p>
            <w:pPr>
              <w:spacing w:after="0"/>
              <w:rPr>
                <w:sz w:val="17"/>
                <w:szCs w:val="17"/>
                <w:color w:val="auto"/>
              </w:rPr>
            </w:pPr>
          </w:p>
        </w:tc>
        <w:tc>
          <w:tcPr>
            <w:tcW w:w="1040" w:type="dxa"/>
            <w:vAlign w:val="bottom"/>
          </w:tcPr>
          <w:p>
            <w:pPr>
              <w:jc w:val="right"/>
              <w:ind w:right="884"/>
              <w:spacing w:after="0"/>
              <w:rPr>
                <w:sz w:val="20"/>
                <w:szCs w:val="20"/>
                <w:color w:val="auto"/>
              </w:rPr>
            </w:pPr>
            <w:r>
              <w:rPr>
                <w:rFonts w:ascii="Arial" w:cs="Arial" w:eastAsia="Arial" w:hAnsi="Arial"/>
                <w:sz w:val="15"/>
                <w:szCs w:val="15"/>
                <w:color w:val="auto"/>
                <w:w w:val="71"/>
              </w:rPr>
              <w:t>$</w:t>
            </w:r>
          </w:p>
        </w:tc>
        <w:tc>
          <w:tcPr>
            <w:tcW w:w="1480" w:type="dxa"/>
            <w:vAlign w:val="bottom"/>
          </w:tcPr>
          <w:p>
            <w:pPr>
              <w:jc w:val="right"/>
              <w:spacing w:after="0"/>
              <w:rPr>
                <w:sz w:val="20"/>
                <w:szCs w:val="20"/>
                <w:color w:val="auto"/>
              </w:rPr>
            </w:pPr>
            <w:r>
              <w:rPr>
                <w:rFonts w:ascii="Arial" w:cs="Arial" w:eastAsia="Arial" w:hAnsi="Arial"/>
                <w:sz w:val="16"/>
                <w:szCs w:val="16"/>
                <w:color w:val="auto"/>
              </w:rPr>
              <w:t>31.4</w:t>
            </w:r>
          </w:p>
        </w:tc>
        <w:tc>
          <w:tcPr>
            <w:tcW w:w="100" w:type="dxa"/>
            <w:vAlign w:val="bottom"/>
          </w:tcPr>
          <w:p>
            <w:pPr>
              <w:spacing w:after="0"/>
              <w:rPr>
                <w:sz w:val="17"/>
                <w:szCs w:val="17"/>
                <w:color w:val="auto"/>
              </w:rPr>
            </w:pPr>
          </w:p>
        </w:tc>
      </w:tr>
      <w:tr>
        <w:trPr>
          <w:trHeight w:val="20"/>
        </w:trPr>
        <w:tc>
          <w:tcPr>
            <w:tcW w:w="566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1840" w:type="dxa"/>
            <w:vAlign w:val="bottom"/>
            <w:tcBorders>
              <w:top w:val="single" w:sz="8" w:color="auto"/>
              <w:bottom w:val="single" w:sz="8" w:color="auto"/>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040" w:type="dxa"/>
            <w:vAlign w:val="bottom"/>
            <w:tcBorders>
              <w:top w:val="single" w:sz="8" w:color="auto"/>
              <w:bottom w:val="single" w:sz="8" w:color="auto"/>
            </w:tcBorders>
          </w:tcPr>
          <w:p>
            <w:pPr>
              <w:spacing w:after="0" w:line="20" w:lineRule="exact"/>
              <w:rPr>
                <w:sz w:val="1"/>
                <w:szCs w:val="1"/>
                <w:color w:val="auto"/>
              </w:rPr>
            </w:pPr>
          </w:p>
        </w:tc>
        <w:tc>
          <w:tcPr>
            <w:tcW w:w="14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3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557" w:right="339" w:bottom="1440" w:gutter="0" w:footer="0" w:header="0"/>
        </w:sectPr>
      </w:pPr>
    </w:p>
    <w:bookmarkStart w:id="10" w:name="page11"/>
    <w:bookmarkEnd w:id="10"/>
    <w:p>
      <w:pPr>
        <w:ind w:firstLine="510"/>
        <w:spacing w:after="0" w:line="257" w:lineRule="auto"/>
        <w:rPr>
          <w:sz w:val="20"/>
          <w:szCs w:val="20"/>
          <w:color w:val="auto"/>
        </w:rPr>
      </w:pPr>
      <w:r>
        <w:rPr>
          <w:rFonts w:ascii="Arial" w:cs="Arial" w:eastAsia="Arial" w:hAnsi="Arial"/>
          <w:sz w:val="18"/>
          <w:szCs w:val="18"/>
          <w:color w:val="auto"/>
        </w:rPr>
        <w:t>The following unaudited pro forma information is provided for illustrative purposes only and assumes that the acquisition of Capita occurred on January 1, 2020 and the acquisitions of Captricity and Innovest occurred on January 1, 2019, after giving effect to certain adjustments, including amortization of intangibles, interest, transaction costs and tax effects. This unaudited pro forma information (in millions, except per share data) should not be relied upon as being indicative of the historical results that would have been obtained if the acquisitions had actually occurred on those dates, nor of the results that may be obtained in the future.</w:t>
      </w:r>
    </w:p>
    <w:p>
      <w:pPr>
        <w:spacing w:after="0" w:line="260" w:lineRule="exact"/>
        <w:rPr>
          <w:sz w:val="20"/>
          <w:szCs w:val="20"/>
          <w:color w:val="auto"/>
        </w:rPr>
      </w:pPr>
    </w:p>
    <w:tbl>
      <w:tblPr>
        <w:tblLayout w:type="fixed"/>
        <w:tblInd w:w="1140" w:type="dxa"/>
        <w:tblCellMar>
          <w:top w:w="0" w:type="dxa"/>
          <w:left w:w="0" w:type="dxa"/>
          <w:bottom w:w="0" w:type="dxa"/>
          <w:right w:w="0" w:type="dxa"/>
        </w:tblCellMar>
      </w:tblPr>
      <w:tr>
        <w:trPr>
          <w:trHeight w:val="171"/>
        </w:trPr>
        <w:tc>
          <w:tcPr>
            <w:tcW w:w="3520" w:type="dxa"/>
            <w:vAlign w:val="bottom"/>
          </w:tcPr>
          <w:p>
            <w:pPr>
              <w:spacing w:after="0"/>
              <w:rPr>
                <w:sz w:val="14"/>
                <w:szCs w:val="14"/>
                <w:color w:val="auto"/>
              </w:rPr>
            </w:pPr>
          </w:p>
        </w:tc>
        <w:tc>
          <w:tcPr>
            <w:tcW w:w="26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2560" w:type="dxa"/>
            <w:vAlign w:val="bottom"/>
            <w:gridSpan w:val="5"/>
          </w:tcPr>
          <w:p>
            <w:pPr>
              <w:ind w:left="120"/>
              <w:spacing w:after="0"/>
              <w:rPr>
                <w:sz w:val="20"/>
                <w:szCs w:val="20"/>
                <w:color w:val="auto"/>
              </w:rPr>
            </w:pPr>
            <w:r>
              <w:rPr>
                <w:rFonts w:ascii="Arial" w:cs="Arial" w:eastAsia="Arial" w:hAnsi="Arial"/>
                <w:sz w:val="14"/>
                <w:szCs w:val="14"/>
                <w:b w:val="1"/>
                <w:bCs w:val="1"/>
                <w:color w:val="auto"/>
              </w:rPr>
              <w:t>Three Months Ended March 31,</w:t>
            </w:r>
          </w:p>
        </w:tc>
      </w:tr>
      <w:tr>
        <w:trPr>
          <w:trHeight w:val="156"/>
        </w:trPr>
        <w:tc>
          <w:tcPr>
            <w:tcW w:w="3520" w:type="dxa"/>
            <w:vAlign w:val="bottom"/>
            <w:tcBorders>
              <w:bottom w:val="single" w:sz="8" w:color="CFF0FC"/>
            </w:tcBorders>
          </w:tcPr>
          <w:p>
            <w:pPr>
              <w:spacing w:after="0"/>
              <w:rPr>
                <w:sz w:val="13"/>
                <w:szCs w:val="13"/>
                <w:color w:val="auto"/>
              </w:rPr>
            </w:pPr>
          </w:p>
        </w:tc>
        <w:tc>
          <w:tcPr>
            <w:tcW w:w="2680" w:type="dxa"/>
            <w:vAlign w:val="bottom"/>
            <w:tcBorders>
              <w:bottom w:val="single" w:sz="8" w:color="CFF0FC"/>
            </w:tcBorders>
          </w:tcPr>
          <w:p>
            <w:pPr>
              <w:spacing w:after="0"/>
              <w:rPr>
                <w:sz w:val="13"/>
                <w:szCs w:val="13"/>
                <w:color w:val="auto"/>
              </w:rPr>
            </w:pPr>
          </w:p>
        </w:tc>
        <w:tc>
          <w:tcPr>
            <w:tcW w:w="220" w:type="dxa"/>
            <w:vAlign w:val="bottom"/>
            <w:tcBorders>
              <w:top w:val="single" w:sz="8" w:color="auto"/>
              <w:bottom w:val="single" w:sz="8" w:color="auto"/>
            </w:tcBorders>
          </w:tcPr>
          <w:p>
            <w:pPr>
              <w:spacing w:after="0"/>
              <w:rPr>
                <w:sz w:val="13"/>
                <w:szCs w:val="13"/>
                <w:color w:val="auto"/>
              </w:rPr>
            </w:pPr>
          </w:p>
        </w:tc>
        <w:tc>
          <w:tcPr>
            <w:tcW w:w="1040" w:type="dxa"/>
            <w:vAlign w:val="bottom"/>
            <w:tcBorders>
              <w:top w:val="single" w:sz="8" w:color="auto"/>
              <w:bottom w:val="single" w:sz="8" w:color="auto"/>
            </w:tcBorders>
          </w:tcPr>
          <w:p>
            <w:pPr>
              <w:jc w:val="right"/>
              <w:ind w:right="419"/>
              <w:spacing w:after="0" w:line="155" w:lineRule="exact"/>
              <w:rPr>
                <w:sz w:val="20"/>
                <w:szCs w:val="20"/>
                <w:color w:val="auto"/>
              </w:rPr>
            </w:pPr>
            <w:r>
              <w:rPr>
                <w:rFonts w:ascii="Arial" w:cs="Arial" w:eastAsia="Arial" w:hAnsi="Arial"/>
                <w:sz w:val="14"/>
                <w:szCs w:val="14"/>
                <w:b w:val="1"/>
                <w:bCs w:val="1"/>
                <w:color w:val="auto"/>
              </w:rPr>
              <w:t>2021</w:t>
            </w:r>
          </w:p>
        </w:tc>
        <w:tc>
          <w:tcPr>
            <w:tcW w:w="200" w:type="dxa"/>
            <w:vAlign w:val="bottom"/>
            <w:tcBorders>
              <w:top w:val="single" w:sz="8" w:color="auto"/>
              <w:bottom w:val="single" w:sz="8" w:color="CFF0FC"/>
            </w:tcBorders>
          </w:tcPr>
          <w:p>
            <w:pPr>
              <w:spacing w:after="0"/>
              <w:rPr>
                <w:sz w:val="13"/>
                <w:szCs w:val="13"/>
                <w:color w:val="auto"/>
              </w:rPr>
            </w:pPr>
          </w:p>
        </w:tc>
        <w:tc>
          <w:tcPr>
            <w:tcW w:w="280" w:type="dxa"/>
            <w:vAlign w:val="bottom"/>
            <w:tcBorders>
              <w:top w:val="single" w:sz="8" w:color="auto"/>
              <w:bottom w:val="single" w:sz="8" w:color="auto"/>
            </w:tcBorders>
          </w:tcPr>
          <w:p>
            <w:pPr>
              <w:spacing w:after="0"/>
              <w:rPr>
                <w:sz w:val="13"/>
                <w:szCs w:val="13"/>
                <w:color w:val="auto"/>
              </w:rPr>
            </w:pPr>
          </w:p>
        </w:tc>
        <w:tc>
          <w:tcPr>
            <w:tcW w:w="940" w:type="dxa"/>
            <w:vAlign w:val="bottom"/>
            <w:tcBorders>
              <w:top w:val="single" w:sz="8" w:color="auto"/>
              <w:bottom w:val="single" w:sz="8" w:color="auto"/>
            </w:tcBorders>
          </w:tcPr>
          <w:p>
            <w:pPr>
              <w:jc w:val="right"/>
              <w:ind w:right="396"/>
              <w:spacing w:after="0" w:line="155" w:lineRule="exact"/>
              <w:rPr>
                <w:sz w:val="20"/>
                <w:szCs w:val="20"/>
                <w:color w:val="auto"/>
              </w:rPr>
            </w:pPr>
            <w:r>
              <w:rPr>
                <w:rFonts w:ascii="Arial" w:cs="Arial" w:eastAsia="Arial" w:hAnsi="Arial"/>
                <w:sz w:val="14"/>
                <w:szCs w:val="14"/>
                <w:b w:val="1"/>
                <w:bCs w:val="1"/>
                <w:color w:val="auto"/>
              </w:rPr>
              <w:t>2020</w:t>
            </w:r>
          </w:p>
        </w:tc>
        <w:tc>
          <w:tcPr>
            <w:tcW w:w="100" w:type="dxa"/>
            <w:vAlign w:val="bottom"/>
            <w:tcBorders>
              <w:bottom w:val="single" w:sz="8" w:color="CFF0FC"/>
            </w:tcBorders>
          </w:tcPr>
          <w:p>
            <w:pPr>
              <w:spacing w:after="0"/>
              <w:rPr>
                <w:sz w:val="13"/>
                <w:szCs w:val="13"/>
                <w:color w:val="auto"/>
              </w:rPr>
            </w:pPr>
          </w:p>
        </w:tc>
      </w:tr>
      <w:tr>
        <w:trPr>
          <w:trHeight w:val="223"/>
        </w:trPr>
        <w:tc>
          <w:tcPr>
            <w:tcW w:w="3520" w:type="dxa"/>
            <w:vAlign w:val="bottom"/>
            <w:shd w:val="clear" w:color="auto" w:fill="CFF0FC"/>
          </w:tcPr>
          <w:p>
            <w:pPr>
              <w:spacing w:after="0"/>
              <w:rPr>
                <w:sz w:val="20"/>
                <w:szCs w:val="20"/>
                <w:color w:val="auto"/>
              </w:rPr>
            </w:pPr>
            <w:r>
              <w:rPr>
                <w:rFonts w:ascii="Arial" w:cs="Arial" w:eastAsia="Arial" w:hAnsi="Arial"/>
                <w:sz w:val="18"/>
                <w:szCs w:val="18"/>
                <w:color w:val="auto"/>
              </w:rPr>
              <w:t>Revenues</w:t>
            </w:r>
          </w:p>
        </w:tc>
        <w:tc>
          <w:tcPr>
            <w:tcW w:w="2680" w:type="dxa"/>
            <w:vAlign w:val="bottom"/>
            <w:shd w:val="clear" w:color="auto" w:fill="CFF0FC"/>
          </w:tcPr>
          <w:p>
            <w:pPr>
              <w:spacing w:after="0"/>
              <w:rPr>
                <w:sz w:val="19"/>
                <w:szCs w:val="19"/>
                <w:color w:val="auto"/>
              </w:rPr>
            </w:pPr>
          </w:p>
        </w:tc>
        <w:tc>
          <w:tcPr>
            <w:tcW w:w="220" w:type="dxa"/>
            <w:vAlign w:val="bottom"/>
            <w:shd w:val="clear" w:color="auto" w:fill="CFF0FC"/>
          </w:tcPr>
          <w:p>
            <w:pPr>
              <w:jc w:val="right"/>
              <w:ind w:right="67"/>
              <w:spacing w:after="0"/>
              <w:rPr>
                <w:sz w:val="20"/>
                <w:szCs w:val="20"/>
                <w:color w:val="auto"/>
              </w:rPr>
            </w:pPr>
            <w:r>
              <w:rPr>
                <w:rFonts w:ascii="Arial" w:cs="Arial" w:eastAsia="Arial" w:hAnsi="Arial"/>
                <w:sz w:val="15"/>
                <w:szCs w:val="15"/>
                <w:color w:val="auto"/>
                <w:w w:val="71"/>
              </w:rPr>
              <w:t>$</w:t>
            </w:r>
          </w:p>
        </w:tc>
        <w:tc>
          <w:tcPr>
            <w:tcW w:w="10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1,242.8</w:t>
            </w:r>
          </w:p>
        </w:tc>
        <w:tc>
          <w:tcPr>
            <w:tcW w:w="200" w:type="dxa"/>
            <w:vAlign w:val="bottom"/>
            <w:shd w:val="clear" w:color="auto" w:fill="CFF0FC"/>
          </w:tcPr>
          <w:p>
            <w:pPr>
              <w:spacing w:after="0"/>
              <w:rPr>
                <w:sz w:val="19"/>
                <w:szCs w:val="19"/>
                <w:color w:val="auto"/>
              </w:rPr>
            </w:pPr>
          </w:p>
        </w:tc>
        <w:tc>
          <w:tcPr>
            <w:tcW w:w="280" w:type="dxa"/>
            <w:vAlign w:val="bottom"/>
            <w:shd w:val="clear" w:color="auto" w:fill="CFF0FC"/>
          </w:tcPr>
          <w:p>
            <w:pPr>
              <w:jc w:val="right"/>
              <w:ind w:right="90"/>
              <w:spacing w:after="0"/>
              <w:rPr>
                <w:sz w:val="20"/>
                <w:szCs w:val="20"/>
                <w:color w:val="auto"/>
              </w:rPr>
            </w:pPr>
            <w:r>
              <w:rPr>
                <w:rFonts w:ascii="Arial" w:cs="Arial" w:eastAsia="Arial" w:hAnsi="Arial"/>
                <w:sz w:val="18"/>
                <w:szCs w:val="18"/>
                <w:color w:val="auto"/>
                <w:w w:val="79"/>
              </w:rPr>
              <w:t>$</w:t>
            </w:r>
          </w:p>
        </w:tc>
        <w:tc>
          <w:tcPr>
            <w:tcW w:w="9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1,200.2</w:t>
            </w:r>
          </w:p>
        </w:tc>
        <w:tc>
          <w:tcPr>
            <w:tcW w:w="100" w:type="dxa"/>
            <w:vAlign w:val="bottom"/>
            <w:shd w:val="clear" w:color="auto" w:fill="CFF0FC"/>
          </w:tcPr>
          <w:p>
            <w:pPr>
              <w:spacing w:after="0"/>
              <w:rPr>
                <w:sz w:val="19"/>
                <w:szCs w:val="19"/>
                <w:color w:val="auto"/>
              </w:rPr>
            </w:pPr>
          </w:p>
        </w:tc>
      </w:tr>
      <w:tr>
        <w:trPr>
          <w:trHeight w:val="230"/>
        </w:trPr>
        <w:tc>
          <w:tcPr>
            <w:tcW w:w="3520" w:type="dxa"/>
            <w:vAlign w:val="bottom"/>
          </w:tcPr>
          <w:p>
            <w:pPr>
              <w:spacing w:after="0"/>
              <w:rPr>
                <w:sz w:val="20"/>
                <w:szCs w:val="20"/>
                <w:color w:val="auto"/>
              </w:rPr>
            </w:pPr>
            <w:r>
              <w:rPr>
                <w:rFonts w:ascii="Arial" w:cs="Arial" w:eastAsia="Arial" w:hAnsi="Arial"/>
                <w:sz w:val="18"/>
                <w:szCs w:val="18"/>
                <w:color w:val="auto"/>
              </w:rPr>
              <w:t>Net income</w:t>
            </w:r>
          </w:p>
        </w:tc>
        <w:tc>
          <w:tcPr>
            <w:tcW w:w="2900" w:type="dxa"/>
            <w:vAlign w:val="bottom"/>
            <w:gridSpan w:val="2"/>
          </w:tcPr>
          <w:p>
            <w:pPr>
              <w:jc w:val="right"/>
              <w:ind w:right="67"/>
              <w:spacing w:after="0"/>
              <w:rPr>
                <w:sz w:val="20"/>
                <w:szCs w:val="20"/>
                <w:color w:val="auto"/>
              </w:rPr>
            </w:pPr>
            <w:r>
              <w:rPr>
                <w:rFonts w:ascii="Arial" w:cs="Arial" w:eastAsia="Arial" w:hAnsi="Arial"/>
                <w:sz w:val="18"/>
                <w:szCs w:val="18"/>
                <w:color w:val="auto"/>
              </w:rPr>
              <w:t>$</w:t>
            </w:r>
          </w:p>
        </w:tc>
        <w:tc>
          <w:tcPr>
            <w:tcW w:w="1040" w:type="dxa"/>
            <w:vAlign w:val="bottom"/>
          </w:tcPr>
          <w:p>
            <w:pPr>
              <w:jc w:val="right"/>
              <w:spacing w:after="0"/>
              <w:rPr>
                <w:sz w:val="20"/>
                <w:szCs w:val="20"/>
                <w:color w:val="auto"/>
              </w:rPr>
            </w:pPr>
            <w:r>
              <w:rPr>
                <w:rFonts w:ascii="Arial" w:cs="Arial" w:eastAsia="Arial" w:hAnsi="Arial"/>
                <w:sz w:val="18"/>
                <w:szCs w:val="18"/>
                <w:color w:val="auto"/>
              </w:rPr>
              <w:t>177.1</w:t>
            </w:r>
          </w:p>
        </w:tc>
        <w:tc>
          <w:tcPr>
            <w:tcW w:w="480" w:type="dxa"/>
            <w:vAlign w:val="bottom"/>
            <w:gridSpan w:val="2"/>
          </w:tcPr>
          <w:p>
            <w:pPr>
              <w:jc w:val="right"/>
              <w:ind w:right="90"/>
              <w:spacing w:after="0"/>
              <w:rPr>
                <w:sz w:val="20"/>
                <w:szCs w:val="20"/>
                <w:color w:val="auto"/>
              </w:rPr>
            </w:pPr>
            <w:r>
              <w:rPr>
                <w:rFonts w:ascii="Arial" w:cs="Arial" w:eastAsia="Arial" w:hAnsi="Arial"/>
                <w:sz w:val="18"/>
                <w:szCs w:val="18"/>
                <w:color w:val="auto"/>
              </w:rPr>
              <w:t>$</w:t>
            </w:r>
          </w:p>
        </w:tc>
        <w:tc>
          <w:tcPr>
            <w:tcW w:w="940" w:type="dxa"/>
            <w:vAlign w:val="bottom"/>
          </w:tcPr>
          <w:p>
            <w:pPr>
              <w:jc w:val="right"/>
              <w:spacing w:after="0"/>
              <w:rPr>
                <w:sz w:val="20"/>
                <w:szCs w:val="20"/>
                <w:color w:val="auto"/>
              </w:rPr>
            </w:pPr>
            <w:r>
              <w:rPr>
                <w:rFonts w:ascii="Arial" w:cs="Arial" w:eastAsia="Arial" w:hAnsi="Arial"/>
                <w:sz w:val="18"/>
                <w:szCs w:val="18"/>
                <w:color w:val="auto"/>
              </w:rPr>
              <w:t>102.4</w:t>
            </w:r>
          </w:p>
        </w:tc>
        <w:tc>
          <w:tcPr>
            <w:tcW w:w="100" w:type="dxa"/>
            <w:vAlign w:val="bottom"/>
          </w:tcPr>
          <w:p>
            <w:pPr>
              <w:spacing w:after="0"/>
              <w:rPr>
                <w:sz w:val="20"/>
                <w:szCs w:val="20"/>
                <w:color w:val="auto"/>
              </w:rPr>
            </w:pPr>
          </w:p>
        </w:tc>
      </w:tr>
    </w:tbl>
    <w:p>
      <w:pPr>
        <w:spacing w:after="0" w:line="19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6—Goodwill</w:t>
      </w:r>
    </w:p>
    <w:p>
      <w:pPr>
        <w:spacing w:after="0" w:line="121" w:lineRule="exact"/>
        <w:rPr>
          <w:sz w:val="20"/>
          <w:szCs w:val="20"/>
          <w:color w:val="auto"/>
        </w:rPr>
      </w:pPr>
    </w:p>
    <w:p>
      <w:pPr>
        <w:ind w:left="520"/>
        <w:spacing w:after="0"/>
        <w:rPr>
          <w:sz w:val="20"/>
          <w:szCs w:val="20"/>
          <w:color w:val="auto"/>
        </w:rPr>
      </w:pPr>
      <w:r>
        <w:rPr>
          <w:rFonts w:ascii="Arial" w:cs="Arial" w:eastAsia="Arial" w:hAnsi="Arial"/>
          <w:sz w:val="18"/>
          <w:szCs w:val="18"/>
          <w:color w:val="auto"/>
        </w:rPr>
        <w:t>The change in carrying value of goodwill as of and for the three months ended March 31, 2021 is as follows (in millions):</w:t>
      </w:r>
    </w:p>
    <w:p>
      <w:pPr>
        <w:spacing w:after="0" w:line="239" w:lineRule="exact"/>
        <w:rPr>
          <w:sz w:val="20"/>
          <w:szCs w:val="20"/>
          <w:color w:val="auto"/>
        </w:rPr>
      </w:pPr>
    </w:p>
    <w:tbl>
      <w:tblPr>
        <w:tblLayout w:type="fixed"/>
        <w:tblInd w:w="0" w:type="dxa"/>
        <w:tblCellMar>
          <w:top w:w="0" w:type="dxa"/>
          <w:left w:w="0" w:type="dxa"/>
          <w:bottom w:w="0" w:type="dxa"/>
          <w:right w:w="0" w:type="dxa"/>
        </w:tblCellMar>
      </w:tblPr>
      <w:tr>
        <w:trPr>
          <w:trHeight w:val="243"/>
        </w:trPr>
        <w:tc>
          <w:tcPr>
            <w:tcW w:w="580" w:type="dxa"/>
            <w:vAlign w:val="bottom"/>
          </w:tcPr>
          <w:p>
            <w:pPr>
              <w:spacing w:after="0"/>
              <w:rPr>
                <w:sz w:val="21"/>
                <w:szCs w:val="21"/>
                <w:color w:val="auto"/>
              </w:rPr>
            </w:pPr>
          </w:p>
        </w:tc>
        <w:tc>
          <w:tcPr>
            <w:tcW w:w="6100" w:type="dxa"/>
            <w:vAlign w:val="bottom"/>
            <w:shd w:val="clear" w:color="auto" w:fill="CFF0FC"/>
          </w:tcPr>
          <w:p>
            <w:pPr>
              <w:spacing w:after="0"/>
              <w:rPr>
                <w:sz w:val="20"/>
                <w:szCs w:val="20"/>
                <w:color w:val="auto"/>
              </w:rPr>
            </w:pPr>
            <w:r>
              <w:rPr>
                <w:rFonts w:ascii="Arial" w:cs="Arial" w:eastAsia="Arial" w:hAnsi="Arial"/>
                <w:sz w:val="18"/>
                <w:szCs w:val="18"/>
                <w:color w:val="auto"/>
              </w:rPr>
              <w:t>Balance at December 31, 2020</w:t>
            </w:r>
          </w:p>
        </w:tc>
        <w:tc>
          <w:tcPr>
            <w:tcW w:w="120" w:type="dxa"/>
            <w:vAlign w:val="bottom"/>
            <w:shd w:val="clear" w:color="auto" w:fill="CFF0FC"/>
          </w:tcPr>
          <w:p>
            <w:pPr>
              <w:spacing w:after="0"/>
              <w:rPr>
                <w:sz w:val="21"/>
                <w:szCs w:val="21"/>
                <w:color w:val="auto"/>
              </w:rPr>
            </w:pPr>
          </w:p>
        </w:tc>
        <w:tc>
          <w:tcPr>
            <w:tcW w:w="360" w:type="dxa"/>
            <w:vAlign w:val="bottom"/>
            <w:shd w:val="clear" w:color="auto" w:fill="CFF0FC"/>
          </w:tcPr>
          <w:p>
            <w:pPr>
              <w:spacing w:after="0"/>
              <w:rPr>
                <w:sz w:val="21"/>
                <w:szCs w:val="21"/>
                <w:color w:val="auto"/>
              </w:rPr>
            </w:pPr>
          </w:p>
        </w:tc>
        <w:tc>
          <w:tcPr>
            <w:tcW w:w="1360" w:type="dxa"/>
            <w:vAlign w:val="bottom"/>
            <w:shd w:val="clear" w:color="auto" w:fill="CFF0FC"/>
          </w:tcPr>
          <w:p>
            <w:pPr>
              <w:spacing w:after="0"/>
              <w:rPr>
                <w:sz w:val="21"/>
                <w:szCs w:val="21"/>
                <w:color w:val="auto"/>
              </w:rPr>
            </w:pPr>
          </w:p>
        </w:tc>
        <w:tc>
          <w:tcPr>
            <w:tcW w:w="280" w:type="dxa"/>
            <w:vAlign w:val="bottom"/>
            <w:shd w:val="clear" w:color="auto" w:fill="CFF0FC"/>
          </w:tcPr>
          <w:p>
            <w:pPr>
              <w:spacing w:after="0"/>
              <w:rPr>
                <w:sz w:val="21"/>
                <w:szCs w:val="21"/>
                <w:color w:val="auto"/>
              </w:rPr>
            </w:pPr>
          </w:p>
        </w:tc>
        <w:tc>
          <w:tcPr>
            <w:tcW w:w="320" w:type="dxa"/>
            <w:vAlign w:val="bottom"/>
            <w:gridSpan w:val="2"/>
            <w:shd w:val="clear" w:color="auto" w:fill="CFF0FC"/>
          </w:tcPr>
          <w:p>
            <w:pPr>
              <w:jc w:val="right"/>
              <w:ind w:right="160"/>
              <w:spacing w:after="0"/>
              <w:rPr>
                <w:sz w:val="20"/>
                <w:szCs w:val="20"/>
                <w:color w:val="auto"/>
              </w:rPr>
            </w:pPr>
            <w:r>
              <w:rPr>
                <w:rFonts w:ascii="Arial" w:cs="Arial" w:eastAsia="Arial" w:hAnsi="Arial"/>
                <w:sz w:val="18"/>
                <w:szCs w:val="18"/>
                <w:color w:val="auto"/>
              </w:rPr>
              <w:t>$</w:t>
            </w:r>
          </w:p>
        </w:tc>
        <w:tc>
          <w:tcPr>
            <w:tcW w:w="14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8,078.7</w:t>
            </w:r>
          </w:p>
        </w:tc>
        <w:tc>
          <w:tcPr>
            <w:tcW w:w="100" w:type="dxa"/>
            <w:vAlign w:val="bottom"/>
            <w:shd w:val="clear" w:color="auto" w:fill="CFF0FC"/>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580" w:type="dxa"/>
            <w:vAlign w:val="bottom"/>
          </w:tcPr>
          <w:p>
            <w:pPr>
              <w:spacing w:after="0"/>
              <w:rPr>
                <w:sz w:val="21"/>
                <w:szCs w:val="21"/>
                <w:color w:val="auto"/>
              </w:rPr>
            </w:pPr>
          </w:p>
        </w:tc>
        <w:tc>
          <w:tcPr>
            <w:tcW w:w="6100" w:type="dxa"/>
            <w:vAlign w:val="bottom"/>
          </w:tcPr>
          <w:p>
            <w:pPr>
              <w:ind w:left="120"/>
              <w:spacing w:after="0"/>
              <w:rPr>
                <w:sz w:val="20"/>
                <w:szCs w:val="20"/>
                <w:color w:val="auto"/>
              </w:rPr>
            </w:pPr>
            <w:r>
              <w:rPr>
                <w:rFonts w:ascii="Arial" w:cs="Arial" w:eastAsia="Arial" w:hAnsi="Arial"/>
                <w:sz w:val="18"/>
                <w:szCs w:val="18"/>
                <w:color w:val="auto"/>
              </w:rPr>
              <w:t>Adjustments to prior acquisitions</w:t>
            </w:r>
          </w:p>
        </w:tc>
        <w:tc>
          <w:tcPr>
            <w:tcW w:w="12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36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560" w:type="dxa"/>
            <w:vAlign w:val="bottom"/>
            <w:gridSpan w:val="2"/>
          </w:tcPr>
          <w:p>
            <w:pPr>
              <w:jc w:val="right"/>
              <w:ind w:right="40"/>
              <w:spacing w:after="0"/>
              <w:rPr>
                <w:sz w:val="20"/>
                <w:szCs w:val="20"/>
                <w:color w:val="auto"/>
              </w:rPr>
            </w:pPr>
            <w:r>
              <w:rPr>
                <w:rFonts w:ascii="Arial" w:cs="Arial" w:eastAsia="Arial" w:hAnsi="Arial"/>
                <w:sz w:val="18"/>
                <w:szCs w:val="18"/>
                <w:color w:val="auto"/>
              </w:rPr>
              <w:t>(0.3)</w:t>
            </w:r>
          </w:p>
        </w:tc>
        <w:tc>
          <w:tcPr>
            <w:tcW w:w="0" w:type="dxa"/>
            <w:vAlign w:val="bottom"/>
          </w:tcPr>
          <w:p>
            <w:pPr>
              <w:spacing w:after="0"/>
              <w:rPr>
                <w:sz w:val="1"/>
                <w:szCs w:val="1"/>
                <w:color w:val="auto"/>
              </w:rPr>
            </w:pPr>
          </w:p>
        </w:tc>
      </w:tr>
      <w:tr>
        <w:trPr>
          <w:trHeight w:val="243"/>
        </w:trPr>
        <w:tc>
          <w:tcPr>
            <w:tcW w:w="580" w:type="dxa"/>
            <w:vAlign w:val="bottom"/>
          </w:tcPr>
          <w:p>
            <w:pPr>
              <w:spacing w:after="0"/>
              <w:rPr>
                <w:sz w:val="21"/>
                <w:szCs w:val="21"/>
                <w:color w:val="auto"/>
              </w:rPr>
            </w:pPr>
          </w:p>
        </w:tc>
        <w:tc>
          <w:tcPr>
            <w:tcW w:w="6100" w:type="dxa"/>
            <w:vAlign w:val="bottom"/>
            <w:shd w:val="clear" w:color="auto" w:fill="CFF0FC"/>
          </w:tcPr>
          <w:p>
            <w:pPr>
              <w:ind w:left="120"/>
              <w:spacing w:after="0"/>
              <w:rPr>
                <w:sz w:val="20"/>
                <w:szCs w:val="20"/>
                <w:color w:val="auto"/>
              </w:rPr>
            </w:pPr>
            <w:r>
              <w:rPr>
                <w:rFonts w:ascii="Arial" w:cs="Arial" w:eastAsia="Arial" w:hAnsi="Arial"/>
                <w:sz w:val="18"/>
                <w:szCs w:val="18"/>
                <w:color w:val="auto"/>
              </w:rPr>
              <w:t>Effect of foreign currency translation</w:t>
            </w:r>
          </w:p>
        </w:tc>
        <w:tc>
          <w:tcPr>
            <w:tcW w:w="120" w:type="dxa"/>
            <w:vAlign w:val="bottom"/>
            <w:shd w:val="clear" w:color="auto" w:fill="CFF0FC"/>
          </w:tcPr>
          <w:p>
            <w:pPr>
              <w:spacing w:after="0"/>
              <w:rPr>
                <w:sz w:val="21"/>
                <w:szCs w:val="21"/>
                <w:color w:val="auto"/>
              </w:rPr>
            </w:pPr>
          </w:p>
        </w:tc>
        <w:tc>
          <w:tcPr>
            <w:tcW w:w="360" w:type="dxa"/>
            <w:vAlign w:val="bottom"/>
            <w:shd w:val="clear" w:color="auto" w:fill="CFF0FC"/>
          </w:tcPr>
          <w:p>
            <w:pPr>
              <w:spacing w:after="0"/>
              <w:rPr>
                <w:sz w:val="21"/>
                <w:szCs w:val="21"/>
                <w:color w:val="auto"/>
              </w:rPr>
            </w:pPr>
          </w:p>
        </w:tc>
        <w:tc>
          <w:tcPr>
            <w:tcW w:w="1360" w:type="dxa"/>
            <w:vAlign w:val="bottom"/>
            <w:shd w:val="clear" w:color="auto" w:fill="CFF0FC"/>
          </w:tcPr>
          <w:p>
            <w:pPr>
              <w:spacing w:after="0"/>
              <w:rPr>
                <w:sz w:val="21"/>
                <w:szCs w:val="21"/>
                <w:color w:val="auto"/>
              </w:rPr>
            </w:pPr>
          </w:p>
        </w:tc>
        <w:tc>
          <w:tcPr>
            <w:tcW w:w="280" w:type="dxa"/>
            <w:vAlign w:val="bottom"/>
            <w:shd w:val="clear" w:color="auto" w:fill="CFF0FC"/>
          </w:tcPr>
          <w:p>
            <w:pPr>
              <w:spacing w:after="0"/>
              <w:rPr>
                <w:sz w:val="21"/>
                <w:szCs w:val="21"/>
                <w:color w:val="auto"/>
              </w:rPr>
            </w:pPr>
          </w:p>
        </w:tc>
        <w:tc>
          <w:tcPr>
            <w:tcW w:w="80" w:type="dxa"/>
            <w:vAlign w:val="bottom"/>
            <w:shd w:val="clear" w:color="auto" w:fill="CFF0FC"/>
          </w:tcPr>
          <w:p>
            <w:pPr>
              <w:spacing w:after="0"/>
              <w:rPr>
                <w:sz w:val="21"/>
                <w:szCs w:val="21"/>
                <w:color w:val="auto"/>
              </w:rPr>
            </w:pPr>
          </w:p>
        </w:tc>
        <w:tc>
          <w:tcPr>
            <w:tcW w:w="240" w:type="dxa"/>
            <w:vAlign w:val="bottom"/>
            <w:shd w:val="clear" w:color="auto" w:fill="CFF0FC"/>
          </w:tcPr>
          <w:p>
            <w:pPr>
              <w:spacing w:after="0"/>
              <w:rPr>
                <w:sz w:val="21"/>
                <w:szCs w:val="21"/>
                <w:color w:val="auto"/>
              </w:rPr>
            </w:pPr>
          </w:p>
        </w:tc>
        <w:tc>
          <w:tcPr>
            <w:tcW w:w="1560" w:type="dxa"/>
            <w:vAlign w:val="bottom"/>
            <w:gridSpan w:val="2"/>
            <w:shd w:val="clear" w:color="auto" w:fill="CFF0FC"/>
          </w:tcPr>
          <w:p>
            <w:pPr>
              <w:jc w:val="right"/>
              <w:ind w:right="40"/>
              <w:spacing w:after="0"/>
              <w:rPr>
                <w:sz w:val="20"/>
                <w:szCs w:val="20"/>
                <w:color w:val="auto"/>
              </w:rPr>
            </w:pPr>
            <w:r>
              <w:rPr>
                <w:rFonts w:ascii="Arial" w:cs="Arial" w:eastAsia="Arial" w:hAnsi="Arial"/>
                <w:sz w:val="18"/>
                <w:szCs w:val="18"/>
                <w:color w:val="auto"/>
              </w:rPr>
              <w:t>(0.3)</w:t>
            </w:r>
          </w:p>
        </w:tc>
        <w:tc>
          <w:tcPr>
            <w:tcW w:w="0" w:type="dxa"/>
            <w:vAlign w:val="bottom"/>
          </w:tcPr>
          <w:p>
            <w:pPr>
              <w:spacing w:after="0"/>
              <w:rPr>
                <w:sz w:val="1"/>
                <w:szCs w:val="1"/>
                <w:color w:val="auto"/>
              </w:rPr>
            </w:pPr>
          </w:p>
        </w:tc>
      </w:tr>
      <w:tr>
        <w:trPr>
          <w:trHeight w:val="20"/>
        </w:trPr>
        <w:tc>
          <w:tcPr>
            <w:tcW w:w="580" w:type="dxa"/>
            <w:vAlign w:val="bottom"/>
          </w:tcPr>
          <w:p>
            <w:pPr>
              <w:spacing w:after="0" w:line="20" w:lineRule="exact"/>
              <w:rPr>
                <w:sz w:val="1"/>
                <w:szCs w:val="1"/>
                <w:color w:val="auto"/>
              </w:rPr>
            </w:pPr>
          </w:p>
        </w:tc>
        <w:tc>
          <w:tcPr>
            <w:tcW w:w="6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36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146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7"/>
        </w:trPr>
        <w:tc>
          <w:tcPr>
            <w:tcW w:w="580" w:type="dxa"/>
            <w:vAlign w:val="bottom"/>
          </w:tcPr>
          <w:p>
            <w:pPr>
              <w:spacing w:after="0"/>
              <w:rPr>
                <w:sz w:val="20"/>
                <w:szCs w:val="20"/>
                <w:color w:val="auto"/>
              </w:rPr>
            </w:pPr>
          </w:p>
        </w:tc>
        <w:tc>
          <w:tcPr>
            <w:tcW w:w="6100" w:type="dxa"/>
            <w:vAlign w:val="bottom"/>
          </w:tcPr>
          <w:p>
            <w:pPr>
              <w:spacing w:after="0"/>
              <w:rPr>
                <w:sz w:val="20"/>
                <w:szCs w:val="20"/>
                <w:color w:val="auto"/>
              </w:rPr>
            </w:pPr>
            <w:r>
              <w:rPr>
                <w:rFonts w:ascii="Arial" w:cs="Arial" w:eastAsia="Arial" w:hAnsi="Arial"/>
                <w:sz w:val="18"/>
                <w:szCs w:val="18"/>
                <w:color w:val="auto"/>
              </w:rPr>
              <w:t>Balance at March 31, 2021</w:t>
            </w:r>
          </w:p>
        </w:tc>
        <w:tc>
          <w:tcPr>
            <w:tcW w:w="12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136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32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1460" w:type="dxa"/>
            <w:vAlign w:val="bottom"/>
          </w:tcPr>
          <w:p>
            <w:pPr>
              <w:jc w:val="right"/>
              <w:spacing w:after="0"/>
              <w:rPr>
                <w:sz w:val="20"/>
                <w:szCs w:val="20"/>
                <w:color w:val="auto"/>
              </w:rPr>
            </w:pPr>
            <w:r>
              <w:rPr>
                <w:rFonts w:ascii="Arial" w:cs="Arial" w:eastAsia="Arial" w:hAnsi="Arial"/>
                <w:sz w:val="18"/>
                <w:szCs w:val="18"/>
                <w:color w:val="auto"/>
              </w:rPr>
              <w:t>8,078.1</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0"/>
        </w:trPr>
        <w:tc>
          <w:tcPr>
            <w:tcW w:w="6680" w:type="dxa"/>
            <w:vAlign w:val="bottom"/>
            <w:gridSpan w:val="2"/>
            <w:vMerge w:val="restart"/>
          </w:tcPr>
          <w:p>
            <w:pPr>
              <w:spacing w:after="0"/>
              <w:rPr>
                <w:sz w:val="20"/>
                <w:szCs w:val="20"/>
                <w:color w:val="auto"/>
              </w:rPr>
            </w:pPr>
            <w:r>
              <w:rPr>
                <w:rFonts w:ascii="Arial" w:cs="Arial" w:eastAsia="Arial" w:hAnsi="Arial"/>
                <w:sz w:val="18"/>
                <w:szCs w:val="18"/>
                <w:b w:val="1"/>
                <w:bCs w:val="1"/>
                <w:color w:val="auto"/>
              </w:rPr>
              <w:t>Note 7—Debt</w:t>
            </w:r>
          </w:p>
        </w:tc>
        <w:tc>
          <w:tcPr>
            <w:tcW w:w="12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36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14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99"/>
        </w:trPr>
        <w:tc>
          <w:tcPr>
            <w:tcW w:w="6680" w:type="dxa"/>
            <w:vAlign w:val="bottom"/>
            <w:gridSpan w:val="2"/>
            <w:vMerge w:val="continue"/>
          </w:tcPr>
          <w:p>
            <w:pPr>
              <w:spacing w:after="0"/>
              <w:rPr>
                <w:sz w:val="24"/>
                <w:szCs w:val="24"/>
                <w:color w:val="auto"/>
              </w:rPr>
            </w:pPr>
          </w:p>
        </w:tc>
        <w:tc>
          <w:tcPr>
            <w:tcW w:w="12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36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4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24"/>
        </w:trPr>
        <w:tc>
          <w:tcPr>
            <w:tcW w:w="7160" w:type="dxa"/>
            <w:vAlign w:val="bottom"/>
            <w:gridSpan w:val="4"/>
          </w:tcPr>
          <w:p>
            <w:pPr>
              <w:jc w:val="right"/>
              <w:ind w:right="127"/>
              <w:spacing w:after="0"/>
              <w:rPr>
                <w:sz w:val="20"/>
                <w:szCs w:val="20"/>
                <w:color w:val="auto"/>
              </w:rPr>
            </w:pPr>
            <w:r>
              <w:rPr>
                <w:rFonts w:ascii="Arial" w:cs="Arial" w:eastAsia="Arial" w:hAnsi="Arial"/>
                <w:sz w:val="18"/>
                <w:szCs w:val="18"/>
                <w:color w:val="auto"/>
                <w:w w:val="99"/>
              </w:rPr>
              <w:t>At March 31, 2021 and December 31, 2020, debt consisted of the following (in millions):</w:t>
            </w:r>
          </w:p>
        </w:tc>
        <w:tc>
          <w:tcPr>
            <w:tcW w:w="136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4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36"/>
        </w:trPr>
        <w:tc>
          <w:tcPr>
            <w:tcW w:w="580" w:type="dxa"/>
            <w:vAlign w:val="bottom"/>
          </w:tcPr>
          <w:p>
            <w:pPr>
              <w:spacing w:after="0"/>
              <w:rPr>
                <w:sz w:val="24"/>
                <w:szCs w:val="24"/>
                <w:color w:val="auto"/>
              </w:rPr>
            </w:pPr>
          </w:p>
        </w:tc>
        <w:tc>
          <w:tcPr>
            <w:tcW w:w="6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640" w:type="dxa"/>
            <w:vAlign w:val="bottom"/>
            <w:gridSpan w:val="2"/>
          </w:tcPr>
          <w:p>
            <w:pPr>
              <w:jc w:val="right"/>
              <w:ind w:right="820"/>
              <w:spacing w:after="0"/>
              <w:rPr>
                <w:sz w:val="20"/>
                <w:szCs w:val="20"/>
                <w:color w:val="auto"/>
              </w:rPr>
            </w:pPr>
            <w:r>
              <w:rPr>
                <w:rFonts w:ascii="Arial" w:cs="Arial" w:eastAsia="Arial" w:hAnsi="Arial"/>
                <w:sz w:val="14"/>
                <w:szCs w:val="14"/>
                <w:b w:val="1"/>
                <w:bCs w:val="1"/>
                <w:color w:val="auto"/>
              </w:rPr>
              <w:t>March 31,</w:t>
            </w:r>
          </w:p>
        </w:tc>
        <w:tc>
          <w:tcPr>
            <w:tcW w:w="8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560" w:type="dxa"/>
            <w:vAlign w:val="bottom"/>
            <w:gridSpan w:val="2"/>
          </w:tcPr>
          <w:p>
            <w:pPr>
              <w:jc w:val="right"/>
              <w:ind w:right="580"/>
              <w:spacing w:after="0"/>
              <w:rPr>
                <w:sz w:val="20"/>
                <w:szCs w:val="20"/>
                <w:color w:val="auto"/>
              </w:rPr>
            </w:pPr>
            <w:r>
              <w:rPr>
                <w:rFonts w:ascii="Arial" w:cs="Arial" w:eastAsia="Arial" w:hAnsi="Arial"/>
                <w:sz w:val="14"/>
                <w:szCs w:val="14"/>
                <w:b w:val="1"/>
                <w:bCs w:val="1"/>
                <w:color w:val="auto"/>
              </w:rPr>
              <w:t>December 31,</w:t>
            </w:r>
          </w:p>
        </w:tc>
        <w:tc>
          <w:tcPr>
            <w:tcW w:w="0" w:type="dxa"/>
            <w:vAlign w:val="bottom"/>
          </w:tcPr>
          <w:p>
            <w:pPr>
              <w:spacing w:after="0"/>
              <w:rPr>
                <w:sz w:val="1"/>
                <w:szCs w:val="1"/>
                <w:color w:val="auto"/>
              </w:rPr>
            </w:pPr>
          </w:p>
        </w:tc>
      </w:tr>
      <w:tr>
        <w:trPr>
          <w:trHeight w:val="171"/>
        </w:trPr>
        <w:tc>
          <w:tcPr>
            <w:tcW w:w="580" w:type="dxa"/>
            <w:vAlign w:val="bottom"/>
          </w:tcPr>
          <w:p>
            <w:pPr>
              <w:spacing w:after="0"/>
              <w:rPr>
                <w:sz w:val="14"/>
                <w:szCs w:val="14"/>
                <w:color w:val="auto"/>
              </w:rPr>
            </w:pPr>
          </w:p>
        </w:tc>
        <w:tc>
          <w:tcPr>
            <w:tcW w:w="6100" w:type="dxa"/>
            <w:vAlign w:val="bottom"/>
            <w:tcBorders>
              <w:bottom w:val="single" w:sz="8" w:color="CFF0FC"/>
            </w:tcBorders>
          </w:tcPr>
          <w:p>
            <w:pPr>
              <w:spacing w:after="0"/>
              <w:rPr>
                <w:sz w:val="14"/>
                <w:szCs w:val="14"/>
                <w:color w:val="auto"/>
              </w:rPr>
            </w:pPr>
          </w:p>
        </w:tc>
        <w:tc>
          <w:tcPr>
            <w:tcW w:w="120" w:type="dxa"/>
            <w:vAlign w:val="bottom"/>
            <w:tcBorders>
              <w:bottom w:val="single" w:sz="8" w:color="CFF0FC"/>
            </w:tcBorders>
          </w:tcPr>
          <w:p>
            <w:pPr>
              <w:spacing w:after="0"/>
              <w:rPr>
                <w:sz w:val="14"/>
                <w:szCs w:val="14"/>
                <w:color w:val="auto"/>
              </w:rPr>
            </w:pPr>
          </w:p>
        </w:tc>
        <w:tc>
          <w:tcPr>
            <w:tcW w:w="360" w:type="dxa"/>
            <w:vAlign w:val="bottom"/>
            <w:tcBorders>
              <w:bottom w:val="single" w:sz="8" w:color="auto"/>
            </w:tcBorders>
          </w:tcPr>
          <w:p>
            <w:pPr>
              <w:spacing w:after="0"/>
              <w:rPr>
                <w:sz w:val="14"/>
                <w:szCs w:val="14"/>
                <w:color w:val="auto"/>
              </w:rPr>
            </w:pPr>
          </w:p>
        </w:tc>
        <w:tc>
          <w:tcPr>
            <w:tcW w:w="1360" w:type="dxa"/>
            <w:vAlign w:val="bottom"/>
            <w:tcBorders>
              <w:bottom w:val="single" w:sz="8" w:color="auto"/>
            </w:tcBorders>
          </w:tcPr>
          <w:p>
            <w:pPr>
              <w:jc w:val="right"/>
              <w:ind w:right="634"/>
              <w:spacing w:after="0"/>
              <w:rPr>
                <w:sz w:val="20"/>
                <w:szCs w:val="20"/>
                <w:color w:val="auto"/>
              </w:rPr>
            </w:pPr>
            <w:r>
              <w:rPr>
                <w:rFonts w:ascii="Arial" w:cs="Arial" w:eastAsia="Arial" w:hAnsi="Arial"/>
                <w:sz w:val="14"/>
                <w:szCs w:val="14"/>
                <w:b w:val="1"/>
                <w:bCs w:val="1"/>
                <w:color w:val="auto"/>
              </w:rPr>
              <w:t>2021</w:t>
            </w:r>
          </w:p>
        </w:tc>
        <w:tc>
          <w:tcPr>
            <w:tcW w:w="280" w:type="dxa"/>
            <w:vAlign w:val="bottom"/>
            <w:tcBorders>
              <w:bottom w:val="single" w:sz="8" w:color="CFF0FC"/>
            </w:tcBorders>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240" w:type="dxa"/>
            <w:vAlign w:val="bottom"/>
            <w:tcBorders>
              <w:bottom w:val="single" w:sz="8" w:color="auto"/>
            </w:tcBorders>
          </w:tcPr>
          <w:p>
            <w:pPr>
              <w:spacing w:after="0"/>
              <w:rPr>
                <w:sz w:val="14"/>
                <w:szCs w:val="14"/>
                <w:color w:val="auto"/>
              </w:rPr>
            </w:pPr>
          </w:p>
        </w:tc>
        <w:tc>
          <w:tcPr>
            <w:tcW w:w="1460" w:type="dxa"/>
            <w:vAlign w:val="bottom"/>
            <w:tcBorders>
              <w:bottom w:val="single" w:sz="8" w:color="auto"/>
            </w:tcBorders>
          </w:tcPr>
          <w:p>
            <w:pPr>
              <w:jc w:val="right"/>
              <w:ind w:right="653"/>
              <w:spacing w:after="0"/>
              <w:rPr>
                <w:sz w:val="20"/>
                <w:szCs w:val="20"/>
                <w:color w:val="auto"/>
              </w:rPr>
            </w:pPr>
            <w:r>
              <w:rPr>
                <w:rFonts w:ascii="Arial" w:cs="Arial" w:eastAsia="Arial" w:hAnsi="Arial"/>
                <w:sz w:val="14"/>
                <w:szCs w:val="14"/>
                <w:b w:val="1"/>
                <w:bCs w:val="1"/>
                <w:color w:val="auto"/>
              </w:rPr>
              <w:t>2020</w:t>
            </w:r>
          </w:p>
        </w:tc>
        <w:tc>
          <w:tcPr>
            <w:tcW w:w="100" w:type="dxa"/>
            <w:vAlign w:val="bottom"/>
            <w:tcBorders>
              <w:bottom w:val="single" w:sz="8" w:color="CFF0FC"/>
            </w:tcBorders>
          </w:tcPr>
          <w:p>
            <w:pPr>
              <w:spacing w:after="0"/>
              <w:rPr>
                <w:sz w:val="14"/>
                <w:szCs w:val="14"/>
                <w:color w:val="auto"/>
              </w:rPr>
            </w:pPr>
          </w:p>
        </w:tc>
        <w:tc>
          <w:tcPr>
            <w:tcW w:w="0" w:type="dxa"/>
            <w:vAlign w:val="bottom"/>
          </w:tcPr>
          <w:p>
            <w:pPr>
              <w:spacing w:after="0"/>
              <w:rPr>
                <w:sz w:val="1"/>
                <w:szCs w:val="1"/>
                <w:color w:val="auto"/>
              </w:rPr>
            </w:pPr>
          </w:p>
        </w:tc>
      </w:tr>
      <w:tr>
        <w:trPr>
          <w:trHeight w:val="209"/>
        </w:trPr>
        <w:tc>
          <w:tcPr>
            <w:tcW w:w="580" w:type="dxa"/>
            <w:vAlign w:val="bottom"/>
          </w:tcPr>
          <w:p>
            <w:pPr>
              <w:spacing w:after="0"/>
              <w:rPr>
                <w:sz w:val="18"/>
                <w:szCs w:val="18"/>
                <w:color w:val="auto"/>
              </w:rPr>
            </w:pPr>
          </w:p>
        </w:tc>
        <w:tc>
          <w:tcPr>
            <w:tcW w:w="6100" w:type="dxa"/>
            <w:vAlign w:val="bottom"/>
            <w:shd w:val="clear" w:color="auto" w:fill="CFF0FC"/>
          </w:tcPr>
          <w:p>
            <w:pPr>
              <w:spacing w:after="0"/>
              <w:rPr>
                <w:sz w:val="20"/>
                <w:szCs w:val="20"/>
                <w:color w:val="auto"/>
              </w:rPr>
            </w:pPr>
            <w:r>
              <w:rPr>
                <w:rFonts w:ascii="Arial" w:cs="Arial" w:eastAsia="Arial" w:hAnsi="Arial"/>
                <w:sz w:val="18"/>
                <w:szCs w:val="18"/>
                <w:color w:val="auto"/>
                <w:w w:val="91"/>
              </w:rPr>
              <w:t>Senior secured credit facilities, weighted-average interest rate of 1.86% and 1.90%,</w:t>
            </w:r>
          </w:p>
        </w:tc>
        <w:tc>
          <w:tcPr>
            <w:tcW w:w="120" w:type="dxa"/>
            <w:vAlign w:val="bottom"/>
            <w:shd w:val="clear" w:color="auto" w:fill="CFF0FC"/>
          </w:tcPr>
          <w:p>
            <w:pPr>
              <w:spacing w:after="0"/>
              <w:rPr>
                <w:sz w:val="18"/>
                <w:szCs w:val="18"/>
                <w:color w:val="auto"/>
              </w:rPr>
            </w:pPr>
          </w:p>
        </w:tc>
        <w:tc>
          <w:tcPr>
            <w:tcW w:w="360" w:type="dxa"/>
            <w:vAlign w:val="bottom"/>
            <w:shd w:val="clear" w:color="auto" w:fill="CFF0FC"/>
          </w:tcPr>
          <w:p>
            <w:pPr>
              <w:spacing w:after="0"/>
              <w:rPr>
                <w:sz w:val="18"/>
                <w:szCs w:val="18"/>
                <w:color w:val="auto"/>
              </w:rPr>
            </w:pPr>
          </w:p>
        </w:tc>
        <w:tc>
          <w:tcPr>
            <w:tcW w:w="1360" w:type="dxa"/>
            <w:vAlign w:val="bottom"/>
            <w:shd w:val="clear" w:color="auto" w:fill="CFF0FC"/>
          </w:tcPr>
          <w:p>
            <w:pPr>
              <w:spacing w:after="0"/>
              <w:rPr>
                <w:sz w:val="18"/>
                <w:szCs w:val="18"/>
                <w:color w:val="auto"/>
              </w:rPr>
            </w:pPr>
          </w:p>
        </w:tc>
        <w:tc>
          <w:tcPr>
            <w:tcW w:w="280" w:type="dxa"/>
            <w:vAlign w:val="bottom"/>
            <w:shd w:val="clear" w:color="auto" w:fill="CFF0FC"/>
          </w:tcPr>
          <w:p>
            <w:pPr>
              <w:spacing w:after="0"/>
              <w:rPr>
                <w:sz w:val="18"/>
                <w:szCs w:val="18"/>
                <w:color w:val="auto"/>
              </w:rPr>
            </w:pPr>
          </w:p>
        </w:tc>
        <w:tc>
          <w:tcPr>
            <w:tcW w:w="80" w:type="dxa"/>
            <w:vAlign w:val="bottom"/>
            <w:shd w:val="clear" w:color="auto" w:fill="CFF0FC"/>
          </w:tcPr>
          <w:p>
            <w:pPr>
              <w:spacing w:after="0"/>
              <w:rPr>
                <w:sz w:val="18"/>
                <w:szCs w:val="18"/>
                <w:color w:val="auto"/>
              </w:rPr>
            </w:pPr>
          </w:p>
        </w:tc>
        <w:tc>
          <w:tcPr>
            <w:tcW w:w="240" w:type="dxa"/>
            <w:vAlign w:val="bottom"/>
            <w:shd w:val="clear" w:color="auto" w:fill="CFF0FC"/>
          </w:tcPr>
          <w:p>
            <w:pPr>
              <w:spacing w:after="0"/>
              <w:rPr>
                <w:sz w:val="18"/>
                <w:szCs w:val="18"/>
                <w:color w:val="auto"/>
              </w:rPr>
            </w:pPr>
          </w:p>
        </w:tc>
        <w:tc>
          <w:tcPr>
            <w:tcW w:w="146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580" w:type="dxa"/>
            <w:vAlign w:val="bottom"/>
          </w:tcPr>
          <w:p>
            <w:pPr>
              <w:spacing w:after="0"/>
              <w:rPr>
                <w:sz w:val="20"/>
                <w:szCs w:val="20"/>
                <w:color w:val="auto"/>
              </w:rPr>
            </w:pPr>
          </w:p>
        </w:tc>
        <w:tc>
          <w:tcPr>
            <w:tcW w:w="6100" w:type="dxa"/>
            <w:vAlign w:val="bottom"/>
            <w:shd w:val="clear" w:color="auto" w:fill="CFF0FC"/>
          </w:tcPr>
          <w:p>
            <w:pPr>
              <w:spacing w:after="0"/>
              <w:rPr>
                <w:sz w:val="20"/>
                <w:szCs w:val="20"/>
                <w:color w:val="auto"/>
              </w:rPr>
            </w:pPr>
            <w:r>
              <w:rPr>
                <w:rFonts w:ascii="Arial" w:cs="Arial" w:eastAsia="Arial" w:hAnsi="Arial"/>
                <w:sz w:val="18"/>
                <w:szCs w:val="18"/>
                <w:color w:val="auto"/>
              </w:rPr>
              <w:t>respectively</w:t>
            </w:r>
          </w:p>
        </w:tc>
        <w:tc>
          <w:tcPr>
            <w:tcW w:w="480" w:type="dxa"/>
            <w:vAlign w:val="bottom"/>
            <w:gridSpan w:val="2"/>
            <w:shd w:val="clear" w:color="auto" w:fill="CFF0FC"/>
          </w:tcPr>
          <w:p>
            <w:pPr>
              <w:jc w:val="right"/>
              <w:ind w:right="207"/>
              <w:spacing w:after="0"/>
              <w:rPr>
                <w:sz w:val="20"/>
                <w:szCs w:val="20"/>
                <w:color w:val="auto"/>
              </w:rPr>
            </w:pPr>
            <w:r>
              <w:rPr>
                <w:rFonts w:ascii="Arial" w:cs="Arial" w:eastAsia="Arial" w:hAnsi="Arial"/>
                <w:sz w:val="18"/>
                <w:szCs w:val="18"/>
                <w:color w:val="auto"/>
              </w:rPr>
              <w:t>$</w:t>
            </w:r>
          </w:p>
        </w:tc>
        <w:tc>
          <w:tcPr>
            <w:tcW w:w="13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4,432.0</w:t>
            </w:r>
          </w:p>
        </w:tc>
        <w:tc>
          <w:tcPr>
            <w:tcW w:w="280" w:type="dxa"/>
            <w:vAlign w:val="bottom"/>
            <w:shd w:val="clear" w:color="auto" w:fill="CFF0FC"/>
          </w:tcPr>
          <w:p>
            <w:pPr>
              <w:spacing w:after="0"/>
              <w:rPr>
                <w:sz w:val="20"/>
                <w:szCs w:val="20"/>
                <w:color w:val="auto"/>
              </w:rPr>
            </w:pPr>
          </w:p>
        </w:tc>
        <w:tc>
          <w:tcPr>
            <w:tcW w:w="320" w:type="dxa"/>
            <w:vAlign w:val="bottom"/>
            <w:gridSpan w:val="2"/>
            <w:shd w:val="clear" w:color="auto" w:fill="CFF0FC"/>
          </w:tcPr>
          <w:p>
            <w:pPr>
              <w:jc w:val="right"/>
              <w:ind w:right="220"/>
              <w:spacing w:after="0"/>
              <w:rPr>
                <w:sz w:val="20"/>
                <w:szCs w:val="20"/>
                <w:color w:val="auto"/>
              </w:rPr>
            </w:pPr>
            <w:r>
              <w:rPr>
                <w:rFonts w:ascii="Arial" w:cs="Arial" w:eastAsia="Arial" w:hAnsi="Arial"/>
                <w:sz w:val="18"/>
                <w:szCs w:val="18"/>
                <w:color w:val="auto"/>
                <w:w w:val="79"/>
              </w:rPr>
              <w:t>$</w:t>
            </w:r>
          </w:p>
        </w:tc>
        <w:tc>
          <w:tcPr>
            <w:tcW w:w="14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4,485.9</w:t>
            </w:r>
          </w:p>
        </w:tc>
        <w:tc>
          <w:tcPr>
            <w:tcW w:w="100" w:type="dxa"/>
            <w:vAlign w:val="bottom"/>
            <w:shd w:val="clear" w:color="auto" w:fill="CFF0FC"/>
          </w:tcPr>
          <w:p>
            <w:pPr>
              <w:spacing w:after="0"/>
              <w:rPr>
                <w:sz w:val="20"/>
                <w:szCs w:val="20"/>
                <w:color w:val="auto"/>
              </w:rPr>
            </w:pPr>
          </w:p>
        </w:tc>
        <w:tc>
          <w:tcPr>
            <w:tcW w:w="0" w:type="dxa"/>
            <w:vAlign w:val="bottom"/>
          </w:tcPr>
          <w:p>
            <w:pPr>
              <w:spacing w:after="0"/>
              <w:rPr>
                <w:sz w:val="1"/>
                <w:szCs w:val="1"/>
                <w:color w:val="auto"/>
              </w:rPr>
            </w:pPr>
          </w:p>
        </w:tc>
      </w:tr>
      <w:tr>
        <w:trPr>
          <w:trHeight w:val="229"/>
        </w:trPr>
        <w:tc>
          <w:tcPr>
            <w:tcW w:w="580" w:type="dxa"/>
            <w:vAlign w:val="bottom"/>
          </w:tcPr>
          <w:p>
            <w:pPr>
              <w:spacing w:after="0"/>
              <w:rPr>
                <w:sz w:val="19"/>
                <w:szCs w:val="19"/>
                <w:color w:val="auto"/>
              </w:rPr>
            </w:pPr>
          </w:p>
        </w:tc>
        <w:tc>
          <w:tcPr>
            <w:tcW w:w="6100" w:type="dxa"/>
            <w:vAlign w:val="bottom"/>
          </w:tcPr>
          <w:p>
            <w:pPr>
              <w:spacing w:after="0"/>
              <w:rPr>
                <w:sz w:val="20"/>
                <w:szCs w:val="20"/>
                <w:color w:val="auto"/>
              </w:rPr>
            </w:pPr>
            <w:r>
              <w:rPr>
                <w:rFonts w:ascii="Arial" w:cs="Arial" w:eastAsia="Arial" w:hAnsi="Arial"/>
                <w:sz w:val="18"/>
                <w:szCs w:val="18"/>
                <w:color w:val="auto"/>
              </w:rPr>
              <w:t>5.5% senior notes due 2027</w:t>
            </w:r>
          </w:p>
        </w:tc>
        <w:tc>
          <w:tcPr>
            <w:tcW w:w="12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360" w:type="dxa"/>
            <w:vAlign w:val="bottom"/>
          </w:tcPr>
          <w:p>
            <w:pPr>
              <w:jc w:val="right"/>
              <w:spacing w:after="0"/>
              <w:rPr>
                <w:sz w:val="20"/>
                <w:szCs w:val="20"/>
                <w:color w:val="auto"/>
              </w:rPr>
            </w:pPr>
            <w:r>
              <w:rPr>
                <w:rFonts w:ascii="Arial" w:cs="Arial" w:eastAsia="Arial" w:hAnsi="Arial"/>
                <w:sz w:val="18"/>
                <w:szCs w:val="18"/>
                <w:color w:val="auto"/>
              </w:rPr>
              <w:t>2,000.0</w:t>
            </w:r>
          </w:p>
        </w:tc>
        <w:tc>
          <w:tcPr>
            <w:tcW w:w="28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460" w:type="dxa"/>
            <w:vAlign w:val="bottom"/>
          </w:tcPr>
          <w:p>
            <w:pPr>
              <w:jc w:val="right"/>
              <w:spacing w:after="0"/>
              <w:rPr>
                <w:sz w:val="20"/>
                <w:szCs w:val="20"/>
                <w:color w:val="auto"/>
              </w:rPr>
            </w:pPr>
            <w:r>
              <w:rPr>
                <w:rFonts w:ascii="Arial" w:cs="Arial" w:eastAsia="Arial" w:hAnsi="Arial"/>
                <w:sz w:val="18"/>
                <w:szCs w:val="18"/>
                <w:color w:val="auto"/>
              </w:rPr>
              <w:t>2,000.0</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580" w:type="dxa"/>
            <w:vAlign w:val="bottom"/>
          </w:tcPr>
          <w:p>
            <w:pPr>
              <w:spacing w:after="0"/>
              <w:rPr>
                <w:sz w:val="19"/>
                <w:szCs w:val="19"/>
                <w:color w:val="auto"/>
              </w:rPr>
            </w:pPr>
          </w:p>
        </w:tc>
        <w:tc>
          <w:tcPr>
            <w:tcW w:w="6100" w:type="dxa"/>
            <w:vAlign w:val="bottom"/>
            <w:shd w:val="clear" w:color="auto" w:fill="CFF0FC"/>
          </w:tcPr>
          <w:p>
            <w:pPr>
              <w:spacing w:after="0"/>
              <w:rPr>
                <w:sz w:val="20"/>
                <w:szCs w:val="20"/>
                <w:color w:val="auto"/>
              </w:rPr>
            </w:pPr>
            <w:r>
              <w:rPr>
                <w:rFonts w:ascii="Arial" w:cs="Arial" w:eastAsia="Arial" w:hAnsi="Arial"/>
                <w:sz w:val="18"/>
                <w:szCs w:val="18"/>
                <w:color w:val="auto"/>
              </w:rPr>
              <w:t>Senior secured credit facilities revolving portion, interest rate of 2.11%</w:t>
            </w:r>
          </w:p>
        </w:tc>
        <w:tc>
          <w:tcPr>
            <w:tcW w:w="120" w:type="dxa"/>
            <w:vAlign w:val="bottom"/>
            <w:shd w:val="clear" w:color="auto" w:fill="CFF0FC"/>
          </w:tcPr>
          <w:p>
            <w:pPr>
              <w:spacing w:after="0"/>
              <w:rPr>
                <w:sz w:val="19"/>
                <w:szCs w:val="19"/>
                <w:color w:val="auto"/>
              </w:rPr>
            </w:pPr>
          </w:p>
        </w:tc>
        <w:tc>
          <w:tcPr>
            <w:tcW w:w="360" w:type="dxa"/>
            <w:vAlign w:val="bottom"/>
            <w:shd w:val="clear" w:color="auto" w:fill="CFF0FC"/>
          </w:tcPr>
          <w:p>
            <w:pPr>
              <w:spacing w:after="0"/>
              <w:rPr>
                <w:sz w:val="19"/>
                <w:szCs w:val="19"/>
                <w:color w:val="auto"/>
              </w:rPr>
            </w:pPr>
          </w:p>
        </w:tc>
        <w:tc>
          <w:tcPr>
            <w:tcW w:w="13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126.0</w:t>
            </w:r>
          </w:p>
        </w:tc>
        <w:tc>
          <w:tcPr>
            <w:tcW w:w="28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1560" w:type="dxa"/>
            <w:vAlign w:val="bottom"/>
            <w:gridSpan w:val="2"/>
            <w:shd w:val="clear" w:color="auto" w:fill="CFF0FC"/>
          </w:tcPr>
          <w:p>
            <w:pPr>
              <w:jc w:val="right"/>
              <w:ind w:right="12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30"/>
        </w:trPr>
        <w:tc>
          <w:tcPr>
            <w:tcW w:w="580" w:type="dxa"/>
            <w:vAlign w:val="bottom"/>
          </w:tcPr>
          <w:p>
            <w:pPr>
              <w:spacing w:after="0"/>
              <w:rPr>
                <w:sz w:val="19"/>
                <w:szCs w:val="19"/>
                <w:color w:val="auto"/>
              </w:rPr>
            </w:pPr>
          </w:p>
        </w:tc>
        <w:tc>
          <w:tcPr>
            <w:tcW w:w="6100" w:type="dxa"/>
            <w:vAlign w:val="bottom"/>
          </w:tcPr>
          <w:p>
            <w:pPr>
              <w:spacing w:after="0"/>
              <w:rPr>
                <w:sz w:val="20"/>
                <w:szCs w:val="20"/>
                <w:color w:val="auto"/>
              </w:rPr>
            </w:pPr>
            <w:r>
              <w:rPr>
                <w:rFonts w:ascii="Arial" w:cs="Arial" w:eastAsia="Arial" w:hAnsi="Arial"/>
                <w:sz w:val="18"/>
                <w:szCs w:val="18"/>
                <w:color w:val="auto"/>
              </w:rPr>
              <w:t>Other indebtedness</w:t>
            </w:r>
          </w:p>
        </w:tc>
        <w:tc>
          <w:tcPr>
            <w:tcW w:w="12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360" w:type="dxa"/>
            <w:vAlign w:val="bottom"/>
          </w:tcPr>
          <w:p>
            <w:pPr>
              <w:jc w:val="right"/>
              <w:spacing w:after="0"/>
              <w:rPr>
                <w:sz w:val="20"/>
                <w:szCs w:val="20"/>
                <w:color w:val="auto"/>
              </w:rPr>
            </w:pPr>
            <w:r>
              <w:rPr>
                <w:rFonts w:ascii="Arial" w:cs="Arial" w:eastAsia="Arial" w:hAnsi="Arial"/>
                <w:sz w:val="18"/>
                <w:szCs w:val="18"/>
                <w:color w:val="auto"/>
              </w:rPr>
              <w:t>8.6</w:t>
            </w:r>
          </w:p>
        </w:tc>
        <w:tc>
          <w:tcPr>
            <w:tcW w:w="28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460" w:type="dxa"/>
            <w:vAlign w:val="bottom"/>
          </w:tcPr>
          <w:p>
            <w:pPr>
              <w:jc w:val="right"/>
              <w:spacing w:after="0"/>
              <w:rPr>
                <w:sz w:val="20"/>
                <w:szCs w:val="20"/>
                <w:color w:val="auto"/>
              </w:rPr>
            </w:pPr>
            <w:r>
              <w:rPr>
                <w:rFonts w:ascii="Arial" w:cs="Arial" w:eastAsia="Arial" w:hAnsi="Arial"/>
                <w:sz w:val="18"/>
                <w:szCs w:val="18"/>
                <w:color w:val="auto"/>
              </w:rPr>
              <w:t>10.1</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580" w:type="dxa"/>
            <w:vAlign w:val="bottom"/>
          </w:tcPr>
          <w:p>
            <w:pPr>
              <w:spacing w:after="0"/>
              <w:rPr>
                <w:sz w:val="19"/>
                <w:szCs w:val="19"/>
                <w:color w:val="auto"/>
              </w:rPr>
            </w:pPr>
          </w:p>
        </w:tc>
        <w:tc>
          <w:tcPr>
            <w:tcW w:w="6100" w:type="dxa"/>
            <w:vAlign w:val="bottom"/>
            <w:shd w:val="clear" w:color="auto" w:fill="CFF0FC"/>
          </w:tcPr>
          <w:p>
            <w:pPr>
              <w:spacing w:after="0"/>
              <w:rPr>
                <w:sz w:val="20"/>
                <w:szCs w:val="20"/>
                <w:color w:val="auto"/>
              </w:rPr>
            </w:pPr>
            <w:r>
              <w:rPr>
                <w:rFonts w:ascii="Arial" w:cs="Arial" w:eastAsia="Arial" w:hAnsi="Arial"/>
                <w:sz w:val="18"/>
                <w:szCs w:val="18"/>
                <w:color w:val="auto"/>
              </w:rPr>
              <w:t>Unamortized original issue discount and debt issuance costs</w:t>
            </w:r>
          </w:p>
        </w:tc>
        <w:tc>
          <w:tcPr>
            <w:tcW w:w="120" w:type="dxa"/>
            <w:vAlign w:val="bottom"/>
            <w:shd w:val="clear" w:color="auto" w:fill="CFF0FC"/>
          </w:tcPr>
          <w:p>
            <w:pPr>
              <w:spacing w:after="0"/>
              <w:rPr>
                <w:sz w:val="19"/>
                <w:szCs w:val="19"/>
                <w:color w:val="auto"/>
              </w:rPr>
            </w:pPr>
          </w:p>
        </w:tc>
        <w:tc>
          <w:tcPr>
            <w:tcW w:w="360" w:type="dxa"/>
            <w:vAlign w:val="bottom"/>
            <w:shd w:val="clear" w:color="auto" w:fill="CFF0FC"/>
          </w:tcPr>
          <w:p>
            <w:pPr>
              <w:spacing w:after="0"/>
              <w:rPr>
                <w:sz w:val="19"/>
                <w:szCs w:val="19"/>
                <w:color w:val="auto"/>
              </w:rPr>
            </w:pPr>
          </w:p>
        </w:tc>
        <w:tc>
          <w:tcPr>
            <w:tcW w:w="1640" w:type="dxa"/>
            <w:vAlign w:val="bottom"/>
            <w:gridSpan w:val="2"/>
            <w:shd w:val="clear" w:color="auto" w:fill="CFF0FC"/>
          </w:tcPr>
          <w:p>
            <w:pPr>
              <w:jc w:val="right"/>
              <w:ind w:right="220"/>
              <w:spacing w:after="0"/>
              <w:rPr>
                <w:sz w:val="20"/>
                <w:szCs w:val="20"/>
                <w:color w:val="auto"/>
              </w:rPr>
            </w:pPr>
            <w:r>
              <w:rPr>
                <w:rFonts w:ascii="Arial" w:cs="Arial" w:eastAsia="Arial" w:hAnsi="Arial"/>
                <w:sz w:val="18"/>
                <w:szCs w:val="18"/>
                <w:color w:val="auto"/>
              </w:rPr>
              <w:t>(50.3)</w:t>
            </w:r>
          </w:p>
        </w:tc>
        <w:tc>
          <w:tcPr>
            <w:tcW w:w="8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1560" w:type="dxa"/>
            <w:vAlign w:val="bottom"/>
            <w:gridSpan w:val="2"/>
            <w:shd w:val="clear" w:color="auto" w:fill="CFF0FC"/>
          </w:tcPr>
          <w:p>
            <w:pPr>
              <w:jc w:val="right"/>
              <w:ind w:right="40"/>
              <w:spacing w:after="0"/>
              <w:rPr>
                <w:sz w:val="20"/>
                <w:szCs w:val="20"/>
                <w:color w:val="auto"/>
              </w:rPr>
            </w:pPr>
            <w:r>
              <w:rPr>
                <w:rFonts w:ascii="Arial" w:cs="Arial" w:eastAsia="Arial" w:hAnsi="Arial"/>
                <w:sz w:val="18"/>
                <w:szCs w:val="18"/>
                <w:color w:val="auto"/>
              </w:rPr>
              <w:t>(53.6)</w:t>
            </w:r>
          </w:p>
        </w:tc>
        <w:tc>
          <w:tcPr>
            <w:tcW w:w="0" w:type="dxa"/>
            <w:vAlign w:val="bottom"/>
          </w:tcPr>
          <w:p>
            <w:pPr>
              <w:spacing w:after="0"/>
              <w:rPr>
                <w:sz w:val="1"/>
                <w:szCs w:val="1"/>
                <w:color w:val="auto"/>
              </w:rPr>
            </w:pPr>
          </w:p>
        </w:tc>
      </w:tr>
      <w:tr>
        <w:trPr>
          <w:trHeight w:val="223"/>
        </w:trPr>
        <w:tc>
          <w:tcPr>
            <w:tcW w:w="580" w:type="dxa"/>
            <w:vAlign w:val="bottom"/>
          </w:tcPr>
          <w:p>
            <w:pPr>
              <w:spacing w:after="0"/>
              <w:rPr>
                <w:sz w:val="19"/>
                <w:szCs w:val="19"/>
                <w:color w:val="auto"/>
              </w:rPr>
            </w:pPr>
          </w:p>
        </w:tc>
        <w:tc>
          <w:tcPr>
            <w:tcW w:w="6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360" w:type="dxa"/>
            <w:vAlign w:val="bottom"/>
            <w:tcBorders>
              <w:top w:val="single" w:sz="8" w:color="auto"/>
            </w:tcBorders>
          </w:tcPr>
          <w:p>
            <w:pPr>
              <w:spacing w:after="0"/>
              <w:rPr>
                <w:sz w:val="19"/>
                <w:szCs w:val="19"/>
                <w:color w:val="auto"/>
              </w:rPr>
            </w:pPr>
          </w:p>
        </w:tc>
        <w:tc>
          <w:tcPr>
            <w:tcW w:w="13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6,516.3</w:t>
            </w:r>
          </w:p>
        </w:tc>
        <w:tc>
          <w:tcPr>
            <w:tcW w:w="280" w:type="dxa"/>
            <w:vAlign w:val="bottom"/>
          </w:tcPr>
          <w:p>
            <w:pPr>
              <w:spacing w:after="0"/>
              <w:rPr>
                <w:sz w:val="19"/>
                <w:szCs w:val="19"/>
                <w:color w:val="auto"/>
              </w:rPr>
            </w:pPr>
          </w:p>
        </w:tc>
        <w:tc>
          <w:tcPr>
            <w:tcW w:w="80" w:type="dxa"/>
            <w:vAlign w:val="bottom"/>
            <w:tcBorders>
              <w:top w:val="single" w:sz="8" w:color="auto"/>
            </w:tcBorders>
          </w:tcPr>
          <w:p>
            <w:pPr>
              <w:spacing w:after="0"/>
              <w:rPr>
                <w:sz w:val="19"/>
                <w:szCs w:val="19"/>
                <w:color w:val="auto"/>
              </w:rPr>
            </w:pPr>
          </w:p>
        </w:tc>
        <w:tc>
          <w:tcPr>
            <w:tcW w:w="240" w:type="dxa"/>
            <w:vAlign w:val="bottom"/>
            <w:tcBorders>
              <w:top w:val="single" w:sz="8" w:color="auto"/>
            </w:tcBorders>
          </w:tcPr>
          <w:p>
            <w:pPr>
              <w:spacing w:after="0"/>
              <w:rPr>
                <w:sz w:val="19"/>
                <w:szCs w:val="19"/>
                <w:color w:val="auto"/>
              </w:rPr>
            </w:pPr>
          </w:p>
        </w:tc>
        <w:tc>
          <w:tcPr>
            <w:tcW w:w="14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6,442.4</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580" w:type="dxa"/>
            <w:vAlign w:val="bottom"/>
          </w:tcPr>
          <w:p>
            <w:pPr>
              <w:spacing w:after="0"/>
              <w:rPr>
                <w:sz w:val="19"/>
                <w:szCs w:val="19"/>
                <w:color w:val="auto"/>
              </w:rPr>
            </w:pPr>
          </w:p>
        </w:tc>
        <w:tc>
          <w:tcPr>
            <w:tcW w:w="6100" w:type="dxa"/>
            <w:vAlign w:val="bottom"/>
            <w:shd w:val="clear" w:color="auto" w:fill="CFF0FC"/>
          </w:tcPr>
          <w:p>
            <w:pPr>
              <w:spacing w:after="0"/>
              <w:rPr>
                <w:sz w:val="20"/>
                <w:szCs w:val="20"/>
                <w:color w:val="auto"/>
              </w:rPr>
            </w:pPr>
            <w:r>
              <w:rPr>
                <w:rFonts w:ascii="Arial" w:cs="Arial" w:eastAsia="Arial" w:hAnsi="Arial"/>
                <w:sz w:val="18"/>
                <w:szCs w:val="18"/>
                <w:color w:val="auto"/>
              </w:rPr>
              <w:t>Less: current portion of long-term debt</w:t>
            </w:r>
          </w:p>
        </w:tc>
        <w:tc>
          <w:tcPr>
            <w:tcW w:w="120" w:type="dxa"/>
            <w:vAlign w:val="bottom"/>
            <w:shd w:val="clear" w:color="auto" w:fill="CFF0FC"/>
          </w:tcPr>
          <w:p>
            <w:pPr>
              <w:spacing w:after="0"/>
              <w:rPr>
                <w:sz w:val="19"/>
                <w:szCs w:val="19"/>
                <w:color w:val="auto"/>
              </w:rPr>
            </w:pPr>
          </w:p>
        </w:tc>
        <w:tc>
          <w:tcPr>
            <w:tcW w:w="360" w:type="dxa"/>
            <w:vAlign w:val="bottom"/>
            <w:tcBorders>
              <w:bottom w:val="single" w:sz="8" w:color="auto"/>
            </w:tcBorders>
            <w:shd w:val="clear" w:color="auto" w:fill="CFF0FC"/>
          </w:tcPr>
          <w:p>
            <w:pPr>
              <w:spacing w:after="0"/>
              <w:rPr>
                <w:sz w:val="19"/>
                <w:szCs w:val="19"/>
                <w:color w:val="auto"/>
              </w:rPr>
            </w:pPr>
          </w:p>
        </w:tc>
        <w:tc>
          <w:tcPr>
            <w:tcW w:w="13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178.2</w:t>
            </w:r>
          </w:p>
        </w:tc>
        <w:tc>
          <w:tcPr>
            <w:tcW w:w="280" w:type="dxa"/>
            <w:vAlign w:val="bottom"/>
            <w:shd w:val="clear" w:color="auto" w:fill="CFF0FC"/>
          </w:tcPr>
          <w:p>
            <w:pPr>
              <w:spacing w:after="0"/>
              <w:rPr>
                <w:sz w:val="19"/>
                <w:szCs w:val="19"/>
                <w:color w:val="auto"/>
              </w:rPr>
            </w:pPr>
          </w:p>
        </w:tc>
        <w:tc>
          <w:tcPr>
            <w:tcW w:w="80" w:type="dxa"/>
            <w:vAlign w:val="bottom"/>
            <w:tcBorders>
              <w:bottom w:val="single" w:sz="8" w:color="auto"/>
            </w:tcBorders>
            <w:shd w:val="clear" w:color="auto" w:fill="CFF0FC"/>
          </w:tcPr>
          <w:p>
            <w:pPr>
              <w:spacing w:after="0"/>
              <w:rPr>
                <w:sz w:val="19"/>
                <w:szCs w:val="19"/>
                <w:color w:val="auto"/>
              </w:rPr>
            </w:pPr>
          </w:p>
        </w:tc>
        <w:tc>
          <w:tcPr>
            <w:tcW w:w="240" w:type="dxa"/>
            <w:vAlign w:val="bottom"/>
            <w:tcBorders>
              <w:bottom w:val="single" w:sz="8" w:color="auto"/>
            </w:tcBorders>
            <w:shd w:val="clear" w:color="auto" w:fill="CFF0FC"/>
          </w:tcPr>
          <w:p>
            <w:pPr>
              <w:spacing w:after="0"/>
              <w:rPr>
                <w:sz w:val="19"/>
                <w:szCs w:val="19"/>
                <w:color w:val="auto"/>
              </w:rPr>
            </w:pPr>
          </w:p>
        </w:tc>
        <w:tc>
          <w:tcPr>
            <w:tcW w:w="14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53.9</w:t>
            </w: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580" w:type="dxa"/>
            <w:vAlign w:val="bottom"/>
          </w:tcPr>
          <w:p>
            <w:pPr>
              <w:spacing w:after="0"/>
              <w:rPr>
                <w:sz w:val="19"/>
                <w:szCs w:val="19"/>
                <w:color w:val="auto"/>
              </w:rPr>
            </w:pPr>
          </w:p>
        </w:tc>
        <w:tc>
          <w:tcPr>
            <w:tcW w:w="6100" w:type="dxa"/>
            <w:vAlign w:val="bottom"/>
          </w:tcPr>
          <w:p>
            <w:pPr>
              <w:ind w:left="120"/>
              <w:spacing w:after="0"/>
              <w:rPr>
                <w:sz w:val="20"/>
                <w:szCs w:val="20"/>
                <w:color w:val="auto"/>
              </w:rPr>
            </w:pPr>
            <w:r>
              <w:rPr>
                <w:rFonts w:ascii="Arial" w:cs="Arial" w:eastAsia="Arial" w:hAnsi="Arial"/>
                <w:sz w:val="18"/>
                <w:szCs w:val="18"/>
                <w:color w:val="auto"/>
              </w:rPr>
              <w:t>Long-term debt</w:t>
            </w:r>
          </w:p>
        </w:tc>
        <w:tc>
          <w:tcPr>
            <w:tcW w:w="120" w:type="dxa"/>
            <w:vAlign w:val="bottom"/>
          </w:tcPr>
          <w:p>
            <w:pPr>
              <w:spacing w:after="0"/>
              <w:rPr>
                <w:sz w:val="19"/>
                <w:szCs w:val="19"/>
                <w:color w:val="auto"/>
              </w:rPr>
            </w:pPr>
          </w:p>
        </w:tc>
        <w:tc>
          <w:tcPr>
            <w:tcW w:w="360" w:type="dxa"/>
            <w:vAlign w:val="bottom"/>
            <w:tcBorders>
              <w:bottom w:val="single" w:sz="8" w:color="auto"/>
            </w:tcBorders>
          </w:tcPr>
          <w:p>
            <w:pPr>
              <w:jc w:val="right"/>
              <w:ind w:right="207"/>
              <w:spacing w:after="0"/>
              <w:rPr>
                <w:sz w:val="20"/>
                <w:szCs w:val="20"/>
                <w:color w:val="auto"/>
              </w:rPr>
            </w:pPr>
            <w:r>
              <w:rPr>
                <w:rFonts w:ascii="Arial" w:cs="Arial" w:eastAsia="Arial" w:hAnsi="Arial"/>
                <w:sz w:val="15"/>
                <w:szCs w:val="15"/>
                <w:color w:val="auto"/>
                <w:w w:val="71"/>
              </w:rPr>
              <w:t>$</w:t>
            </w:r>
          </w:p>
        </w:tc>
        <w:tc>
          <w:tcPr>
            <w:tcW w:w="13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6,338.1</w:t>
            </w:r>
          </w:p>
        </w:tc>
        <w:tc>
          <w:tcPr>
            <w:tcW w:w="280" w:type="dxa"/>
            <w:vAlign w:val="bottom"/>
          </w:tcPr>
          <w:p>
            <w:pPr>
              <w:spacing w:after="0"/>
              <w:rPr>
                <w:sz w:val="19"/>
                <w:szCs w:val="19"/>
                <w:color w:val="auto"/>
              </w:rPr>
            </w:pPr>
          </w:p>
        </w:tc>
        <w:tc>
          <w:tcPr>
            <w:tcW w:w="320" w:type="dxa"/>
            <w:vAlign w:val="bottom"/>
            <w:tcBorders>
              <w:bottom w:val="single" w:sz="8" w:color="auto"/>
            </w:tcBorders>
            <w:gridSpan w:val="2"/>
          </w:tcPr>
          <w:p>
            <w:pPr>
              <w:jc w:val="right"/>
              <w:ind w:right="220"/>
              <w:spacing w:after="0"/>
              <w:rPr>
                <w:sz w:val="20"/>
                <w:szCs w:val="20"/>
                <w:color w:val="auto"/>
              </w:rPr>
            </w:pPr>
            <w:r>
              <w:rPr>
                <w:rFonts w:ascii="Arial" w:cs="Arial" w:eastAsia="Arial" w:hAnsi="Arial"/>
                <w:sz w:val="18"/>
                <w:szCs w:val="18"/>
                <w:color w:val="auto"/>
                <w:w w:val="79"/>
              </w:rPr>
              <w:t>$</w:t>
            </w:r>
          </w:p>
        </w:tc>
        <w:tc>
          <w:tcPr>
            <w:tcW w:w="14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6,388.5</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580" w:type="dxa"/>
            <w:vAlign w:val="bottom"/>
          </w:tcPr>
          <w:p>
            <w:pPr>
              <w:spacing w:after="0" w:line="20" w:lineRule="exact"/>
              <w:rPr>
                <w:sz w:val="1"/>
                <w:szCs w:val="1"/>
                <w:color w:val="auto"/>
              </w:rPr>
            </w:pPr>
          </w:p>
        </w:tc>
        <w:tc>
          <w:tcPr>
            <w:tcW w:w="6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360" w:type="dxa"/>
            <w:vAlign w:val="bottom"/>
            <w:tcBorders>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4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2"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Fair Value of Debt</w:t>
      </w:r>
    </w:p>
    <w:p>
      <w:pPr>
        <w:spacing w:after="0" w:line="117" w:lineRule="exact"/>
        <w:rPr>
          <w:sz w:val="20"/>
          <w:szCs w:val="20"/>
          <w:color w:val="auto"/>
        </w:rPr>
      </w:pPr>
    </w:p>
    <w:p>
      <w:pPr>
        <w:ind w:left="520"/>
        <w:spacing w:after="0"/>
        <w:rPr>
          <w:sz w:val="20"/>
          <w:szCs w:val="20"/>
          <w:color w:val="auto"/>
        </w:rPr>
      </w:pPr>
      <w:r>
        <w:rPr>
          <w:rFonts w:ascii="Arial" w:cs="Arial" w:eastAsia="Arial" w:hAnsi="Arial"/>
          <w:sz w:val="18"/>
          <w:szCs w:val="18"/>
          <w:color w:val="auto"/>
        </w:rPr>
        <w:t>The carrying amounts and fair values of financial instruments are as follows (in millions):</w:t>
      </w:r>
    </w:p>
    <w:p>
      <w:pPr>
        <w:spacing w:after="0" w:line="298" w:lineRule="exact"/>
        <w:rPr>
          <w:sz w:val="20"/>
          <w:szCs w:val="20"/>
          <w:color w:val="auto"/>
        </w:rPr>
      </w:pPr>
    </w:p>
    <w:tbl>
      <w:tblPr>
        <w:tblLayout w:type="fixed"/>
        <w:tblInd w:w="580" w:type="dxa"/>
        <w:tblCellMar>
          <w:top w:w="0" w:type="dxa"/>
          <w:left w:w="0" w:type="dxa"/>
          <w:bottom w:w="0" w:type="dxa"/>
          <w:right w:w="0" w:type="dxa"/>
        </w:tblCellMar>
      </w:tblPr>
      <w:tr>
        <w:trPr>
          <w:trHeight w:val="171"/>
        </w:trPr>
        <w:tc>
          <w:tcPr>
            <w:tcW w:w="42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660" w:type="dxa"/>
            <w:vAlign w:val="bottom"/>
            <w:gridSpan w:val="3"/>
          </w:tcPr>
          <w:p>
            <w:pPr>
              <w:jc w:val="right"/>
              <w:ind w:right="40"/>
              <w:spacing w:after="0"/>
              <w:rPr>
                <w:sz w:val="20"/>
                <w:szCs w:val="20"/>
                <w:color w:val="auto"/>
              </w:rPr>
            </w:pPr>
            <w:r>
              <w:rPr>
                <w:rFonts w:ascii="Arial" w:cs="Arial" w:eastAsia="Arial" w:hAnsi="Arial"/>
                <w:sz w:val="14"/>
                <w:szCs w:val="14"/>
                <w:b w:val="1"/>
                <w:bCs w:val="1"/>
                <w:color w:val="auto"/>
              </w:rPr>
              <w:t>March 31, 2021</w:t>
            </w:r>
          </w:p>
        </w:tc>
        <w:tc>
          <w:tcPr>
            <w:tcW w:w="86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2640" w:type="dxa"/>
            <w:vAlign w:val="bottom"/>
            <w:gridSpan w:val="5"/>
          </w:tcPr>
          <w:p>
            <w:pPr>
              <w:ind w:left="560"/>
              <w:spacing w:after="0"/>
              <w:rPr>
                <w:sz w:val="20"/>
                <w:szCs w:val="20"/>
                <w:color w:val="auto"/>
              </w:rPr>
            </w:pPr>
            <w:r>
              <w:rPr>
                <w:rFonts w:ascii="Arial" w:cs="Arial" w:eastAsia="Arial" w:hAnsi="Arial"/>
                <w:sz w:val="14"/>
                <w:szCs w:val="14"/>
                <w:b w:val="1"/>
                <w:bCs w:val="1"/>
                <w:color w:val="auto"/>
              </w:rPr>
              <w:t>December 31, 2020</w:t>
            </w:r>
          </w:p>
        </w:tc>
        <w:tc>
          <w:tcPr>
            <w:tcW w:w="0" w:type="dxa"/>
            <w:vAlign w:val="bottom"/>
          </w:tcPr>
          <w:p>
            <w:pPr>
              <w:spacing w:after="0"/>
              <w:rPr>
                <w:sz w:val="1"/>
                <w:szCs w:val="1"/>
                <w:color w:val="auto"/>
              </w:rPr>
            </w:pPr>
          </w:p>
        </w:tc>
      </w:tr>
      <w:tr>
        <w:trPr>
          <w:trHeight w:val="146"/>
        </w:trPr>
        <w:tc>
          <w:tcPr>
            <w:tcW w:w="4280" w:type="dxa"/>
            <w:vAlign w:val="bottom"/>
          </w:tcPr>
          <w:p>
            <w:pPr>
              <w:spacing w:after="0"/>
              <w:rPr>
                <w:sz w:val="12"/>
                <w:szCs w:val="12"/>
                <w:color w:val="auto"/>
              </w:rPr>
            </w:pPr>
          </w:p>
        </w:tc>
        <w:tc>
          <w:tcPr>
            <w:tcW w:w="220" w:type="dxa"/>
            <w:vAlign w:val="bottom"/>
            <w:tcBorders>
              <w:top w:val="single" w:sz="8" w:color="auto"/>
            </w:tcBorders>
          </w:tcPr>
          <w:p>
            <w:pPr>
              <w:spacing w:after="0"/>
              <w:rPr>
                <w:sz w:val="12"/>
                <w:szCs w:val="12"/>
                <w:color w:val="auto"/>
              </w:rPr>
            </w:pPr>
          </w:p>
        </w:tc>
        <w:tc>
          <w:tcPr>
            <w:tcW w:w="1020" w:type="dxa"/>
            <w:vAlign w:val="bottom"/>
            <w:tcBorders>
              <w:top w:val="single" w:sz="8" w:color="auto"/>
            </w:tcBorders>
          </w:tcPr>
          <w:p>
            <w:pPr>
              <w:jc w:val="right"/>
              <w:ind w:right="258"/>
              <w:spacing w:after="0" w:line="147" w:lineRule="exact"/>
              <w:rPr>
                <w:sz w:val="20"/>
                <w:szCs w:val="20"/>
                <w:color w:val="auto"/>
              </w:rPr>
            </w:pPr>
            <w:r>
              <w:rPr>
                <w:rFonts w:ascii="Arial" w:cs="Arial" w:eastAsia="Arial" w:hAnsi="Arial"/>
                <w:sz w:val="14"/>
                <w:szCs w:val="14"/>
                <w:b w:val="1"/>
                <w:bCs w:val="1"/>
                <w:color w:val="auto"/>
              </w:rPr>
              <w:t>Carrying</w:t>
            </w:r>
          </w:p>
        </w:tc>
        <w:tc>
          <w:tcPr>
            <w:tcW w:w="240" w:type="dxa"/>
            <w:vAlign w:val="bottom"/>
            <w:tcBorders>
              <w:top w:val="single" w:sz="8" w:color="auto"/>
            </w:tcBorders>
          </w:tcPr>
          <w:p>
            <w:pPr>
              <w:spacing w:after="0"/>
              <w:rPr>
                <w:sz w:val="12"/>
                <w:szCs w:val="12"/>
                <w:color w:val="auto"/>
              </w:rPr>
            </w:pPr>
          </w:p>
        </w:tc>
        <w:tc>
          <w:tcPr>
            <w:tcW w:w="400" w:type="dxa"/>
            <w:vAlign w:val="bottom"/>
            <w:tcBorders>
              <w:top w:val="single" w:sz="8" w:color="auto"/>
            </w:tcBorders>
          </w:tcPr>
          <w:p>
            <w:pPr>
              <w:spacing w:after="0"/>
              <w:rPr>
                <w:sz w:val="12"/>
                <w:szCs w:val="12"/>
                <w:color w:val="auto"/>
              </w:rPr>
            </w:pPr>
          </w:p>
        </w:tc>
        <w:tc>
          <w:tcPr>
            <w:tcW w:w="860" w:type="dxa"/>
            <w:vAlign w:val="bottom"/>
            <w:tcBorders>
              <w:top w:val="single" w:sz="8" w:color="auto"/>
            </w:tcBorders>
          </w:tcPr>
          <w:p>
            <w:pPr>
              <w:jc w:val="right"/>
              <w:ind w:right="416"/>
              <w:spacing w:after="0" w:line="147" w:lineRule="exact"/>
              <w:rPr>
                <w:sz w:val="20"/>
                <w:szCs w:val="20"/>
                <w:color w:val="auto"/>
              </w:rPr>
            </w:pPr>
            <w:r>
              <w:rPr>
                <w:rFonts w:ascii="Arial" w:cs="Arial" w:eastAsia="Arial" w:hAnsi="Arial"/>
                <w:sz w:val="14"/>
                <w:szCs w:val="14"/>
                <w:b w:val="1"/>
                <w:bCs w:val="1"/>
                <w:color w:val="auto"/>
              </w:rPr>
              <w:t>Fair</w:t>
            </w:r>
          </w:p>
        </w:tc>
        <w:tc>
          <w:tcPr>
            <w:tcW w:w="220" w:type="dxa"/>
            <w:vAlign w:val="bottom"/>
          </w:tcPr>
          <w:p>
            <w:pPr>
              <w:spacing w:after="0"/>
              <w:rPr>
                <w:sz w:val="12"/>
                <w:szCs w:val="12"/>
                <w:color w:val="auto"/>
              </w:rPr>
            </w:pPr>
          </w:p>
        </w:tc>
        <w:tc>
          <w:tcPr>
            <w:tcW w:w="220" w:type="dxa"/>
            <w:vAlign w:val="bottom"/>
            <w:tcBorders>
              <w:top w:val="single" w:sz="8" w:color="auto"/>
            </w:tcBorders>
          </w:tcPr>
          <w:p>
            <w:pPr>
              <w:spacing w:after="0"/>
              <w:rPr>
                <w:sz w:val="12"/>
                <w:szCs w:val="12"/>
                <w:color w:val="auto"/>
              </w:rPr>
            </w:pPr>
          </w:p>
        </w:tc>
        <w:tc>
          <w:tcPr>
            <w:tcW w:w="1040" w:type="dxa"/>
            <w:vAlign w:val="bottom"/>
            <w:tcBorders>
              <w:top w:val="single" w:sz="8" w:color="auto"/>
            </w:tcBorders>
          </w:tcPr>
          <w:p>
            <w:pPr>
              <w:jc w:val="right"/>
              <w:ind w:right="278"/>
              <w:spacing w:after="0" w:line="147" w:lineRule="exact"/>
              <w:rPr>
                <w:sz w:val="20"/>
                <w:szCs w:val="20"/>
                <w:color w:val="auto"/>
              </w:rPr>
            </w:pPr>
            <w:r>
              <w:rPr>
                <w:rFonts w:ascii="Arial" w:cs="Arial" w:eastAsia="Arial" w:hAnsi="Arial"/>
                <w:sz w:val="14"/>
                <w:szCs w:val="14"/>
                <w:b w:val="1"/>
                <w:bCs w:val="1"/>
                <w:color w:val="auto"/>
              </w:rPr>
              <w:t>Carrying</w:t>
            </w:r>
          </w:p>
        </w:tc>
        <w:tc>
          <w:tcPr>
            <w:tcW w:w="220" w:type="dxa"/>
            <w:vAlign w:val="bottom"/>
            <w:tcBorders>
              <w:top w:val="single" w:sz="8" w:color="auto"/>
            </w:tcBorders>
          </w:tcPr>
          <w:p>
            <w:pPr>
              <w:spacing w:after="0"/>
              <w:rPr>
                <w:sz w:val="12"/>
                <w:szCs w:val="12"/>
                <w:color w:val="auto"/>
              </w:rPr>
            </w:pPr>
          </w:p>
        </w:tc>
        <w:tc>
          <w:tcPr>
            <w:tcW w:w="280" w:type="dxa"/>
            <w:vAlign w:val="bottom"/>
            <w:tcBorders>
              <w:top w:val="single" w:sz="8" w:color="auto"/>
            </w:tcBorders>
          </w:tcPr>
          <w:p>
            <w:pPr>
              <w:spacing w:after="0"/>
              <w:rPr>
                <w:sz w:val="12"/>
                <w:szCs w:val="12"/>
                <w:color w:val="auto"/>
              </w:rPr>
            </w:pPr>
          </w:p>
        </w:tc>
        <w:tc>
          <w:tcPr>
            <w:tcW w:w="980" w:type="dxa"/>
            <w:vAlign w:val="bottom"/>
            <w:tcBorders>
              <w:top w:val="single" w:sz="8" w:color="auto"/>
            </w:tcBorders>
          </w:tcPr>
          <w:p>
            <w:pPr>
              <w:jc w:val="center"/>
              <w:ind w:right="196"/>
              <w:spacing w:after="0" w:line="147" w:lineRule="exact"/>
              <w:rPr>
                <w:sz w:val="20"/>
                <w:szCs w:val="20"/>
                <w:color w:val="auto"/>
              </w:rPr>
            </w:pPr>
            <w:r>
              <w:rPr>
                <w:rFonts w:ascii="Arial" w:cs="Arial" w:eastAsia="Arial" w:hAnsi="Arial"/>
                <w:sz w:val="14"/>
                <w:szCs w:val="14"/>
                <w:b w:val="1"/>
                <w:bCs w:val="1"/>
                <w:color w:val="auto"/>
              </w:rPr>
              <w:t>Fair</w:t>
            </w:r>
          </w:p>
        </w:tc>
        <w:tc>
          <w:tcPr>
            <w:tcW w:w="1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71"/>
        </w:trPr>
        <w:tc>
          <w:tcPr>
            <w:tcW w:w="4280" w:type="dxa"/>
            <w:vAlign w:val="bottom"/>
            <w:vMerge w:val="restart"/>
          </w:tcPr>
          <w:p>
            <w:pPr>
              <w:spacing w:after="0"/>
              <w:rPr>
                <w:sz w:val="20"/>
                <w:szCs w:val="20"/>
                <w:color w:val="auto"/>
              </w:rPr>
            </w:pPr>
            <w:r>
              <w:rPr>
                <w:rFonts w:ascii="Arial" w:cs="Arial" w:eastAsia="Arial" w:hAnsi="Arial"/>
                <w:sz w:val="18"/>
                <w:szCs w:val="18"/>
                <w:color w:val="auto"/>
              </w:rPr>
              <w:t>Financial liabilities:</w:t>
            </w:r>
          </w:p>
        </w:tc>
        <w:tc>
          <w:tcPr>
            <w:tcW w:w="220" w:type="dxa"/>
            <w:vAlign w:val="bottom"/>
          </w:tcPr>
          <w:p>
            <w:pPr>
              <w:spacing w:after="0"/>
              <w:rPr>
                <w:sz w:val="14"/>
                <w:szCs w:val="14"/>
                <w:color w:val="auto"/>
              </w:rPr>
            </w:pPr>
          </w:p>
        </w:tc>
        <w:tc>
          <w:tcPr>
            <w:tcW w:w="1020" w:type="dxa"/>
            <w:vAlign w:val="bottom"/>
          </w:tcPr>
          <w:p>
            <w:pPr>
              <w:jc w:val="right"/>
              <w:ind w:right="278"/>
              <w:spacing w:after="0"/>
              <w:rPr>
                <w:sz w:val="20"/>
                <w:szCs w:val="20"/>
                <w:color w:val="auto"/>
              </w:rPr>
            </w:pPr>
            <w:r>
              <w:rPr>
                <w:rFonts w:ascii="Arial" w:cs="Arial" w:eastAsia="Arial" w:hAnsi="Arial"/>
                <w:sz w:val="14"/>
                <w:szCs w:val="14"/>
                <w:b w:val="1"/>
                <w:bCs w:val="1"/>
                <w:color w:val="auto"/>
              </w:rPr>
              <w:t>Amount</w:t>
            </w:r>
          </w:p>
        </w:tc>
        <w:tc>
          <w:tcPr>
            <w:tcW w:w="24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860" w:type="dxa"/>
            <w:vAlign w:val="bottom"/>
          </w:tcPr>
          <w:p>
            <w:pPr>
              <w:jc w:val="right"/>
              <w:ind w:right="376"/>
              <w:spacing w:after="0"/>
              <w:rPr>
                <w:sz w:val="20"/>
                <w:szCs w:val="20"/>
                <w:color w:val="auto"/>
              </w:rPr>
            </w:pPr>
            <w:r>
              <w:rPr>
                <w:rFonts w:ascii="Arial" w:cs="Arial" w:eastAsia="Arial" w:hAnsi="Arial"/>
                <w:sz w:val="14"/>
                <w:szCs w:val="14"/>
                <w:b w:val="1"/>
                <w:bCs w:val="1"/>
                <w:color w:val="auto"/>
              </w:rPr>
              <w:t>Value</w:t>
            </w:r>
          </w:p>
        </w:tc>
        <w:tc>
          <w:tcPr>
            <w:tcW w:w="2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040" w:type="dxa"/>
            <w:vAlign w:val="bottom"/>
          </w:tcPr>
          <w:p>
            <w:pPr>
              <w:jc w:val="right"/>
              <w:ind w:right="298"/>
              <w:spacing w:after="0"/>
              <w:rPr>
                <w:sz w:val="20"/>
                <w:szCs w:val="20"/>
                <w:color w:val="auto"/>
              </w:rPr>
            </w:pPr>
            <w:r>
              <w:rPr>
                <w:rFonts w:ascii="Arial" w:cs="Arial" w:eastAsia="Arial" w:hAnsi="Arial"/>
                <w:sz w:val="14"/>
                <w:szCs w:val="14"/>
                <w:b w:val="1"/>
                <w:bCs w:val="1"/>
                <w:color w:val="auto"/>
              </w:rPr>
              <w:t>Amount</w:t>
            </w:r>
          </w:p>
        </w:tc>
        <w:tc>
          <w:tcPr>
            <w:tcW w:w="22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1100" w:type="dxa"/>
            <w:vAlign w:val="bottom"/>
            <w:gridSpan w:val="2"/>
          </w:tcPr>
          <w:p>
            <w:pPr>
              <w:jc w:val="center"/>
              <w:ind w:right="400"/>
              <w:spacing w:after="0"/>
              <w:rPr>
                <w:sz w:val="20"/>
                <w:szCs w:val="20"/>
                <w:color w:val="auto"/>
              </w:rPr>
            </w:pPr>
            <w:r>
              <w:rPr>
                <w:rFonts w:ascii="Arial" w:cs="Arial" w:eastAsia="Arial" w:hAnsi="Arial"/>
                <w:sz w:val="14"/>
                <w:szCs w:val="14"/>
                <w:b w:val="1"/>
                <w:bCs w:val="1"/>
                <w:color w:val="auto"/>
                <w:w w:val="90"/>
              </w:rPr>
              <w:t>Value</w:t>
            </w:r>
          </w:p>
        </w:tc>
        <w:tc>
          <w:tcPr>
            <w:tcW w:w="0" w:type="dxa"/>
            <w:vAlign w:val="bottom"/>
          </w:tcPr>
          <w:p>
            <w:pPr>
              <w:spacing w:after="0"/>
              <w:rPr>
                <w:sz w:val="1"/>
                <w:szCs w:val="1"/>
                <w:color w:val="auto"/>
              </w:rPr>
            </w:pPr>
          </w:p>
        </w:tc>
      </w:tr>
      <w:tr>
        <w:trPr>
          <w:trHeight w:val="223"/>
        </w:trPr>
        <w:tc>
          <w:tcPr>
            <w:tcW w:w="4280" w:type="dxa"/>
            <w:vAlign w:val="bottom"/>
            <w:vMerge w:val="continue"/>
          </w:tcPr>
          <w:p>
            <w:pPr>
              <w:spacing w:after="0"/>
              <w:rPr>
                <w:sz w:val="19"/>
                <w:szCs w:val="19"/>
                <w:color w:val="auto"/>
              </w:rPr>
            </w:pPr>
          </w:p>
        </w:tc>
        <w:tc>
          <w:tcPr>
            <w:tcW w:w="220" w:type="dxa"/>
            <w:vAlign w:val="bottom"/>
            <w:tcBorders>
              <w:top w:val="single" w:sz="8" w:color="auto"/>
            </w:tcBorders>
          </w:tcPr>
          <w:p>
            <w:pPr>
              <w:spacing w:after="0"/>
              <w:rPr>
                <w:sz w:val="19"/>
                <w:szCs w:val="19"/>
                <w:color w:val="auto"/>
              </w:rPr>
            </w:pPr>
          </w:p>
        </w:tc>
        <w:tc>
          <w:tcPr>
            <w:tcW w:w="1020" w:type="dxa"/>
            <w:vAlign w:val="bottom"/>
            <w:tcBorders>
              <w:top w:val="single" w:sz="8" w:color="auto"/>
            </w:tcBorders>
          </w:tcPr>
          <w:p>
            <w:pPr>
              <w:spacing w:after="0"/>
              <w:rPr>
                <w:sz w:val="19"/>
                <w:szCs w:val="19"/>
                <w:color w:val="auto"/>
              </w:rPr>
            </w:pPr>
          </w:p>
        </w:tc>
        <w:tc>
          <w:tcPr>
            <w:tcW w:w="240" w:type="dxa"/>
            <w:vAlign w:val="bottom"/>
          </w:tcPr>
          <w:p>
            <w:pPr>
              <w:spacing w:after="0"/>
              <w:rPr>
                <w:sz w:val="19"/>
                <w:szCs w:val="19"/>
                <w:color w:val="auto"/>
              </w:rPr>
            </w:pPr>
          </w:p>
        </w:tc>
        <w:tc>
          <w:tcPr>
            <w:tcW w:w="400" w:type="dxa"/>
            <w:vAlign w:val="bottom"/>
            <w:tcBorders>
              <w:top w:val="single" w:sz="8" w:color="auto"/>
            </w:tcBorders>
          </w:tcPr>
          <w:p>
            <w:pPr>
              <w:spacing w:after="0"/>
              <w:rPr>
                <w:sz w:val="19"/>
                <w:szCs w:val="19"/>
                <w:color w:val="auto"/>
              </w:rPr>
            </w:pPr>
          </w:p>
        </w:tc>
        <w:tc>
          <w:tcPr>
            <w:tcW w:w="860" w:type="dxa"/>
            <w:vAlign w:val="bottom"/>
            <w:tcBorders>
              <w:top w:val="single" w:sz="8" w:color="auto"/>
            </w:tcBorders>
          </w:tcPr>
          <w:p>
            <w:pPr>
              <w:spacing w:after="0"/>
              <w:rPr>
                <w:sz w:val="19"/>
                <w:szCs w:val="19"/>
                <w:color w:val="auto"/>
              </w:rPr>
            </w:pPr>
          </w:p>
        </w:tc>
        <w:tc>
          <w:tcPr>
            <w:tcW w:w="220" w:type="dxa"/>
            <w:vAlign w:val="bottom"/>
          </w:tcPr>
          <w:p>
            <w:pPr>
              <w:spacing w:after="0"/>
              <w:rPr>
                <w:sz w:val="19"/>
                <w:szCs w:val="19"/>
                <w:color w:val="auto"/>
              </w:rPr>
            </w:pPr>
          </w:p>
        </w:tc>
        <w:tc>
          <w:tcPr>
            <w:tcW w:w="220" w:type="dxa"/>
            <w:vAlign w:val="bottom"/>
            <w:tcBorders>
              <w:top w:val="single" w:sz="8" w:color="auto"/>
            </w:tcBorders>
          </w:tcPr>
          <w:p>
            <w:pPr>
              <w:spacing w:after="0"/>
              <w:rPr>
                <w:sz w:val="19"/>
                <w:szCs w:val="19"/>
                <w:color w:val="auto"/>
              </w:rPr>
            </w:pPr>
          </w:p>
        </w:tc>
        <w:tc>
          <w:tcPr>
            <w:tcW w:w="1040" w:type="dxa"/>
            <w:vAlign w:val="bottom"/>
            <w:tcBorders>
              <w:top w:val="single" w:sz="8" w:color="auto"/>
            </w:tcBorders>
          </w:tcPr>
          <w:p>
            <w:pPr>
              <w:spacing w:after="0"/>
              <w:rPr>
                <w:sz w:val="19"/>
                <w:szCs w:val="19"/>
                <w:color w:val="auto"/>
              </w:rPr>
            </w:pPr>
          </w:p>
        </w:tc>
        <w:tc>
          <w:tcPr>
            <w:tcW w:w="220" w:type="dxa"/>
            <w:vAlign w:val="bottom"/>
          </w:tcPr>
          <w:p>
            <w:pPr>
              <w:spacing w:after="0"/>
              <w:rPr>
                <w:sz w:val="19"/>
                <w:szCs w:val="19"/>
                <w:color w:val="auto"/>
              </w:rPr>
            </w:pPr>
          </w:p>
        </w:tc>
        <w:tc>
          <w:tcPr>
            <w:tcW w:w="280" w:type="dxa"/>
            <w:vAlign w:val="bottom"/>
            <w:tcBorders>
              <w:top w:val="single" w:sz="8" w:color="auto"/>
            </w:tcBorders>
          </w:tcPr>
          <w:p>
            <w:pPr>
              <w:spacing w:after="0"/>
              <w:rPr>
                <w:sz w:val="19"/>
                <w:szCs w:val="19"/>
                <w:color w:val="auto"/>
              </w:rPr>
            </w:pPr>
          </w:p>
        </w:tc>
        <w:tc>
          <w:tcPr>
            <w:tcW w:w="980" w:type="dxa"/>
            <w:vAlign w:val="bottom"/>
            <w:tcBorders>
              <w:top w:val="single" w:sz="8" w:color="auto"/>
            </w:tcBorders>
          </w:tcPr>
          <w:p>
            <w:pPr>
              <w:spacing w:after="0"/>
              <w:rPr>
                <w:sz w:val="19"/>
                <w:szCs w:val="19"/>
                <w:color w:val="auto"/>
              </w:rPr>
            </w:pP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4280" w:type="dxa"/>
            <w:vAlign w:val="bottom"/>
            <w:shd w:val="clear" w:color="auto" w:fill="CFF0FC"/>
          </w:tcPr>
          <w:p>
            <w:pPr>
              <w:ind w:left="240"/>
              <w:spacing w:after="0"/>
              <w:rPr>
                <w:sz w:val="20"/>
                <w:szCs w:val="20"/>
                <w:color w:val="auto"/>
              </w:rPr>
            </w:pPr>
            <w:r>
              <w:rPr>
                <w:rFonts w:ascii="Arial" w:cs="Arial" w:eastAsia="Arial" w:hAnsi="Arial"/>
                <w:sz w:val="18"/>
                <w:szCs w:val="18"/>
                <w:color w:val="auto"/>
              </w:rPr>
              <w:t>Senior secured credit facilities</w:t>
            </w:r>
          </w:p>
        </w:tc>
        <w:tc>
          <w:tcPr>
            <w:tcW w:w="220" w:type="dxa"/>
            <w:vAlign w:val="bottom"/>
            <w:shd w:val="clear" w:color="auto" w:fill="CFF0FC"/>
          </w:tcPr>
          <w:p>
            <w:pPr>
              <w:jc w:val="right"/>
              <w:ind w:right="30"/>
              <w:spacing w:after="0"/>
              <w:rPr>
                <w:sz w:val="20"/>
                <w:szCs w:val="20"/>
                <w:color w:val="auto"/>
              </w:rPr>
            </w:pPr>
            <w:r>
              <w:rPr>
                <w:rFonts w:ascii="Arial" w:cs="Arial" w:eastAsia="Arial" w:hAnsi="Arial"/>
                <w:sz w:val="18"/>
                <w:szCs w:val="18"/>
                <w:color w:val="auto"/>
                <w:w w:val="79"/>
              </w:rPr>
              <w:t>$</w:t>
            </w:r>
          </w:p>
        </w:tc>
        <w:tc>
          <w:tcPr>
            <w:tcW w:w="10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4,432.0</w:t>
            </w:r>
          </w:p>
        </w:tc>
        <w:tc>
          <w:tcPr>
            <w:tcW w:w="640" w:type="dxa"/>
            <w:vAlign w:val="bottom"/>
            <w:gridSpan w:val="2"/>
            <w:shd w:val="clear" w:color="auto" w:fill="CFF0FC"/>
          </w:tcPr>
          <w:p>
            <w:pPr>
              <w:jc w:val="right"/>
              <w:ind w:right="320"/>
              <w:spacing w:after="0"/>
              <w:rPr>
                <w:sz w:val="20"/>
                <w:szCs w:val="20"/>
                <w:color w:val="auto"/>
              </w:rPr>
            </w:pPr>
            <w:r>
              <w:rPr>
                <w:rFonts w:ascii="Arial" w:cs="Arial" w:eastAsia="Arial" w:hAnsi="Arial"/>
                <w:sz w:val="18"/>
                <w:szCs w:val="18"/>
                <w:color w:val="auto"/>
              </w:rPr>
              <w:t>$</w:t>
            </w:r>
          </w:p>
        </w:tc>
        <w:tc>
          <w:tcPr>
            <w:tcW w:w="8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4,381.2</w:t>
            </w:r>
          </w:p>
        </w:tc>
        <w:tc>
          <w:tcPr>
            <w:tcW w:w="440" w:type="dxa"/>
            <w:vAlign w:val="bottom"/>
            <w:gridSpan w:val="2"/>
            <w:shd w:val="clear" w:color="auto" w:fill="CFF0FC"/>
          </w:tcPr>
          <w:p>
            <w:pPr>
              <w:jc w:val="right"/>
              <w:ind w:right="120"/>
              <w:spacing w:after="0"/>
              <w:rPr>
                <w:sz w:val="20"/>
                <w:szCs w:val="20"/>
                <w:color w:val="auto"/>
              </w:rPr>
            </w:pPr>
            <w:r>
              <w:rPr>
                <w:rFonts w:ascii="Arial" w:cs="Arial" w:eastAsia="Arial" w:hAnsi="Arial"/>
                <w:sz w:val="18"/>
                <w:szCs w:val="18"/>
                <w:color w:val="auto"/>
              </w:rPr>
              <w:t>$</w:t>
            </w:r>
          </w:p>
        </w:tc>
        <w:tc>
          <w:tcPr>
            <w:tcW w:w="10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4,485.9</w:t>
            </w:r>
          </w:p>
        </w:tc>
        <w:tc>
          <w:tcPr>
            <w:tcW w:w="500" w:type="dxa"/>
            <w:vAlign w:val="bottom"/>
            <w:gridSpan w:val="2"/>
            <w:shd w:val="clear" w:color="auto" w:fill="CFF0FC"/>
          </w:tcPr>
          <w:p>
            <w:pPr>
              <w:jc w:val="right"/>
              <w:ind w:right="180"/>
              <w:spacing w:after="0"/>
              <w:rPr>
                <w:sz w:val="20"/>
                <w:szCs w:val="20"/>
                <w:color w:val="auto"/>
              </w:rPr>
            </w:pPr>
            <w:r>
              <w:rPr>
                <w:rFonts w:ascii="Arial" w:cs="Arial" w:eastAsia="Arial" w:hAnsi="Arial"/>
                <w:sz w:val="18"/>
                <w:szCs w:val="18"/>
                <w:color w:val="auto"/>
              </w:rPr>
              <w:t>$</w:t>
            </w:r>
          </w:p>
        </w:tc>
        <w:tc>
          <w:tcPr>
            <w:tcW w:w="9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4,426.0</w:t>
            </w:r>
          </w:p>
        </w:tc>
        <w:tc>
          <w:tcPr>
            <w:tcW w:w="12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4280" w:type="dxa"/>
            <w:vAlign w:val="bottom"/>
          </w:tcPr>
          <w:p>
            <w:pPr>
              <w:ind w:left="240"/>
              <w:spacing w:after="0"/>
              <w:rPr>
                <w:sz w:val="20"/>
                <w:szCs w:val="20"/>
                <w:color w:val="auto"/>
              </w:rPr>
            </w:pPr>
            <w:r>
              <w:rPr>
                <w:rFonts w:ascii="Arial" w:cs="Arial" w:eastAsia="Arial" w:hAnsi="Arial"/>
                <w:sz w:val="18"/>
                <w:szCs w:val="18"/>
                <w:color w:val="auto"/>
              </w:rPr>
              <w:t>5.5% senior notes due 2027</w:t>
            </w:r>
          </w:p>
        </w:tc>
        <w:tc>
          <w:tcPr>
            <w:tcW w:w="22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2,000.0</w:t>
            </w:r>
          </w:p>
        </w:tc>
        <w:tc>
          <w:tcPr>
            <w:tcW w:w="24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2,130.1</w:t>
            </w:r>
          </w:p>
        </w:tc>
        <w:tc>
          <w:tcPr>
            <w:tcW w:w="2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2,000.0</w:t>
            </w:r>
          </w:p>
        </w:tc>
        <w:tc>
          <w:tcPr>
            <w:tcW w:w="2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2,136.0</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4280" w:type="dxa"/>
            <w:vAlign w:val="bottom"/>
            <w:shd w:val="clear" w:color="auto" w:fill="CFF0FC"/>
          </w:tcPr>
          <w:p>
            <w:pPr>
              <w:ind w:left="240"/>
              <w:spacing w:after="0"/>
              <w:rPr>
                <w:sz w:val="20"/>
                <w:szCs w:val="20"/>
                <w:color w:val="auto"/>
              </w:rPr>
            </w:pPr>
            <w:r>
              <w:rPr>
                <w:rFonts w:ascii="Arial" w:cs="Arial" w:eastAsia="Arial" w:hAnsi="Arial"/>
                <w:sz w:val="18"/>
                <w:szCs w:val="18"/>
                <w:color w:val="auto"/>
              </w:rPr>
              <w:t>Senior secured credit facilities, revolving portion</w:t>
            </w:r>
          </w:p>
        </w:tc>
        <w:tc>
          <w:tcPr>
            <w:tcW w:w="220" w:type="dxa"/>
            <w:vAlign w:val="bottom"/>
            <w:shd w:val="clear" w:color="auto" w:fill="CFF0FC"/>
          </w:tcPr>
          <w:p>
            <w:pPr>
              <w:spacing w:after="0"/>
              <w:rPr>
                <w:sz w:val="19"/>
                <w:szCs w:val="19"/>
                <w:color w:val="auto"/>
              </w:rPr>
            </w:pPr>
          </w:p>
        </w:tc>
        <w:tc>
          <w:tcPr>
            <w:tcW w:w="10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126.0</w:t>
            </w:r>
          </w:p>
        </w:tc>
        <w:tc>
          <w:tcPr>
            <w:tcW w:w="240" w:type="dxa"/>
            <w:vAlign w:val="bottom"/>
            <w:shd w:val="clear" w:color="auto" w:fill="CFF0FC"/>
          </w:tcPr>
          <w:p>
            <w:pPr>
              <w:spacing w:after="0"/>
              <w:rPr>
                <w:sz w:val="19"/>
                <w:szCs w:val="19"/>
                <w:color w:val="auto"/>
              </w:rPr>
            </w:pPr>
          </w:p>
        </w:tc>
        <w:tc>
          <w:tcPr>
            <w:tcW w:w="400" w:type="dxa"/>
            <w:vAlign w:val="bottom"/>
            <w:shd w:val="clear" w:color="auto" w:fill="CFF0FC"/>
          </w:tcPr>
          <w:p>
            <w:pPr>
              <w:spacing w:after="0"/>
              <w:rPr>
                <w:sz w:val="19"/>
                <w:szCs w:val="19"/>
                <w:color w:val="auto"/>
              </w:rPr>
            </w:pPr>
          </w:p>
        </w:tc>
        <w:tc>
          <w:tcPr>
            <w:tcW w:w="8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123.5</w:t>
            </w:r>
          </w:p>
        </w:tc>
        <w:tc>
          <w:tcPr>
            <w:tcW w:w="22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10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220" w:type="dxa"/>
            <w:vAlign w:val="bottom"/>
            <w:shd w:val="clear" w:color="auto" w:fill="CFF0FC"/>
          </w:tcPr>
          <w:p>
            <w:pPr>
              <w:spacing w:after="0"/>
              <w:rPr>
                <w:sz w:val="19"/>
                <w:szCs w:val="19"/>
                <w:color w:val="auto"/>
              </w:rPr>
            </w:pPr>
          </w:p>
        </w:tc>
        <w:tc>
          <w:tcPr>
            <w:tcW w:w="280" w:type="dxa"/>
            <w:vAlign w:val="bottom"/>
            <w:shd w:val="clear" w:color="auto" w:fill="CFF0FC"/>
          </w:tcPr>
          <w:p>
            <w:pPr>
              <w:spacing w:after="0"/>
              <w:rPr>
                <w:sz w:val="19"/>
                <w:szCs w:val="19"/>
                <w:color w:val="auto"/>
              </w:rPr>
            </w:pPr>
          </w:p>
        </w:tc>
        <w:tc>
          <w:tcPr>
            <w:tcW w:w="1100" w:type="dxa"/>
            <w:vAlign w:val="bottom"/>
            <w:gridSpan w:val="2"/>
            <w:shd w:val="clear" w:color="auto" w:fill="CFF0FC"/>
          </w:tcPr>
          <w:p>
            <w:pPr>
              <w:jc w:val="right"/>
              <w:ind w:right="12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30"/>
        </w:trPr>
        <w:tc>
          <w:tcPr>
            <w:tcW w:w="4280" w:type="dxa"/>
            <w:vAlign w:val="bottom"/>
          </w:tcPr>
          <w:p>
            <w:pPr>
              <w:ind w:left="240"/>
              <w:spacing w:after="0"/>
              <w:rPr>
                <w:sz w:val="20"/>
                <w:szCs w:val="20"/>
                <w:color w:val="auto"/>
              </w:rPr>
            </w:pPr>
            <w:r>
              <w:rPr>
                <w:rFonts w:ascii="Arial" w:cs="Arial" w:eastAsia="Arial" w:hAnsi="Arial"/>
                <w:sz w:val="18"/>
                <w:szCs w:val="18"/>
                <w:color w:val="auto"/>
              </w:rPr>
              <w:t>Other indebtedness</w:t>
            </w:r>
          </w:p>
        </w:tc>
        <w:tc>
          <w:tcPr>
            <w:tcW w:w="220" w:type="dxa"/>
            <w:vAlign w:val="bottom"/>
          </w:tcPr>
          <w:p>
            <w:pPr>
              <w:spacing w:after="0"/>
              <w:rPr>
                <w:sz w:val="20"/>
                <w:szCs w:val="20"/>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8.6</w:t>
            </w:r>
          </w:p>
        </w:tc>
        <w:tc>
          <w:tcPr>
            <w:tcW w:w="24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8.7</w:t>
            </w:r>
          </w:p>
        </w:tc>
        <w:tc>
          <w:tcPr>
            <w:tcW w:w="2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10.1</w:t>
            </w:r>
          </w:p>
        </w:tc>
        <w:tc>
          <w:tcPr>
            <w:tcW w:w="22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10.2</w:t>
            </w:r>
          </w:p>
        </w:tc>
        <w:tc>
          <w:tcPr>
            <w:tcW w:w="120" w:type="dxa"/>
            <w:vAlign w:val="bottom"/>
          </w:tcPr>
          <w:p>
            <w:pPr>
              <w:spacing w:after="0"/>
              <w:rPr>
                <w:sz w:val="20"/>
                <w:szCs w:val="20"/>
                <w:color w:val="auto"/>
              </w:rPr>
            </w:pPr>
          </w:p>
        </w:tc>
        <w:tc>
          <w:tcPr>
            <w:tcW w:w="0" w:type="dxa"/>
            <w:vAlign w:val="bottom"/>
          </w:tcPr>
          <w:p>
            <w:pPr>
              <w:spacing w:after="0"/>
              <w:rPr>
                <w:sz w:val="1"/>
                <w:szCs w:val="1"/>
                <w:color w:val="auto"/>
              </w:rPr>
            </w:pPr>
          </w:p>
        </w:tc>
      </w:tr>
    </w:tbl>
    <w:p>
      <w:pPr>
        <w:spacing w:after="0" w:line="201" w:lineRule="exact"/>
        <w:rPr>
          <w:sz w:val="20"/>
          <w:szCs w:val="20"/>
          <w:color w:val="auto"/>
        </w:rPr>
      </w:pPr>
    </w:p>
    <w:p>
      <w:pPr>
        <w:ind w:right="220" w:firstLine="510"/>
        <w:spacing w:after="0" w:line="342" w:lineRule="auto"/>
        <w:rPr>
          <w:sz w:val="20"/>
          <w:szCs w:val="20"/>
          <w:color w:val="auto"/>
        </w:rPr>
      </w:pPr>
      <w:r>
        <w:rPr>
          <w:rFonts w:ascii="Arial" w:cs="Arial" w:eastAsia="Arial" w:hAnsi="Arial"/>
          <w:sz w:val="16"/>
          <w:szCs w:val="16"/>
          <w:color w:val="auto"/>
        </w:rPr>
        <w:t>The above fair values, which are Level 2 liabilities, were computed based on comparable quoted market prices. The fair values of cash, accounts receivable, net, short-term borrowings, and accounts payable approximate the carrying amounts due to the short-term maturities of these instruments.</w:t>
      </w:r>
    </w:p>
    <w:p>
      <w:pPr>
        <w:spacing w:after="0" w:line="200" w:lineRule="exact"/>
        <w:rPr>
          <w:sz w:val="20"/>
          <w:szCs w:val="20"/>
          <w:color w:val="auto"/>
        </w:rPr>
      </w:pPr>
    </w:p>
    <w:p>
      <w:pPr>
        <w:spacing w:after="0" w:line="200" w:lineRule="exact"/>
        <w:rPr>
          <w:sz w:val="20"/>
          <w:szCs w:val="20"/>
          <w:color w:val="auto"/>
        </w:rPr>
      </w:pPr>
    </w:p>
    <w:p>
      <w:pPr>
        <w:spacing w:after="0" w:line="372" w:lineRule="exact"/>
        <w:rPr>
          <w:sz w:val="20"/>
          <w:szCs w:val="20"/>
          <w:color w:val="auto"/>
        </w:rPr>
      </w:pPr>
    </w:p>
    <w:p>
      <w:pPr>
        <w:jc w:val="center"/>
        <w:ind w:right="-99"/>
        <w:spacing w:after="0"/>
        <w:rPr>
          <w:sz w:val="20"/>
          <w:szCs w:val="20"/>
          <w:color w:val="auto"/>
        </w:rPr>
      </w:pPr>
      <w:r>
        <w:rPr>
          <w:rFonts w:ascii="Arial" w:cs="Arial" w:eastAsia="Arial" w:hAnsi="Arial"/>
          <w:sz w:val="18"/>
          <w:szCs w:val="18"/>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140"/>
          </w:cols>
          <w:pgMar w:left="320" w:top="557" w:right="439" w:bottom="1440" w:gutter="0" w:footer="0" w:header="0"/>
        </w:sectPr>
      </w:pPr>
    </w:p>
    <w:bookmarkStart w:id="11" w:name="page12"/>
    <w:bookmarkEnd w:id="11"/>
    <w:p>
      <w:pPr>
        <w:spacing w:after="0"/>
        <w:rPr>
          <w:sz w:val="20"/>
          <w:szCs w:val="20"/>
          <w:color w:val="auto"/>
        </w:rPr>
      </w:pPr>
      <w:r>
        <w:rPr>
          <w:rFonts w:ascii="Arial" w:cs="Arial" w:eastAsia="Arial" w:hAnsi="Arial"/>
          <w:sz w:val="18"/>
          <w:szCs w:val="18"/>
          <w:b w:val="1"/>
          <w:bCs w:val="1"/>
          <w:color w:val="auto"/>
        </w:rPr>
        <w:t>Note 8—Stockholders’ Equity</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Stock repurchase program</w:t>
      </w:r>
    </w:p>
    <w:p>
      <w:pPr>
        <w:spacing w:after="0" w:line="225" w:lineRule="exact"/>
        <w:rPr>
          <w:sz w:val="20"/>
          <w:szCs w:val="20"/>
          <w:color w:val="auto"/>
        </w:rPr>
      </w:pPr>
    </w:p>
    <w:p>
      <w:pPr>
        <w:ind w:firstLine="510"/>
        <w:spacing w:after="0" w:line="254" w:lineRule="auto"/>
        <w:rPr>
          <w:sz w:val="20"/>
          <w:szCs w:val="20"/>
          <w:color w:val="auto"/>
        </w:rPr>
      </w:pPr>
      <w:r>
        <w:rPr>
          <w:rFonts w:ascii="Arial" w:cs="Arial" w:eastAsia="Arial" w:hAnsi="Arial"/>
          <w:sz w:val="18"/>
          <w:szCs w:val="18"/>
          <w:color w:val="auto"/>
        </w:rPr>
        <w:t>In August 2019, our Board of Directors authorized the repurchase of up to $500 million of our common stock on the open market or in privately negotiated transactions. In July 2020, our Board of Directors authorized the renewal and increase of our stock repurchase program, which enables us to repurchase up to $750 million in the aggregate of our outstanding common stock. Our authority to repurchase shares under the renewed program will continue until the one-year anniversary of the Board’s authorization, unless earlier terminated by the Board. During the three months ended March 31, 2021, we repurchased 2.7 million shares of common stock for approximately $181.4 million. We did not repurchase any share of our common stock during the three months ended March 31, 2020. We use the cost method to account for treasury stock purchases. Under the cost method, the price paid for the stock is charged to the treasury stock account.</w:t>
      </w:r>
    </w:p>
    <w:p>
      <w:pPr>
        <w:spacing w:after="0" w:line="195"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Dividends</w:t>
      </w:r>
    </w:p>
    <w:p>
      <w:pPr>
        <w:spacing w:after="0" w:line="117" w:lineRule="exact"/>
        <w:rPr>
          <w:sz w:val="20"/>
          <w:szCs w:val="20"/>
          <w:color w:val="auto"/>
        </w:rPr>
      </w:pPr>
    </w:p>
    <w:p>
      <w:pPr>
        <w:ind w:right="80" w:firstLine="510"/>
        <w:spacing w:after="0" w:line="277" w:lineRule="auto"/>
        <w:rPr>
          <w:sz w:val="20"/>
          <w:szCs w:val="20"/>
          <w:color w:val="auto"/>
        </w:rPr>
      </w:pPr>
      <w:r>
        <w:rPr>
          <w:rFonts w:ascii="Arial" w:cs="Arial" w:eastAsia="Arial" w:hAnsi="Arial"/>
          <w:sz w:val="18"/>
          <w:szCs w:val="18"/>
          <w:color w:val="auto"/>
        </w:rPr>
        <w:t>We paid a quarterly cash dividend of $0.16 per share of common stock in March 2021 totaling $41.2 million. We paid a quarterly cash dividend of $0.125 per share of common stock in March of 2020 totaling $31.9 million.</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Accumulated Other Comprehensive Loss</w:t>
      </w:r>
    </w:p>
    <w:p>
      <w:pPr>
        <w:spacing w:after="0" w:line="117" w:lineRule="exact"/>
        <w:rPr>
          <w:sz w:val="20"/>
          <w:szCs w:val="20"/>
          <w:color w:val="auto"/>
        </w:rPr>
      </w:pPr>
    </w:p>
    <w:p>
      <w:pPr>
        <w:ind w:left="480"/>
        <w:spacing w:after="0"/>
        <w:rPr>
          <w:sz w:val="20"/>
          <w:szCs w:val="20"/>
          <w:color w:val="auto"/>
        </w:rPr>
      </w:pPr>
      <w:r>
        <w:rPr>
          <w:rFonts w:ascii="Arial" w:cs="Arial" w:eastAsia="Arial" w:hAnsi="Arial"/>
          <w:sz w:val="18"/>
          <w:szCs w:val="18"/>
          <w:color w:val="auto"/>
        </w:rPr>
        <w:t>Accumulated other comprehensive loss balances, net of tax, consists of the following (in millions):</w:t>
      </w:r>
    </w:p>
    <w:p>
      <w:pPr>
        <w:spacing w:after="0" w:line="218" w:lineRule="exact"/>
        <w:rPr>
          <w:sz w:val="20"/>
          <w:szCs w:val="20"/>
          <w:color w:val="auto"/>
        </w:rPr>
      </w:pPr>
    </w:p>
    <w:tbl>
      <w:tblPr>
        <w:tblLayout w:type="fixed"/>
        <w:tblInd w:w="580" w:type="dxa"/>
        <w:tblCellMar>
          <w:top w:w="0" w:type="dxa"/>
          <w:left w:w="0" w:type="dxa"/>
          <w:bottom w:w="0" w:type="dxa"/>
          <w:right w:w="0" w:type="dxa"/>
        </w:tblCellMar>
      </w:tblPr>
      <w:tr>
        <w:trPr>
          <w:trHeight w:val="161"/>
        </w:trPr>
        <w:tc>
          <w:tcPr>
            <w:tcW w:w="45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220" w:type="dxa"/>
            <w:vAlign w:val="bottom"/>
            <w:gridSpan w:val="2"/>
          </w:tcPr>
          <w:p>
            <w:pPr>
              <w:jc w:val="center"/>
              <w:ind w:right="380"/>
              <w:spacing w:after="0"/>
              <w:rPr>
                <w:sz w:val="20"/>
                <w:szCs w:val="20"/>
                <w:color w:val="auto"/>
              </w:rPr>
            </w:pPr>
            <w:r>
              <w:rPr>
                <w:rFonts w:ascii="Arial" w:cs="Arial" w:eastAsia="Arial" w:hAnsi="Arial"/>
                <w:sz w:val="14"/>
                <w:szCs w:val="14"/>
                <w:b w:val="1"/>
                <w:bCs w:val="1"/>
                <w:color w:val="auto"/>
                <w:w w:val="94"/>
              </w:rPr>
              <w:t>Interest Rate</w:t>
            </w:r>
          </w:p>
        </w:tc>
        <w:tc>
          <w:tcPr>
            <w:tcW w:w="1460" w:type="dxa"/>
            <w:vAlign w:val="bottom"/>
            <w:gridSpan w:val="3"/>
          </w:tcPr>
          <w:p>
            <w:pPr>
              <w:jc w:val="center"/>
              <w:ind w:right="240"/>
              <w:spacing w:after="0"/>
              <w:rPr>
                <w:sz w:val="20"/>
                <w:szCs w:val="20"/>
                <w:color w:val="auto"/>
              </w:rPr>
            </w:pPr>
            <w:r>
              <w:rPr>
                <w:rFonts w:ascii="Arial" w:cs="Arial" w:eastAsia="Arial" w:hAnsi="Arial"/>
                <w:sz w:val="14"/>
                <w:szCs w:val="14"/>
                <w:b w:val="1"/>
                <w:bCs w:val="1"/>
                <w:color w:val="auto"/>
                <w:w w:val="94"/>
              </w:rPr>
              <w:t>Foreign Currency</w:t>
            </w:r>
          </w:p>
        </w:tc>
        <w:tc>
          <w:tcPr>
            <w:tcW w:w="1340" w:type="dxa"/>
            <w:vAlign w:val="bottom"/>
            <w:gridSpan w:val="3"/>
          </w:tcPr>
          <w:p>
            <w:pPr>
              <w:jc w:val="center"/>
              <w:ind w:right="260"/>
              <w:spacing w:after="0"/>
              <w:rPr>
                <w:sz w:val="20"/>
                <w:szCs w:val="20"/>
                <w:color w:val="auto"/>
              </w:rPr>
            </w:pPr>
            <w:r>
              <w:rPr>
                <w:rFonts w:ascii="Arial" w:cs="Arial" w:eastAsia="Arial" w:hAnsi="Arial"/>
                <w:sz w:val="14"/>
                <w:szCs w:val="14"/>
                <w:b w:val="1"/>
                <w:bCs w:val="1"/>
                <w:color w:val="auto"/>
                <w:w w:val="93"/>
              </w:rPr>
              <w:t>Defined Benefit</w:t>
            </w:r>
          </w:p>
        </w:tc>
        <w:tc>
          <w:tcPr>
            <w:tcW w:w="1420" w:type="dxa"/>
            <w:vAlign w:val="bottom"/>
            <w:gridSpan w:val="3"/>
          </w:tcPr>
          <w:p>
            <w:pPr>
              <w:ind w:left="40"/>
              <w:spacing w:after="0"/>
              <w:rPr>
                <w:sz w:val="20"/>
                <w:szCs w:val="20"/>
                <w:color w:val="auto"/>
              </w:rPr>
            </w:pPr>
            <w:r>
              <w:rPr>
                <w:rFonts w:ascii="Arial" w:cs="Arial" w:eastAsia="Arial" w:hAnsi="Arial"/>
                <w:sz w:val="14"/>
                <w:szCs w:val="14"/>
                <w:b w:val="1"/>
                <w:bCs w:val="1"/>
                <w:color w:val="auto"/>
              </w:rPr>
              <w:t>Accumulated Other</w:t>
            </w:r>
          </w:p>
        </w:tc>
      </w:tr>
      <w:tr>
        <w:trPr>
          <w:trHeight w:val="171"/>
        </w:trPr>
        <w:tc>
          <w:tcPr>
            <w:tcW w:w="45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220" w:type="dxa"/>
            <w:vAlign w:val="bottom"/>
            <w:gridSpan w:val="2"/>
          </w:tcPr>
          <w:p>
            <w:pPr>
              <w:jc w:val="center"/>
              <w:ind w:right="360"/>
              <w:spacing w:after="0"/>
              <w:rPr>
                <w:sz w:val="20"/>
                <w:szCs w:val="20"/>
                <w:color w:val="auto"/>
              </w:rPr>
            </w:pPr>
            <w:r>
              <w:rPr>
                <w:rFonts w:ascii="Arial" w:cs="Arial" w:eastAsia="Arial" w:hAnsi="Arial"/>
                <w:sz w:val="14"/>
                <w:szCs w:val="14"/>
                <w:b w:val="1"/>
                <w:bCs w:val="1"/>
                <w:color w:val="auto"/>
                <w:w w:val="92"/>
              </w:rPr>
              <w:t>Swap</w:t>
            </w:r>
          </w:p>
        </w:tc>
        <w:tc>
          <w:tcPr>
            <w:tcW w:w="160" w:type="dxa"/>
            <w:vAlign w:val="bottom"/>
          </w:tcPr>
          <w:p>
            <w:pPr>
              <w:spacing w:after="0"/>
              <w:rPr>
                <w:sz w:val="14"/>
                <w:szCs w:val="14"/>
                <w:color w:val="auto"/>
              </w:rPr>
            </w:pPr>
          </w:p>
        </w:tc>
        <w:tc>
          <w:tcPr>
            <w:tcW w:w="1300" w:type="dxa"/>
            <w:vAlign w:val="bottom"/>
            <w:gridSpan w:val="2"/>
          </w:tcPr>
          <w:p>
            <w:pPr>
              <w:jc w:val="center"/>
              <w:ind w:right="420"/>
              <w:spacing w:after="0"/>
              <w:rPr>
                <w:sz w:val="20"/>
                <w:szCs w:val="20"/>
                <w:color w:val="auto"/>
              </w:rPr>
            </w:pPr>
            <w:r>
              <w:rPr>
                <w:rFonts w:ascii="Arial" w:cs="Arial" w:eastAsia="Arial" w:hAnsi="Arial"/>
                <w:sz w:val="14"/>
                <w:szCs w:val="14"/>
                <w:b w:val="1"/>
                <w:bCs w:val="1"/>
                <w:color w:val="auto"/>
                <w:w w:val="95"/>
              </w:rPr>
              <w:t>Translation</w:t>
            </w:r>
          </w:p>
        </w:tc>
        <w:tc>
          <w:tcPr>
            <w:tcW w:w="140" w:type="dxa"/>
            <w:vAlign w:val="bottom"/>
          </w:tcPr>
          <w:p>
            <w:pPr>
              <w:spacing w:after="0"/>
              <w:rPr>
                <w:sz w:val="14"/>
                <w:szCs w:val="14"/>
                <w:color w:val="auto"/>
              </w:rPr>
            </w:pPr>
          </w:p>
        </w:tc>
        <w:tc>
          <w:tcPr>
            <w:tcW w:w="1200" w:type="dxa"/>
            <w:vAlign w:val="bottom"/>
            <w:gridSpan w:val="2"/>
          </w:tcPr>
          <w:p>
            <w:pPr>
              <w:jc w:val="center"/>
              <w:ind w:right="400"/>
              <w:spacing w:after="0"/>
              <w:rPr>
                <w:sz w:val="20"/>
                <w:szCs w:val="20"/>
                <w:color w:val="auto"/>
              </w:rPr>
            </w:pPr>
            <w:r>
              <w:rPr>
                <w:rFonts w:ascii="Arial" w:cs="Arial" w:eastAsia="Arial" w:hAnsi="Arial"/>
                <w:sz w:val="14"/>
                <w:szCs w:val="14"/>
                <w:b w:val="1"/>
                <w:bCs w:val="1"/>
                <w:color w:val="auto"/>
                <w:w w:val="92"/>
              </w:rPr>
              <w:t>Obligation</w:t>
            </w:r>
          </w:p>
        </w:tc>
        <w:tc>
          <w:tcPr>
            <w:tcW w:w="1420" w:type="dxa"/>
            <w:vAlign w:val="bottom"/>
            <w:gridSpan w:val="3"/>
          </w:tcPr>
          <w:p>
            <w:pPr>
              <w:ind w:left="20"/>
              <w:spacing w:after="0"/>
              <w:rPr>
                <w:sz w:val="20"/>
                <w:szCs w:val="20"/>
                <w:color w:val="auto"/>
              </w:rPr>
            </w:pPr>
            <w:r>
              <w:rPr>
                <w:rFonts w:ascii="Arial" w:cs="Arial" w:eastAsia="Arial" w:hAnsi="Arial"/>
                <w:sz w:val="14"/>
                <w:szCs w:val="14"/>
                <w:b w:val="1"/>
                <w:bCs w:val="1"/>
                <w:color w:val="auto"/>
                <w:w w:val="97"/>
              </w:rPr>
              <w:t>Comprehensive Loss</w:t>
            </w:r>
          </w:p>
        </w:tc>
      </w:tr>
      <w:tr>
        <w:trPr>
          <w:trHeight w:val="156"/>
        </w:trPr>
        <w:tc>
          <w:tcPr>
            <w:tcW w:w="4540" w:type="dxa"/>
            <w:vAlign w:val="bottom"/>
            <w:tcBorders>
              <w:top w:val="single" w:sz="8" w:color="CFF0FC"/>
            </w:tcBorders>
            <w:shd w:val="clear" w:color="auto" w:fill="CFF0FC"/>
          </w:tcPr>
          <w:p>
            <w:pPr>
              <w:spacing w:after="0" w:line="155" w:lineRule="exact"/>
              <w:rPr>
                <w:sz w:val="20"/>
                <w:szCs w:val="20"/>
                <w:color w:val="auto"/>
              </w:rPr>
            </w:pPr>
            <w:r>
              <w:rPr>
                <w:rFonts w:ascii="Arial" w:cs="Arial" w:eastAsia="Arial" w:hAnsi="Arial"/>
                <w:sz w:val="14"/>
                <w:szCs w:val="14"/>
                <w:color w:val="auto"/>
              </w:rPr>
              <w:t>Balance, December 31, 2020</w:t>
            </w:r>
          </w:p>
        </w:tc>
        <w:tc>
          <w:tcPr>
            <w:tcW w:w="120" w:type="dxa"/>
            <w:vAlign w:val="bottom"/>
            <w:tcBorders>
              <w:top w:val="single" w:sz="8" w:color="auto"/>
            </w:tcBorders>
            <w:shd w:val="clear" w:color="auto" w:fill="CFF0FC"/>
          </w:tcPr>
          <w:p>
            <w:pPr>
              <w:jc w:val="right"/>
              <w:spacing w:after="0" w:line="155" w:lineRule="exact"/>
              <w:rPr>
                <w:sz w:val="20"/>
                <w:szCs w:val="20"/>
                <w:color w:val="auto"/>
              </w:rPr>
            </w:pPr>
            <w:r>
              <w:rPr>
                <w:rFonts w:ascii="Arial" w:cs="Arial" w:eastAsia="Arial" w:hAnsi="Arial"/>
                <w:sz w:val="14"/>
                <w:szCs w:val="14"/>
                <w:color w:val="auto"/>
                <w:w w:val="76"/>
              </w:rPr>
              <w:t>$</w:t>
            </w:r>
          </w:p>
        </w:tc>
        <w:tc>
          <w:tcPr>
            <w:tcW w:w="980" w:type="dxa"/>
            <w:vAlign w:val="bottom"/>
            <w:tcBorders>
              <w:top w:val="single" w:sz="8" w:color="auto"/>
            </w:tcBorders>
            <w:shd w:val="clear" w:color="auto" w:fill="CFF0FC"/>
          </w:tcPr>
          <w:p>
            <w:pPr>
              <w:jc w:val="right"/>
              <w:spacing w:after="0" w:line="155" w:lineRule="exact"/>
              <w:rPr>
                <w:sz w:val="20"/>
                <w:szCs w:val="20"/>
                <w:color w:val="auto"/>
              </w:rPr>
            </w:pPr>
            <w:r>
              <w:rPr>
                <w:rFonts w:ascii="Arial" w:cs="Arial" w:eastAsia="Arial" w:hAnsi="Arial"/>
                <w:sz w:val="14"/>
                <w:szCs w:val="14"/>
                <w:color w:val="auto"/>
              </w:rPr>
              <w:t>(5.5)</w:t>
            </w:r>
          </w:p>
        </w:tc>
        <w:tc>
          <w:tcPr>
            <w:tcW w:w="240" w:type="dxa"/>
            <w:vAlign w:val="bottom"/>
            <w:tcBorders>
              <w:top w:val="single" w:sz="8" w:color="CFF0FC"/>
            </w:tcBorders>
            <w:shd w:val="clear" w:color="auto" w:fill="CFF0FC"/>
          </w:tcPr>
          <w:p>
            <w:pPr>
              <w:spacing w:after="0"/>
              <w:rPr>
                <w:sz w:val="13"/>
                <w:szCs w:val="13"/>
                <w:color w:val="auto"/>
              </w:rPr>
            </w:pPr>
          </w:p>
        </w:tc>
        <w:tc>
          <w:tcPr>
            <w:tcW w:w="160" w:type="dxa"/>
            <w:vAlign w:val="bottom"/>
            <w:tcBorders>
              <w:top w:val="single" w:sz="8" w:color="auto"/>
            </w:tcBorders>
            <w:shd w:val="clear" w:color="auto" w:fill="CFF0FC"/>
          </w:tcPr>
          <w:p>
            <w:pPr>
              <w:jc w:val="right"/>
              <w:ind w:right="8"/>
              <w:spacing w:after="0" w:line="155" w:lineRule="exact"/>
              <w:rPr>
                <w:sz w:val="20"/>
                <w:szCs w:val="20"/>
                <w:color w:val="auto"/>
              </w:rPr>
            </w:pPr>
            <w:r>
              <w:rPr>
                <w:rFonts w:ascii="Arial" w:cs="Arial" w:eastAsia="Arial" w:hAnsi="Arial"/>
                <w:sz w:val="14"/>
                <w:szCs w:val="14"/>
                <w:color w:val="auto"/>
                <w:w w:val="76"/>
              </w:rPr>
              <w:t>$</w:t>
            </w:r>
          </w:p>
        </w:tc>
        <w:tc>
          <w:tcPr>
            <w:tcW w:w="1060" w:type="dxa"/>
            <w:vAlign w:val="bottom"/>
            <w:tcBorders>
              <w:top w:val="single" w:sz="8" w:color="auto"/>
            </w:tcBorders>
            <w:shd w:val="clear" w:color="auto" w:fill="CFF0FC"/>
          </w:tcPr>
          <w:p>
            <w:pPr>
              <w:jc w:val="right"/>
              <w:spacing w:after="0" w:line="155" w:lineRule="exact"/>
              <w:rPr>
                <w:sz w:val="20"/>
                <w:szCs w:val="20"/>
                <w:color w:val="auto"/>
              </w:rPr>
            </w:pPr>
            <w:r>
              <w:rPr>
                <w:rFonts w:ascii="Arial" w:cs="Arial" w:eastAsia="Arial" w:hAnsi="Arial"/>
                <w:sz w:val="14"/>
                <w:szCs w:val="14"/>
                <w:color w:val="auto"/>
              </w:rPr>
              <w:t>(192.3)</w:t>
            </w:r>
          </w:p>
        </w:tc>
        <w:tc>
          <w:tcPr>
            <w:tcW w:w="240" w:type="dxa"/>
            <w:vAlign w:val="bottom"/>
            <w:tcBorders>
              <w:top w:val="single" w:sz="8" w:color="CFF0FC"/>
            </w:tcBorders>
            <w:shd w:val="clear" w:color="auto" w:fill="CFF0FC"/>
          </w:tcPr>
          <w:p>
            <w:pPr>
              <w:spacing w:after="0"/>
              <w:rPr>
                <w:sz w:val="13"/>
                <w:szCs w:val="13"/>
                <w:color w:val="auto"/>
              </w:rPr>
            </w:pPr>
          </w:p>
        </w:tc>
        <w:tc>
          <w:tcPr>
            <w:tcW w:w="140" w:type="dxa"/>
            <w:vAlign w:val="bottom"/>
            <w:tcBorders>
              <w:top w:val="single" w:sz="8" w:color="auto"/>
            </w:tcBorders>
            <w:shd w:val="clear" w:color="auto" w:fill="CFF0FC"/>
          </w:tcPr>
          <w:p>
            <w:pPr>
              <w:jc w:val="right"/>
              <w:spacing w:after="0" w:line="155" w:lineRule="exact"/>
              <w:rPr>
                <w:sz w:val="20"/>
                <w:szCs w:val="20"/>
                <w:color w:val="auto"/>
              </w:rPr>
            </w:pPr>
            <w:r>
              <w:rPr>
                <w:rFonts w:ascii="Arial" w:cs="Arial" w:eastAsia="Arial" w:hAnsi="Arial"/>
                <w:sz w:val="14"/>
                <w:szCs w:val="14"/>
                <w:color w:val="auto"/>
                <w:w w:val="76"/>
              </w:rPr>
              <w:t>$</w:t>
            </w:r>
          </w:p>
        </w:tc>
        <w:tc>
          <w:tcPr>
            <w:tcW w:w="960" w:type="dxa"/>
            <w:vAlign w:val="bottom"/>
            <w:tcBorders>
              <w:top w:val="single" w:sz="8" w:color="auto"/>
            </w:tcBorders>
            <w:shd w:val="clear" w:color="auto" w:fill="CFF0FC"/>
          </w:tcPr>
          <w:p>
            <w:pPr>
              <w:jc w:val="right"/>
              <w:spacing w:after="0" w:line="155" w:lineRule="exact"/>
              <w:rPr>
                <w:sz w:val="20"/>
                <w:szCs w:val="20"/>
                <w:color w:val="auto"/>
              </w:rPr>
            </w:pPr>
            <w:r>
              <w:rPr>
                <w:rFonts w:ascii="Arial" w:cs="Arial" w:eastAsia="Arial" w:hAnsi="Arial"/>
                <w:sz w:val="14"/>
                <w:szCs w:val="14"/>
                <w:color w:val="auto"/>
              </w:rPr>
              <w:t>(3.2)</w:t>
            </w:r>
          </w:p>
        </w:tc>
        <w:tc>
          <w:tcPr>
            <w:tcW w:w="240" w:type="dxa"/>
            <w:vAlign w:val="bottom"/>
            <w:tcBorders>
              <w:top w:val="single" w:sz="8" w:color="CFF0FC"/>
            </w:tcBorders>
            <w:shd w:val="clear" w:color="auto" w:fill="CFF0FC"/>
          </w:tcPr>
          <w:p>
            <w:pPr>
              <w:spacing w:after="0"/>
              <w:rPr>
                <w:sz w:val="13"/>
                <w:szCs w:val="13"/>
                <w:color w:val="auto"/>
              </w:rPr>
            </w:pPr>
          </w:p>
        </w:tc>
        <w:tc>
          <w:tcPr>
            <w:tcW w:w="500" w:type="dxa"/>
            <w:vAlign w:val="bottom"/>
            <w:tcBorders>
              <w:top w:val="single" w:sz="8" w:color="auto"/>
            </w:tcBorders>
            <w:shd w:val="clear" w:color="auto" w:fill="CFF0FC"/>
          </w:tcPr>
          <w:p>
            <w:pPr>
              <w:spacing w:after="0" w:line="155" w:lineRule="exact"/>
              <w:rPr>
                <w:sz w:val="20"/>
                <w:szCs w:val="20"/>
                <w:color w:val="auto"/>
              </w:rPr>
            </w:pPr>
            <w:r>
              <w:rPr>
                <w:rFonts w:ascii="Arial" w:cs="Arial" w:eastAsia="Arial" w:hAnsi="Arial"/>
                <w:sz w:val="14"/>
                <w:szCs w:val="14"/>
                <w:color w:val="auto"/>
              </w:rPr>
              <w:t>$</w:t>
            </w:r>
          </w:p>
        </w:tc>
        <w:tc>
          <w:tcPr>
            <w:tcW w:w="820" w:type="dxa"/>
            <w:vAlign w:val="bottom"/>
            <w:tcBorders>
              <w:top w:val="single" w:sz="8" w:color="auto"/>
            </w:tcBorders>
            <w:shd w:val="clear" w:color="auto" w:fill="CFF0FC"/>
          </w:tcPr>
          <w:p>
            <w:pPr>
              <w:jc w:val="right"/>
              <w:spacing w:after="0" w:line="155" w:lineRule="exact"/>
              <w:rPr>
                <w:sz w:val="20"/>
                <w:szCs w:val="20"/>
                <w:color w:val="auto"/>
              </w:rPr>
            </w:pPr>
            <w:r>
              <w:rPr>
                <w:rFonts w:ascii="Arial" w:cs="Arial" w:eastAsia="Arial" w:hAnsi="Arial"/>
                <w:sz w:val="14"/>
                <w:szCs w:val="14"/>
                <w:color w:val="auto"/>
              </w:rPr>
              <w:t>(201.0)</w:t>
            </w:r>
          </w:p>
        </w:tc>
        <w:tc>
          <w:tcPr>
            <w:tcW w:w="100" w:type="dxa"/>
            <w:vAlign w:val="bottom"/>
            <w:tcBorders>
              <w:top w:val="single" w:sz="8" w:color="CFF0FC"/>
            </w:tcBorders>
            <w:shd w:val="clear" w:color="auto" w:fill="CFF0FC"/>
          </w:tcPr>
          <w:p>
            <w:pPr>
              <w:spacing w:after="0"/>
              <w:rPr>
                <w:sz w:val="13"/>
                <w:szCs w:val="13"/>
                <w:color w:val="auto"/>
              </w:rPr>
            </w:pPr>
          </w:p>
        </w:tc>
      </w:tr>
      <w:tr>
        <w:trPr>
          <w:trHeight w:val="162"/>
        </w:trPr>
        <w:tc>
          <w:tcPr>
            <w:tcW w:w="4540" w:type="dxa"/>
            <w:vAlign w:val="bottom"/>
          </w:tcPr>
          <w:p>
            <w:pPr>
              <w:ind w:left="120"/>
              <w:spacing w:after="0"/>
              <w:rPr>
                <w:sz w:val="20"/>
                <w:szCs w:val="20"/>
                <w:color w:val="auto"/>
              </w:rPr>
            </w:pPr>
            <w:r>
              <w:rPr>
                <w:rFonts w:ascii="Arial" w:cs="Arial" w:eastAsia="Arial" w:hAnsi="Arial"/>
                <w:sz w:val="14"/>
                <w:szCs w:val="14"/>
                <w:color w:val="auto"/>
              </w:rPr>
              <w:t>Net current period other comprehensive income</w:t>
            </w:r>
          </w:p>
        </w:tc>
        <w:tc>
          <w:tcPr>
            <w:tcW w:w="120" w:type="dxa"/>
            <w:vAlign w:val="bottom"/>
          </w:tcPr>
          <w:p>
            <w:pPr>
              <w:spacing w:after="0"/>
              <w:rPr>
                <w:sz w:val="14"/>
                <w:szCs w:val="14"/>
                <w:color w:val="auto"/>
              </w:rPr>
            </w:pPr>
          </w:p>
        </w:tc>
        <w:tc>
          <w:tcPr>
            <w:tcW w:w="980" w:type="dxa"/>
            <w:vAlign w:val="bottom"/>
          </w:tcPr>
          <w:p>
            <w:pPr>
              <w:jc w:val="right"/>
              <w:spacing w:after="0"/>
              <w:rPr>
                <w:sz w:val="20"/>
                <w:szCs w:val="20"/>
                <w:color w:val="auto"/>
              </w:rPr>
            </w:pPr>
            <w:r>
              <w:rPr>
                <w:rFonts w:ascii="Arial" w:cs="Arial" w:eastAsia="Arial" w:hAnsi="Arial"/>
                <w:sz w:val="14"/>
                <w:szCs w:val="14"/>
                <w:color w:val="auto"/>
              </w:rPr>
              <w:t>0.5</w:t>
            </w:r>
          </w:p>
        </w:tc>
        <w:tc>
          <w:tcPr>
            <w:tcW w:w="24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060" w:type="dxa"/>
            <w:vAlign w:val="bottom"/>
          </w:tcPr>
          <w:p>
            <w:pPr>
              <w:jc w:val="right"/>
              <w:spacing w:after="0"/>
              <w:rPr>
                <w:sz w:val="20"/>
                <w:szCs w:val="20"/>
                <w:color w:val="auto"/>
              </w:rPr>
            </w:pPr>
            <w:r>
              <w:rPr>
                <w:rFonts w:ascii="Arial" w:cs="Arial" w:eastAsia="Arial" w:hAnsi="Arial"/>
                <w:sz w:val="14"/>
                <w:szCs w:val="14"/>
                <w:color w:val="auto"/>
              </w:rPr>
              <w:t>8.4</w:t>
            </w:r>
          </w:p>
        </w:tc>
        <w:tc>
          <w:tcPr>
            <w:tcW w:w="2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200" w:type="dxa"/>
            <w:vAlign w:val="bottom"/>
            <w:gridSpan w:val="2"/>
          </w:tcPr>
          <w:p>
            <w:pPr>
              <w:jc w:val="right"/>
              <w:ind w:right="260"/>
              <w:spacing w:after="0"/>
              <w:rPr>
                <w:sz w:val="20"/>
                <w:szCs w:val="20"/>
                <w:color w:val="auto"/>
              </w:rPr>
            </w:pPr>
            <w:r>
              <w:rPr>
                <w:rFonts w:ascii="Arial" w:cs="Arial" w:eastAsia="Arial" w:hAnsi="Arial"/>
                <w:sz w:val="14"/>
                <w:szCs w:val="14"/>
                <w:color w:val="auto"/>
              </w:rPr>
              <w:t>—</w:t>
            </w:r>
          </w:p>
        </w:tc>
        <w:tc>
          <w:tcPr>
            <w:tcW w:w="500" w:type="dxa"/>
            <w:vAlign w:val="bottom"/>
          </w:tcPr>
          <w:p>
            <w:pPr>
              <w:spacing w:after="0"/>
              <w:rPr>
                <w:sz w:val="14"/>
                <w:szCs w:val="14"/>
                <w:color w:val="auto"/>
              </w:rPr>
            </w:pPr>
          </w:p>
        </w:tc>
        <w:tc>
          <w:tcPr>
            <w:tcW w:w="820" w:type="dxa"/>
            <w:vAlign w:val="bottom"/>
          </w:tcPr>
          <w:p>
            <w:pPr>
              <w:jc w:val="right"/>
              <w:spacing w:after="0"/>
              <w:rPr>
                <w:sz w:val="20"/>
                <w:szCs w:val="20"/>
                <w:color w:val="auto"/>
              </w:rPr>
            </w:pPr>
            <w:r>
              <w:rPr>
                <w:rFonts w:ascii="Arial" w:cs="Arial" w:eastAsia="Arial" w:hAnsi="Arial"/>
                <w:sz w:val="14"/>
                <w:szCs w:val="14"/>
                <w:color w:val="auto"/>
              </w:rPr>
              <w:t>8.9</w:t>
            </w:r>
          </w:p>
        </w:tc>
        <w:tc>
          <w:tcPr>
            <w:tcW w:w="100" w:type="dxa"/>
            <w:vAlign w:val="bottom"/>
          </w:tcPr>
          <w:p>
            <w:pPr>
              <w:spacing w:after="0"/>
              <w:rPr>
                <w:sz w:val="14"/>
                <w:szCs w:val="14"/>
                <w:color w:val="auto"/>
              </w:rPr>
            </w:pPr>
          </w:p>
        </w:tc>
      </w:tr>
      <w:tr>
        <w:trPr>
          <w:trHeight w:val="156"/>
        </w:trPr>
        <w:tc>
          <w:tcPr>
            <w:tcW w:w="4540" w:type="dxa"/>
            <w:vAlign w:val="bottom"/>
            <w:tcBorders>
              <w:top w:val="single" w:sz="8" w:color="CFF0FC"/>
              <w:bottom w:val="single" w:sz="8" w:color="CFF0FC"/>
            </w:tcBorders>
            <w:shd w:val="clear" w:color="auto" w:fill="CFF0FC"/>
          </w:tcPr>
          <w:p>
            <w:pPr>
              <w:spacing w:after="0" w:line="155" w:lineRule="exact"/>
              <w:rPr>
                <w:sz w:val="20"/>
                <w:szCs w:val="20"/>
                <w:color w:val="auto"/>
              </w:rPr>
            </w:pPr>
            <w:r>
              <w:rPr>
                <w:rFonts w:ascii="Arial" w:cs="Arial" w:eastAsia="Arial" w:hAnsi="Arial"/>
                <w:sz w:val="14"/>
                <w:szCs w:val="14"/>
                <w:color w:val="auto"/>
              </w:rPr>
              <w:t>Balance, March 31, 2021</w:t>
            </w:r>
          </w:p>
        </w:tc>
        <w:tc>
          <w:tcPr>
            <w:tcW w:w="120" w:type="dxa"/>
            <w:vAlign w:val="bottom"/>
            <w:tcBorders>
              <w:top w:val="single" w:sz="8" w:color="auto"/>
              <w:bottom w:val="single" w:sz="8" w:color="auto"/>
            </w:tcBorders>
            <w:shd w:val="clear" w:color="auto" w:fill="CFF0FC"/>
          </w:tcPr>
          <w:p>
            <w:pPr>
              <w:jc w:val="right"/>
              <w:spacing w:after="0" w:line="155" w:lineRule="exact"/>
              <w:rPr>
                <w:sz w:val="20"/>
                <w:szCs w:val="20"/>
                <w:color w:val="auto"/>
              </w:rPr>
            </w:pPr>
            <w:r>
              <w:rPr>
                <w:rFonts w:ascii="Arial" w:cs="Arial" w:eastAsia="Arial" w:hAnsi="Arial"/>
                <w:sz w:val="14"/>
                <w:szCs w:val="14"/>
                <w:color w:val="auto"/>
                <w:w w:val="76"/>
              </w:rPr>
              <w:t>$</w:t>
            </w:r>
          </w:p>
        </w:tc>
        <w:tc>
          <w:tcPr>
            <w:tcW w:w="980" w:type="dxa"/>
            <w:vAlign w:val="bottom"/>
            <w:tcBorders>
              <w:top w:val="single" w:sz="8" w:color="auto"/>
              <w:bottom w:val="single" w:sz="8" w:color="auto"/>
            </w:tcBorders>
            <w:shd w:val="clear" w:color="auto" w:fill="CFF0FC"/>
          </w:tcPr>
          <w:p>
            <w:pPr>
              <w:jc w:val="right"/>
              <w:spacing w:after="0" w:line="155" w:lineRule="exact"/>
              <w:rPr>
                <w:sz w:val="20"/>
                <w:szCs w:val="20"/>
                <w:color w:val="auto"/>
              </w:rPr>
            </w:pPr>
            <w:r>
              <w:rPr>
                <w:rFonts w:ascii="Arial" w:cs="Arial" w:eastAsia="Arial" w:hAnsi="Arial"/>
                <w:sz w:val="14"/>
                <w:szCs w:val="14"/>
                <w:color w:val="auto"/>
              </w:rPr>
              <w:t>(5.0)</w:t>
            </w:r>
          </w:p>
        </w:tc>
        <w:tc>
          <w:tcPr>
            <w:tcW w:w="240" w:type="dxa"/>
            <w:vAlign w:val="bottom"/>
            <w:tcBorders>
              <w:top w:val="single" w:sz="8" w:color="CFF0FC"/>
              <w:bottom w:val="single" w:sz="8" w:color="CFF0FC"/>
            </w:tcBorders>
            <w:shd w:val="clear" w:color="auto" w:fill="CFF0FC"/>
          </w:tcPr>
          <w:p>
            <w:pPr>
              <w:spacing w:after="0"/>
              <w:rPr>
                <w:sz w:val="13"/>
                <w:szCs w:val="13"/>
                <w:color w:val="auto"/>
              </w:rPr>
            </w:pPr>
          </w:p>
        </w:tc>
        <w:tc>
          <w:tcPr>
            <w:tcW w:w="160" w:type="dxa"/>
            <w:vAlign w:val="bottom"/>
            <w:tcBorders>
              <w:top w:val="single" w:sz="8" w:color="auto"/>
              <w:bottom w:val="single" w:sz="8" w:color="auto"/>
            </w:tcBorders>
            <w:shd w:val="clear" w:color="auto" w:fill="CFF0FC"/>
          </w:tcPr>
          <w:p>
            <w:pPr>
              <w:jc w:val="right"/>
              <w:ind w:right="8"/>
              <w:spacing w:after="0" w:line="155" w:lineRule="exact"/>
              <w:rPr>
                <w:sz w:val="20"/>
                <w:szCs w:val="20"/>
                <w:color w:val="auto"/>
              </w:rPr>
            </w:pPr>
            <w:r>
              <w:rPr>
                <w:rFonts w:ascii="Arial" w:cs="Arial" w:eastAsia="Arial" w:hAnsi="Arial"/>
                <w:sz w:val="14"/>
                <w:szCs w:val="14"/>
                <w:color w:val="auto"/>
                <w:w w:val="76"/>
              </w:rPr>
              <w:t>$</w:t>
            </w:r>
          </w:p>
        </w:tc>
        <w:tc>
          <w:tcPr>
            <w:tcW w:w="1060" w:type="dxa"/>
            <w:vAlign w:val="bottom"/>
            <w:tcBorders>
              <w:top w:val="single" w:sz="8" w:color="auto"/>
              <w:bottom w:val="single" w:sz="8" w:color="auto"/>
            </w:tcBorders>
            <w:shd w:val="clear" w:color="auto" w:fill="CFF0FC"/>
          </w:tcPr>
          <w:p>
            <w:pPr>
              <w:jc w:val="right"/>
              <w:spacing w:after="0" w:line="155" w:lineRule="exact"/>
              <w:rPr>
                <w:sz w:val="20"/>
                <w:szCs w:val="20"/>
                <w:color w:val="auto"/>
              </w:rPr>
            </w:pPr>
            <w:r>
              <w:rPr>
                <w:rFonts w:ascii="Arial" w:cs="Arial" w:eastAsia="Arial" w:hAnsi="Arial"/>
                <w:sz w:val="14"/>
                <w:szCs w:val="14"/>
                <w:color w:val="auto"/>
              </w:rPr>
              <w:t>(183.9)</w:t>
            </w:r>
          </w:p>
        </w:tc>
        <w:tc>
          <w:tcPr>
            <w:tcW w:w="240" w:type="dxa"/>
            <w:vAlign w:val="bottom"/>
            <w:tcBorders>
              <w:top w:val="single" w:sz="8" w:color="CFF0FC"/>
              <w:bottom w:val="single" w:sz="8" w:color="CFF0FC"/>
            </w:tcBorders>
            <w:shd w:val="clear" w:color="auto" w:fill="CFF0FC"/>
          </w:tcPr>
          <w:p>
            <w:pPr>
              <w:spacing w:after="0"/>
              <w:rPr>
                <w:sz w:val="13"/>
                <w:szCs w:val="13"/>
                <w:color w:val="auto"/>
              </w:rPr>
            </w:pPr>
          </w:p>
        </w:tc>
        <w:tc>
          <w:tcPr>
            <w:tcW w:w="140" w:type="dxa"/>
            <w:vAlign w:val="bottom"/>
            <w:tcBorders>
              <w:top w:val="single" w:sz="8" w:color="auto"/>
              <w:bottom w:val="single" w:sz="8" w:color="auto"/>
            </w:tcBorders>
            <w:shd w:val="clear" w:color="auto" w:fill="CFF0FC"/>
          </w:tcPr>
          <w:p>
            <w:pPr>
              <w:jc w:val="right"/>
              <w:spacing w:after="0" w:line="155" w:lineRule="exact"/>
              <w:rPr>
                <w:sz w:val="20"/>
                <w:szCs w:val="20"/>
                <w:color w:val="auto"/>
              </w:rPr>
            </w:pPr>
            <w:r>
              <w:rPr>
                <w:rFonts w:ascii="Arial" w:cs="Arial" w:eastAsia="Arial" w:hAnsi="Arial"/>
                <w:sz w:val="14"/>
                <w:szCs w:val="14"/>
                <w:color w:val="auto"/>
                <w:w w:val="76"/>
              </w:rPr>
              <w:t>$</w:t>
            </w:r>
          </w:p>
        </w:tc>
        <w:tc>
          <w:tcPr>
            <w:tcW w:w="960" w:type="dxa"/>
            <w:vAlign w:val="bottom"/>
            <w:tcBorders>
              <w:top w:val="single" w:sz="8" w:color="auto"/>
              <w:bottom w:val="single" w:sz="8" w:color="auto"/>
            </w:tcBorders>
            <w:shd w:val="clear" w:color="auto" w:fill="CFF0FC"/>
          </w:tcPr>
          <w:p>
            <w:pPr>
              <w:jc w:val="right"/>
              <w:spacing w:after="0" w:line="155" w:lineRule="exact"/>
              <w:rPr>
                <w:sz w:val="20"/>
                <w:szCs w:val="20"/>
                <w:color w:val="auto"/>
              </w:rPr>
            </w:pPr>
            <w:r>
              <w:rPr>
                <w:rFonts w:ascii="Arial" w:cs="Arial" w:eastAsia="Arial" w:hAnsi="Arial"/>
                <w:sz w:val="14"/>
                <w:szCs w:val="14"/>
                <w:color w:val="auto"/>
              </w:rPr>
              <w:t>(3.2)</w:t>
            </w:r>
          </w:p>
        </w:tc>
        <w:tc>
          <w:tcPr>
            <w:tcW w:w="240" w:type="dxa"/>
            <w:vAlign w:val="bottom"/>
            <w:tcBorders>
              <w:top w:val="single" w:sz="8" w:color="CFF0FC"/>
              <w:bottom w:val="single" w:sz="8" w:color="CFF0FC"/>
            </w:tcBorders>
            <w:shd w:val="clear" w:color="auto" w:fill="CFF0FC"/>
          </w:tcPr>
          <w:p>
            <w:pPr>
              <w:spacing w:after="0"/>
              <w:rPr>
                <w:sz w:val="13"/>
                <w:szCs w:val="13"/>
                <w:color w:val="auto"/>
              </w:rPr>
            </w:pPr>
          </w:p>
        </w:tc>
        <w:tc>
          <w:tcPr>
            <w:tcW w:w="500" w:type="dxa"/>
            <w:vAlign w:val="bottom"/>
            <w:tcBorders>
              <w:top w:val="single" w:sz="8" w:color="auto"/>
              <w:bottom w:val="single" w:sz="8" w:color="auto"/>
            </w:tcBorders>
            <w:shd w:val="clear" w:color="auto" w:fill="CFF0FC"/>
          </w:tcPr>
          <w:p>
            <w:pPr>
              <w:spacing w:after="0" w:line="155" w:lineRule="exact"/>
              <w:rPr>
                <w:sz w:val="20"/>
                <w:szCs w:val="20"/>
                <w:color w:val="auto"/>
              </w:rPr>
            </w:pPr>
            <w:r>
              <w:rPr>
                <w:rFonts w:ascii="Arial" w:cs="Arial" w:eastAsia="Arial" w:hAnsi="Arial"/>
                <w:sz w:val="14"/>
                <w:szCs w:val="14"/>
                <w:color w:val="auto"/>
              </w:rPr>
              <w:t>$</w:t>
            </w:r>
          </w:p>
        </w:tc>
        <w:tc>
          <w:tcPr>
            <w:tcW w:w="820" w:type="dxa"/>
            <w:vAlign w:val="bottom"/>
            <w:tcBorders>
              <w:top w:val="single" w:sz="8" w:color="auto"/>
              <w:bottom w:val="single" w:sz="8" w:color="auto"/>
            </w:tcBorders>
            <w:shd w:val="clear" w:color="auto" w:fill="CFF0FC"/>
          </w:tcPr>
          <w:p>
            <w:pPr>
              <w:jc w:val="right"/>
              <w:spacing w:after="0" w:line="155" w:lineRule="exact"/>
              <w:rPr>
                <w:sz w:val="20"/>
                <w:szCs w:val="20"/>
                <w:color w:val="auto"/>
              </w:rPr>
            </w:pPr>
            <w:r>
              <w:rPr>
                <w:rFonts w:ascii="Arial" w:cs="Arial" w:eastAsia="Arial" w:hAnsi="Arial"/>
                <w:sz w:val="14"/>
                <w:szCs w:val="14"/>
                <w:color w:val="auto"/>
              </w:rPr>
              <w:t>(192.1)</w:t>
            </w:r>
          </w:p>
        </w:tc>
        <w:tc>
          <w:tcPr>
            <w:tcW w:w="100" w:type="dxa"/>
            <w:vAlign w:val="bottom"/>
            <w:tcBorders>
              <w:top w:val="single" w:sz="8" w:color="CFF0FC"/>
              <w:bottom w:val="single" w:sz="8" w:color="CFF0FC"/>
            </w:tcBorders>
            <w:shd w:val="clear" w:color="auto" w:fill="CFF0FC"/>
          </w:tcPr>
          <w:p>
            <w:pPr>
              <w:spacing w:after="0"/>
              <w:rPr>
                <w:sz w:val="13"/>
                <w:szCs w:val="13"/>
                <w:color w:val="auto"/>
              </w:rPr>
            </w:pPr>
          </w:p>
        </w:tc>
      </w:tr>
      <w:tr>
        <w:trPr>
          <w:trHeight w:val="20"/>
        </w:trPr>
        <w:tc>
          <w:tcPr>
            <w:tcW w:w="454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202" w:lineRule="exact"/>
        <w:rPr>
          <w:sz w:val="20"/>
          <w:szCs w:val="20"/>
          <w:color w:val="auto"/>
        </w:rPr>
      </w:pPr>
    </w:p>
    <w:p>
      <w:pPr>
        <w:ind w:left="560"/>
        <w:spacing w:after="0"/>
        <w:rPr>
          <w:sz w:val="20"/>
          <w:szCs w:val="20"/>
          <w:color w:val="auto"/>
        </w:rPr>
      </w:pPr>
      <w:r>
        <w:rPr>
          <w:rFonts w:ascii="Arial" w:cs="Arial" w:eastAsia="Arial" w:hAnsi="Arial"/>
          <w:sz w:val="18"/>
          <w:szCs w:val="18"/>
          <w:color w:val="auto"/>
        </w:rPr>
        <w:t>Adjustments to accumulated other comprehensive loss are as follows (in millions):</w:t>
      </w:r>
    </w:p>
    <w:p>
      <w:pPr>
        <w:spacing w:after="0" w:line="298" w:lineRule="exact"/>
        <w:rPr>
          <w:sz w:val="20"/>
          <w:szCs w:val="20"/>
          <w:color w:val="auto"/>
        </w:rPr>
      </w:pPr>
    </w:p>
    <w:tbl>
      <w:tblPr>
        <w:tblLayout w:type="fixed"/>
        <w:tblInd w:w="580" w:type="dxa"/>
        <w:tblCellMar>
          <w:top w:w="0" w:type="dxa"/>
          <w:left w:w="0" w:type="dxa"/>
          <w:bottom w:w="0" w:type="dxa"/>
          <w:right w:w="0" w:type="dxa"/>
        </w:tblCellMar>
      </w:tblPr>
      <w:tr>
        <w:trPr>
          <w:trHeight w:val="171"/>
        </w:trPr>
        <w:tc>
          <w:tcPr>
            <w:tcW w:w="416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240" w:type="dxa"/>
            <w:vAlign w:val="bottom"/>
            <w:tcBorders>
              <w:bottom w:val="single" w:sz="8" w:color="auto"/>
            </w:tcBorders>
          </w:tcPr>
          <w:p>
            <w:pPr>
              <w:spacing w:after="0"/>
              <w:rPr>
                <w:sz w:val="14"/>
                <w:szCs w:val="14"/>
                <w:color w:val="auto"/>
              </w:rPr>
            </w:pPr>
          </w:p>
        </w:tc>
        <w:tc>
          <w:tcPr>
            <w:tcW w:w="1060" w:type="dxa"/>
            <w:vAlign w:val="bottom"/>
            <w:tcBorders>
              <w:bottom w:val="single" w:sz="8" w:color="auto"/>
            </w:tcBorders>
          </w:tcPr>
          <w:p>
            <w:pPr>
              <w:spacing w:after="0"/>
              <w:rPr>
                <w:sz w:val="14"/>
                <w:szCs w:val="14"/>
                <w:color w:val="auto"/>
              </w:rPr>
            </w:pPr>
          </w:p>
        </w:tc>
        <w:tc>
          <w:tcPr>
            <w:tcW w:w="200" w:type="dxa"/>
            <w:vAlign w:val="bottom"/>
            <w:tcBorders>
              <w:bottom w:val="single" w:sz="8" w:color="auto"/>
            </w:tcBorders>
          </w:tcPr>
          <w:p>
            <w:pPr>
              <w:spacing w:after="0"/>
              <w:rPr>
                <w:sz w:val="14"/>
                <w:szCs w:val="14"/>
                <w:color w:val="auto"/>
              </w:rPr>
            </w:pPr>
          </w:p>
        </w:tc>
        <w:tc>
          <w:tcPr>
            <w:tcW w:w="20" w:type="dxa"/>
            <w:vAlign w:val="bottom"/>
            <w:tcBorders>
              <w:bottom w:val="single" w:sz="8" w:color="auto"/>
            </w:tcBorders>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2320" w:type="dxa"/>
            <w:vAlign w:val="bottom"/>
            <w:tcBorders>
              <w:bottom w:val="single" w:sz="8" w:color="auto"/>
            </w:tcBorders>
            <w:gridSpan w:val="5"/>
          </w:tcPr>
          <w:p>
            <w:pPr>
              <w:jc w:val="right"/>
              <w:ind w:right="280"/>
              <w:spacing w:after="0"/>
              <w:rPr>
                <w:sz w:val="20"/>
                <w:szCs w:val="20"/>
                <w:color w:val="auto"/>
              </w:rPr>
            </w:pPr>
            <w:r>
              <w:rPr>
                <w:rFonts w:ascii="Arial" w:cs="Arial" w:eastAsia="Arial" w:hAnsi="Arial"/>
                <w:sz w:val="14"/>
                <w:szCs w:val="14"/>
                <w:b w:val="1"/>
                <w:bCs w:val="1"/>
                <w:color w:val="auto"/>
                <w:w w:val="97"/>
              </w:rPr>
              <w:t>Three Months Ended March 31,</w:t>
            </w:r>
          </w:p>
        </w:tc>
        <w:tc>
          <w:tcPr>
            <w:tcW w:w="160" w:type="dxa"/>
            <w:vAlign w:val="bottom"/>
            <w:tcBorders>
              <w:bottom w:val="single" w:sz="8" w:color="auto"/>
            </w:tcBorders>
          </w:tcPr>
          <w:p>
            <w:pPr>
              <w:spacing w:after="0"/>
              <w:rPr>
                <w:sz w:val="14"/>
                <w:szCs w:val="14"/>
                <w:color w:val="auto"/>
              </w:rPr>
            </w:pPr>
          </w:p>
        </w:tc>
        <w:tc>
          <w:tcPr>
            <w:tcW w:w="240" w:type="dxa"/>
            <w:vAlign w:val="bottom"/>
            <w:tcBorders>
              <w:bottom w:val="single" w:sz="8" w:color="auto"/>
            </w:tcBorders>
          </w:tcPr>
          <w:p>
            <w:pPr>
              <w:spacing w:after="0"/>
              <w:rPr>
                <w:sz w:val="14"/>
                <w:szCs w:val="14"/>
                <w:color w:val="auto"/>
              </w:rPr>
            </w:pPr>
          </w:p>
        </w:tc>
        <w:tc>
          <w:tcPr>
            <w:tcW w:w="1080" w:type="dxa"/>
            <w:vAlign w:val="bottom"/>
            <w:tcBorders>
              <w:bottom w:val="single" w:sz="8" w:color="auto"/>
            </w:tcBorders>
          </w:tcPr>
          <w:p>
            <w:pPr>
              <w:spacing w:after="0"/>
              <w:rPr>
                <w:sz w:val="14"/>
                <w:szCs w:val="14"/>
                <w:color w:val="auto"/>
              </w:rPr>
            </w:pPr>
          </w:p>
        </w:tc>
        <w:tc>
          <w:tcPr>
            <w:tcW w:w="1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56"/>
        </w:trPr>
        <w:tc>
          <w:tcPr>
            <w:tcW w:w="416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240" w:type="dxa"/>
            <w:vAlign w:val="bottom"/>
            <w:tcBorders>
              <w:bottom w:val="single" w:sz="8" w:color="auto"/>
            </w:tcBorders>
          </w:tcPr>
          <w:p>
            <w:pPr>
              <w:spacing w:after="0"/>
              <w:rPr>
                <w:sz w:val="13"/>
                <w:szCs w:val="13"/>
                <w:color w:val="auto"/>
              </w:rPr>
            </w:pPr>
          </w:p>
        </w:tc>
        <w:tc>
          <w:tcPr>
            <w:tcW w:w="1260" w:type="dxa"/>
            <w:vAlign w:val="bottom"/>
            <w:tcBorders>
              <w:bottom w:val="single" w:sz="8" w:color="auto"/>
            </w:tcBorders>
            <w:gridSpan w:val="2"/>
          </w:tcPr>
          <w:p>
            <w:pPr>
              <w:jc w:val="right"/>
              <w:ind w:right="40"/>
              <w:spacing w:after="0" w:line="155" w:lineRule="exact"/>
              <w:rPr>
                <w:sz w:val="20"/>
                <w:szCs w:val="20"/>
                <w:color w:val="auto"/>
              </w:rPr>
            </w:pPr>
            <w:r>
              <w:rPr>
                <w:rFonts w:ascii="Arial" w:cs="Arial" w:eastAsia="Arial" w:hAnsi="Arial"/>
                <w:sz w:val="14"/>
                <w:szCs w:val="14"/>
                <w:b w:val="1"/>
                <w:bCs w:val="1"/>
                <w:color w:val="auto"/>
              </w:rPr>
              <w:t>2021</w:t>
            </w:r>
          </w:p>
        </w:tc>
        <w:tc>
          <w:tcPr>
            <w:tcW w:w="20" w:type="dxa"/>
            <w:vAlign w:val="bottom"/>
            <w:tcBorders>
              <w:bottom w:val="single" w:sz="8" w:color="auto"/>
            </w:tcBorders>
          </w:tcPr>
          <w:p>
            <w:pPr>
              <w:spacing w:after="0"/>
              <w:rPr>
                <w:sz w:val="13"/>
                <w:szCs w:val="13"/>
                <w:color w:val="auto"/>
              </w:rPr>
            </w:pPr>
          </w:p>
        </w:tc>
        <w:tc>
          <w:tcPr>
            <w:tcW w:w="160" w:type="dxa"/>
            <w:vAlign w:val="bottom"/>
            <w:tcBorders>
              <w:bottom w:val="single" w:sz="8" w:color="auto"/>
            </w:tcBorders>
          </w:tcPr>
          <w:p>
            <w:pPr>
              <w:spacing w:after="0"/>
              <w:rPr>
                <w:sz w:val="13"/>
                <w:szCs w:val="13"/>
                <w:color w:val="auto"/>
              </w:rPr>
            </w:pPr>
          </w:p>
        </w:tc>
        <w:tc>
          <w:tcPr>
            <w:tcW w:w="960" w:type="dxa"/>
            <w:vAlign w:val="bottom"/>
            <w:tcBorders>
              <w:bottom w:val="single" w:sz="8" w:color="auto"/>
            </w:tcBorders>
          </w:tcPr>
          <w:p>
            <w:pPr>
              <w:spacing w:after="0"/>
              <w:rPr>
                <w:sz w:val="13"/>
                <w:szCs w:val="13"/>
                <w:color w:val="auto"/>
              </w:rPr>
            </w:pPr>
          </w:p>
        </w:tc>
        <w:tc>
          <w:tcPr>
            <w:tcW w:w="220" w:type="dxa"/>
            <w:vAlign w:val="bottom"/>
          </w:tcPr>
          <w:p>
            <w:pPr>
              <w:spacing w:after="0"/>
              <w:rPr>
                <w:sz w:val="13"/>
                <w:szCs w:val="13"/>
                <w:color w:val="auto"/>
              </w:rPr>
            </w:pPr>
          </w:p>
        </w:tc>
        <w:tc>
          <w:tcPr>
            <w:tcW w:w="200" w:type="dxa"/>
            <w:vAlign w:val="bottom"/>
            <w:tcBorders>
              <w:bottom w:val="single" w:sz="8" w:color="auto"/>
            </w:tcBorders>
          </w:tcPr>
          <w:p>
            <w:pPr>
              <w:spacing w:after="0"/>
              <w:rPr>
                <w:sz w:val="13"/>
                <w:szCs w:val="13"/>
                <w:color w:val="auto"/>
              </w:rPr>
            </w:pPr>
          </w:p>
        </w:tc>
        <w:tc>
          <w:tcPr>
            <w:tcW w:w="880" w:type="dxa"/>
            <w:vAlign w:val="bottom"/>
            <w:tcBorders>
              <w:bottom w:val="single" w:sz="8" w:color="auto"/>
            </w:tcBorders>
          </w:tcPr>
          <w:p>
            <w:pPr>
              <w:spacing w:after="0"/>
              <w:rPr>
                <w:sz w:val="13"/>
                <w:szCs w:val="13"/>
                <w:color w:val="auto"/>
              </w:rPr>
            </w:pPr>
          </w:p>
        </w:tc>
        <w:tc>
          <w:tcPr>
            <w:tcW w:w="60" w:type="dxa"/>
            <w:vAlign w:val="bottom"/>
            <w:tcBorders>
              <w:bottom w:val="single" w:sz="8" w:color="auto"/>
            </w:tcBorders>
          </w:tcPr>
          <w:p>
            <w:pPr>
              <w:spacing w:after="0"/>
              <w:rPr>
                <w:sz w:val="13"/>
                <w:szCs w:val="13"/>
                <w:color w:val="auto"/>
              </w:rPr>
            </w:pPr>
          </w:p>
        </w:tc>
        <w:tc>
          <w:tcPr>
            <w:tcW w:w="400" w:type="dxa"/>
            <w:vAlign w:val="bottom"/>
            <w:tcBorders>
              <w:bottom w:val="single" w:sz="8" w:color="auto"/>
            </w:tcBorders>
            <w:gridSpan w:val="2"/>
          </w:tcPr>
          <w:p>
            <w:pPr>
              <w:jc w:val="right"/>
              <w:ind w:right="8"/>
              <w:spacing w:after="0" w:line="155" w:lineRule="exact"/>
              <w:rPr>
                <w:sz w:val="20"/>
                <w:szCs w:val="20"/>
                <w:color w:val="auto"/>
              </w:rPr>
            </w:pPr>
            <w:r>
              <w:rPr>
                <w:rFonts w:ascii="Arial" w:cs="Arial" w:eastAsia="Arial" w:hAnsi="Arial"/>
                <w:sz w:val="14"/>
                <w:szCs w:val="14"/>
                <w:b w:val="1"/>
                <w:bCs w:val="1"/>
                <w:color w:val="auto"/>
                <w:w w:val="96"/>
              </w:rPr>
              <w:t>2020</w:t>
            </w:r>
          </w:p>
        </w:tc>
        <w:tc>
          <w:tcPr>
            <w:tcW w:w="1080" w:type="dxa"/>
            <w:vAlign w:val="bottom"/>
            <w:tcBorders>
              <w:bottom w:val="single" w:sz="8" w:color="auto"/>
            </w:tcBorders>
          </w:tcPr>
          <w:p>
            <w:pPr>
              <w:spacing w:after="0"/>
              <w:rPr>
                <w:sz w:val="13"/>
                <w:szCs w:val="13"/>
                <w:color w:val="auto"/>
              </w:rPr>
            </w:pPr>
          </w:p>
        </w:tc>
        <w:tc>
          <w:tcPr>
            <w:tcW w:w="1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5"/>
        </w:trPr>
        <w:tc>
          <w:tcPr>
            <w:tcW w:w="4160" w:type="dxa"/>
            <w:vAlign w:val="bottom"/>
            <w:vMerge w:val="restart"/>
          </w:tcPr>
          <w:p>
            <w:pPr>
              <w:spacing w:after="0"/>
              <w:rPr>
                <w:sz w:val="20"/>
                <w:szCs w:val="20"/>
                <w:color w:val="auto"/>
              </w:rPr>
            </w:pPr>
            <w:r>
              <w:rPr>
                <w:rFonts w:ascii="Arial" w:cs="Arial" w:eastAsia="Arial" w:hAnsi="Arial"/>
                <w:sz w:val="14"/>
                <w:szCs w:val="14"/>
                <w:b w:val="1"/>
                <w:bCs w:val="1"/>
                <w:color w:val="auto"/>
              </w:rPr>
              <w:t>Interest Rate Swap</w:t>
            </w:r>
          </w:p>
        </w:tc>
        <w:tc>
          <w:tcPr>
            <w:tcW w:w="34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1260" w:type="dxa"/>
            <w:vAlign w:val="bottom"/>
            <w:gridSpan w:val="2"/>
          </w:tcPr>
          <w:p>
            <w:pPr>
              <w:jc w:val="right"/>
              <w:ind w:right="660"/>
              <w:spacing w:after="0" w:line="155" w:lineRule="exact"/>
              <w:rPr>
                <w:sz w:val="20"/>
                <w:szCs w:val="20"/>
                <w:color w:val="auto"/>
              </w:rPr>
            </w:pPr>
            <w:r>
              <w:rPr>
                <w:rFonts w:ascii="Arial" w:cs="Arial" w:eastAsia="Arial" w:hAnsi="Arial"/>
                <w:sz w:val="14"/>
                <w:szCs w:val="14"/>
                <w:b w:val="1"/>
                <w:bCs w:val="1"/>
                <w:color w:val="auto"/>
              </w:rPr>
              <w:t>Pretax</w:t>
            </w:r>
          </w:p>
        </w:tc>
        <w:tc>
          <w:tcPr>
            <w:tcW w:w="2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960" w:type="dxa"/>
            <w:vAlign w:val="bottom"/>
          </w:tcPr>
          <w:p>
            <w:pPr>
              <w:jc w:val="right"/>
              <w:ind w:right="168"/>
              <w:spacing w:after="0" w:line="155" w:lineRule="exact"/>
              <w:rPr>
                <w:sz w:val="20"/>
                <w:szCs w:val="20"/>
                <w:color w:val="auto"/>
              </w:rPr>
            </w:pPr>
            <w:r>
              <w:rPr>
                <w:rFonts w:ascii="Arial" w:cs="Arial" w:eastAsia="Arial" w:hAnsi="Arial"/>
                <w:sz w:val="14"/>
                <w:szCs w:val="14"/>
                <w:b w:val="1"/>
                <w:bCs w:val="1"/>
                <w:color w:val="auto"/>
              </w:rPr>
              <w:t>Tax Effect</w:t>
            </w:r>
          </w:p>
        </w:tc>
        <w:tc>
          <w:tcPr>
            <w:tcW w:w="22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940" w:type="dxa"/>
            <w:vAlign w:val="bottom"/>
            <w:gridSpan w:val="2"/>
          </w:tcPr>
          <w:p>
            <w:pPr>
              <w:jc w:val="right"/>
              <w:ind w:right="400"/>
              <w:spacing w:after="0" w:line="155" w:lineRule="exact"/>
              <w:rPr>
                <w:sz w:val="20"/>
                <w:szCs w:val="20"/>
                <w:color w:val="auto"/>
              </w:rPr>
            </w:pPr>
            <w:r>
              <w:rPr>
                <w:rFonts w:ascii="Arial" w:cs="Arial" w:eastAsia="Arial" w:hAnsi="Arial"/>
                <w:sz w:val="14"/>
                <w:szCs w:val="14"/>
                <w:b w:val="1"/>
                <w:bCs w:val="1"/>
                <w:color w:val="auto"/>
              </w:rPr>
              <w:t>Pretax</w:t>
            </w:r>
          </w:p>
        </w:tc>
        <w:tc>
          <w:tcPr>
            <w:tcW w:w="16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1080" w:type="dxa"/>
            <w:vAlign w:val="bottom"/>
          </w:tcPr>
          <w:p>
            <w:pPr>
              <w:jc w:val="right"/>
              <w:ind w:right="268"/>
              <w:spacing w:after="0" w:line="155" w:lineRule="exact"/>
              <w:rPr>
                <w:sz w:val="20"/>
                <w:szCs w:val="20"/>
                <w:color w:val="auto"/>
              </w:rPr>
            </w:pPr>
            <w:r>
              <w:rPr>
                <w:rFonts w:ascii="Arial" w:cs="Arial" w:eastAsia="Arial" w:hAnsi="Arial"/>
                <w:sz w:val="14"/>
                <w:szCs w:val="14"/>
                <w:b w:val="1"/>
                <w:bCs w:val="1"/>
                <w:color w:val="auto"/>
              </w:rPr>
              <w:t>Tax Effect</w:t>
            </w:r>
          </w:p>
        </w:tc>
        <w:tc>
          <w:tcPr>
            <w:tcW w:w="1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5"/>
        </w:trPr>
        <w:tc>
          <w:tcPr>
            <w:tcW w:w="4160" w:type="dxa"/>
            <w:vAlign w:val="bottom"/>
            <w:vMerge w:val="continue"/>
          </w:tcPr>
          <w:p>
            <w:pPr>
              <w:spacing w:after="0"/>
              <w:rPr>
                <w:sz w:val="13"/>
                <w:szCs w:val="13"/>
                <w:color w:val="auto"/>
              </w:rPr>
            </w:pPr>
          </w:p>
        </w:tc>
        <w:tc>
          <w:tcPr>
            <w:tcW w:w="340" w:type="dxa"/>
            <w:vAlign w:val="bottom"/>
          </w:tcPr>
          <w:p>
            <w:pPr>
              <w:spacing w:after="0"/>
              <w:rPr>
                <w:sz w:val="13"/>
                <w:szCs w:val="13"/>
                <w:color w:val="auto"/>
              </w:rPr>
            </w:pPr>
          </w:p>
        </w:tc>
        <w:tc>
          <w:tcPr>
            <w:tcW w:w="240" w:type="dxa"/>
            <w:vAlign w:val="bottom"/>
            <w:tcBorders>
              <w:top w:val="single" w:sz="8" w:color="auto"/>
            </w:tcBorders>
          </w:tcPr>
          <w:p>
            <w:pPr>
              <w:spacing w:after="0"/>
              <w:rPr>
                <w:sz w:val="13"/>
                <w:szCs w:val="13"/>
                <w:color w:val="auto"/>
              </w:rPr>
            </w:pPr>
          </w:p>
        </w:tc>
        <w:tc>
          <w:tcPr>
            <w:tcW w:w="1060" w:type="dxa"/>
            <w:vAlign w:val="bottom"/>
            <w:tcBorders>
              <w:top w:val="single" w:sz="8" w:color="auto"/>
            </w:tcBorders>
          </w:tcPr>
          <w:p>
            <w:pPr>
              <w:spacing w:after="0"/>
              <w:rPr>
                <w:sz w:val="13"/>
                <w:szCs w:val="13"/>
                <w:color w:val="auto"/>
              </w:rPr>
            </w:pPr>
          </w:p>
        </w:tc>
        <w:tc>
          <w:tcPr>
            <w:tcW w:w="2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60" w:type="dxa"/>
            <w:vAlign w:val="bottom"/>
            <w:tcBorders>
              <w:top w:val="single" w:sz="8" w:color="auto"/>
            </w:tcBorders>
          </w:tcPr>
          <w:p>
            <w:pPr>
              <w:spacing w:after="0"/>
              <w:rPr>
                <w:sz w:val="13"/>
                <w:szCs w:val="13"/>
                <w:color w:val="auto"/>
              </w:rPr>
            </w:pPr>
          </w:p>
        </w:tc>
        <w:tc>
          <w:tcPr>
            <w:tcW w:w="960" w:type="dxa"/>
            <w:vAlign w:val="bottom"/>
            <w:tcBorders>
              <w:top w:val="single" w:sz="8" w:color="auto"/>
            </w:tcBorders>
          </w:tcPr>
          <w:p>
            <w:pPr>
              <w:spacing w:after="0"/>
              <w:rPr>
                <w:sz w:val="13"/>
                <w:szCs w:val="13"/>
                <w:color w:val="auto"/>
              </w:rPr>
            </w:pPr>
          </w:p>
        </w:tc>
        <w:tc>
          <w:tcPr>
            <w:tcW w:w="220" w:type="dxa"/>
            <w:vAlign w:val="bottom"/>
          </w:tcPr>
          <w:p>
            <w:pPr>
              <w:spacing w:after="0"/>
              <w:rPr>
                <w:sz w:val="13"/>
                <w:szCs w:val="13"/>
                <w:color w:val="auto"/>
              </w:rPr>
            </w:pPr>
          </w:p>
        </w:tc>
        <w:tc>
          <w:tcPr>
            <w:tcW w:w="200" w:type="dxa"/>
            <w:vAlign w:val="bottom"/>
            <w:tcBorders>
              <w:top w:val="single" w:sz="8" w:color="auto"/>
            </w:tcBorders>
          </w:tcPr>
          <w:p>
            <w:pPr>
              <w:spacing w:after="0"/>
              <w:rPr>
                <w:sz w:val="13"/>
                <w:szCs w:val="13"/>
                <w:color w:val="auto"/>
              </w:rPr>
            </w:pPr>
          </w:p>
        </w:tc>
        <w:tc>
          <w:tcPr>
            <w:tcW w:w="880" w:type="dxa"/>
            <w:vAlign w:val="bottom"/>
            <w:tcBorders>
              <w:top w:val="single" w:sz="8" w:color="auto"/>
            </w:tcBorders>
          </w:tcPr>
          <w:p>
            <w:pPr>
              <w:spacing w:after="0"/>
              <w:rPr>
                <w:sz w:val="13"/>
                <w:szCs w:val="13"/>
                <w:color w:val="auto"/>
              </w:rPr>
            </w:pPr>
          </w:p>
        </w:tc>
        <w:tc>
          <w:tcPr>
            <w:tcW w:w="6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240" w:type="dxa"/>
            <w:vAlign w:val="bottom"/>
            <w:tcBorders>
              <w:top w:val="single" w:sz="8" w:color="auto"/>
            </w:tcBorders>
          </w:tcPr>
          <w:p>
            <w:pPr>
              <w:spacing w:after="0"/>
              <w:rPr>
                <w:sz w:val="13"/>
                <w:szCs w:val="13"/>
                <w:color w:val="auto"/>
              </w:rPr>
            </w:pPr>
          </w:p>
        </w:tc>
        <w:tc>
          <w:tcPr>
            <w:tcW w:w="1080" w:type="dxa"/>
            <w:vAlign w:val="bottom"/>
            <w:tcBorders>
              <w:top w:val="single" w:sz="8" w:color="auto"/>
            </w:tcBorders>
          </w:tcPr>
          <w:p>
            <w:pPr>
              <w:spacing w:after="0"/>
              <w:rPr>
                <w:sz w:val="13"/>
                <w:szCs w:val="13"/>
                <w:color w:val="auto"/>
              </w:rPr>
            </w:pPr>
          </w:p>
        </w:tc>
        <w:tc>
          <w:tcPr>
            <w:tcW w:w="1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62"/>
        </w:trPr>
        <w:tc>
          <w:tcPr>
            <w:tcW w:w="4160" w:type="dxa"/>
            <w:vAlign w:val="bottom"/>
            <w:shd w:val="clear" w:color="auto" w:fill="CFF0FC"/>
          </w:tcPr>
          <w:p>
            <w:pPr>
              <w:ind w:left="120"/>
              <w:spacing w:after="0"/>
              <w:rPr>
                <w:sz w:val="20"/>
                <w:szCs w:val="20"/>
                <w:color w:val="auto"/>
              </w:rPr>
            </w:pPr>
            <w:r>
              <w:rPr>
                <w:rFonts w:ascii="Arial" w:cs="Arial" w:eastAsia="Arial" w:hAnsi="Arial"/>
                <w:sz w:val="14"/>
                <w:szCs w:val="14"/>
                <w:color w:val="auto"/>
              </w:rPr>
              <w:t>Unrealized losses on interest rate swaps</w:t>
            </w:r>
          </w:p>
        </w:tc>
        <w:tc>
          <w:tcPr>
            <w:tcW w:w="580" w:type="dxa"/>
            <w:vAlign w:val="bottom"/>
            <w:gridSpan w:val="2"/>
            <w:shd w:val="clear" w:color="auto" w:fill="CFF0FC"/>
          </w:tcPr>
          <w:p>
            <w:pPr>
              <w:jc w:val="right"/>
              <w:ind w:right="129"/>
              <w:spacing w:after="0"/>
              <w:rPr>
                <w:sz w:val="20"/>
                <w:szCs w:val="20"/>
                <w:color w:val="auto"/>
              </w:rPr>
            </w:pPr>
            <w:r>
              <w:rPr>
                <w:rFonts w:ascii="Arial" w:cs="Arial" w:eastAsia="Arial" w:hAnsi="Arial"/>
                <w:sz w:val="14"/>
                <w:szCs w:val="14"/>
                <w:color w:val="auto"/>
              </w:rPr>
              <w:t>$</w:t>
            </w:r>
          </w:p>
        </w:tc>
        <w:tc>
          <w:tcPr>
            <w:tcW w:w="1260" w:type="dxa"/>
            <w:vAlign w:val="bottom"/>
            <w:gridSpan w:val="2"/>
            <w:shd w:val="clear" w:color="auto" w:fill="CFF0FC"/>
          </w:tcPr>
          <w:p>
            <w:pPr>
              <w:jc w:val="right"/>
              <w:ind w:right="160"/>
              <w:spacing w:after="0"/>
              <w:rPr>
                <w:sz w:val="20"/>
                <w:szCs w:val="20"/>
                <w:color w:val="auto"/>
              </w:rPr>
            </w:pPr>
            <w:r>
              <w:rPr>
                <w:rFonts w:ascii="Arial" w:cs="Arial" w:eastAsia="Arial" w:hAnsi="Arial"/>
                <w:sz w:val="14"/>
                <w:szCs w:val="14"/>
                <w:color w:val="auto"/>
              </w:rPr>
              <w:t>(0.8)</w:t>
            </w:r>
          </w:p>
        </w:tc>
        <w:tc>
          <w:tcPr>
            <w:tcW w:w="180" w:type="dxa"/>
            <w:vAlign w:val="bottom"/>
            <w:gridSpan w:val="2"/>
            <w:shd w:val="clear" w:color="auto" w:fill="CFF0FC"/>
          </w:tcPr>
          <w:p>
            <w:pPr>
              <w:jc w:val="right"/>
              <w:ind w:right="8"/>
              <w:spacing w:after="0"/>
              <w:rPr>
                <w:sz w:val="20"/>
                <w:szCs w:val="20"/>
                <w:color w:val="auto"/>
              </w:rPr>
            </w:pPr>
            <w:r>
              <w:rPr>
                <w:rFonts w:ascii="Arial" w:cs="Arial" w:eastAsia="Arial" w:hAnsi="Arial"/>
                <w:sz w:val="14"/>
                <w:szCs w:val="14"/>
                <w:color w:val="auto"/>
              </w:rPr>
              <w:t>$</w:t>
            </w:r>
          </w:p>
        </w:tc>
        <w:tc>
          <w:tcPr>
            <w:tcW w:w="1180" w:type="dxa"/>
            <w:vAlign w:val="bottom"/>
            <w:gridSpan w:val="2"/>
            <w:shd w:val="clear" w:color="auto" w:fill="CFF0FC"/>
          </w:tcPr>
          <w:p>
            <w:pPr>
              <w:jc w:val="right"/>
              <w:ind w:right="180"/>
              <w:spacing w:after="0"/>
              <w:rPr>
                <w:sz w:val="20"/>
                <w:szCs w:val="20"/>
                <w:color w:val="auto"/>
              </w:rPr>
            </w:pPr>
            <w:r>
              <w:rPr>
                <w:rFonts w:ascii="Arial" w:cs="Arial" w:eastAsia="Arial" w:hAnsi="Arial"/>
                <w:sz w:val="14"/>
                <w:szCs w:val="14"/>
                <w:color w:val="auto"/>
              </w:rPr>
              <w:t>(0.2)</w:t>
            </w:r>
          </w:p>
        </w:tc>
        <w:tc>
          <w:tcPr>
            <w:tcW w:w="200" w:type="dxa"/>
            <w:vAlign w:val="bottom"/>
            <w:shd w:val="clear" w:color="auto" w:fill="CFF0FC"/>
          </w:tcPr>
          <w:p>
            <w:pPr>
              <w:jc w:val="right"/>
              <w:ind w:right="48"/>
              <w:spacing w:after="0"/>
              <w:rPr>
                <w:sz w:val="20"/>
                <w:szCs w:val="20"/>
                <w:color w:val="auto"/>
              </w:rPr>
            </w:pPr>
            <w:r>
              <w:rPr>
                <w:rFonts w:ascii="Arial" w:cs="Arial" w:eastAsia="Arial" w:hAnsi="Arial"/>
                <w:sz w:val="14"/>
                <w:szCs w:val="14"/>
                <w:color w:val="auto"/>
                <w:w w:val="76"/>
              </w:rPr>
              <w:t>$</w:t>
            </w:r>
          </w:p>
        </w:tc>
        <w:tc>
          <w:tcPr>
            <w:tcW w:w="940" w:type="dxa"/>
            <w:vAlign w:val="bottom"/>
            <w:gridSpan w:val="2"/>
            <w:shd w:val="clear" w:color="auto" w:fill="CFF0FC"/>
          </w:tcPr>
          <w:p>
            <w:pPr>
              <w:jc w:val="right"/>
              <w:ind w:right="20"/>
              <w:spacing w:after="0"/>
              <w:rPr>
                <w:sz w:val="20"/>
                <w:szCs w:val="20"/>
                <w:color w:val="auto"/>
              </w:rPr>
            </w:pPr>
            <w:r>
              <w:rPr>
                <w:rFonts w:ascii="Arial" w:cs="Arial" w:eastAsia="Arial" w:hAnsi="Arial"/>
                <w:sz w:val="14"/>
                <w:szCs w:val="14"/>
                <w:color w:val="auto"/>
              </w:rPr>
              <w:t>(1.5)</w:t>
            </w:r>
          </w:p>
        </w:tc>
        <w:tc>
          <w:tcPr>
            <w:tcW w:w="400" w:type="dxa"/>
            <w:vAlign w:val="bottom"/>
            <w:gridSpan w:val="2"/>
            <w:shd w:val="clear" w:color="auto" w:fill="CFF0FC"/>
          </w:tcPr>
          <w:p>
            <w:pPr>
              <w:jc w:val="right"/>
              <w:ind w:right="88"/>
              <w:spacing w:after="0"/>
              <w:rPr>
                <w:sz w:val="20"/>
                <w:szCs w:val="20"/>
                <w:color w:val="auto"/>
              </w:rPr>
            </w:pPr>
            <w:r>
              <w:rPr>
                <w:rFonts w:ascii="Arial" w:cs="Arial" w:eastAsia="Arial" w:hAnsi="Arial"/>
                <w:sz w:val="14"/>
                <w:szCs w:val="14"/>
                <w:color w:val="auto"/>
              </w:rPr>
              <w:t>$</w:t>
            </w:r>
          </w:p>
        </w:tc>
        <w:tc>
          <w:tcPr>
            <w:tcW w:w="1080" w:type="dxa"/>
            <w:vAlign w:val="bottom"/>
            <w:shd w:val="clear" w:color="auto" w:fill="CFF0FC"/>
          </w:tcPr>
          <w:p>
            <w:pPr>
              <w:jc w:val="right"/>
              <w:spacing w:after="0"/>
              <w:rPr>
                <w:sz w:val="20"/>
                <w:szCs w:val="20"/>
                <w:color w:val="auto"/>
              </w:rPr>
            </w:pPr>
            <w:r>
              <w:rPr>
                <w:rFonts w:ascii="Arial" w:cs="Arial" w:eastAsia="Arial" w:hAnsi="Arial"/>
                <w:sz w:val="14"/>
                <w:szCs w:val="14"/>
                <w:color w:val="auto"/>
              </w:rPr>
              <w:t>0.8</w:t>
            </w:r>
          </w:p>
        </w:tc>
        <w:tc>
          <w:tcPr>
            <w:tcW w:w="120" w:type="dxa"/>
            <w:vAlign w:val="bottom"/>
            <w:shd w:val="clear" w:color="auto" w:fill="CFF0FC"/>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4160" w:type="dxa"/>
            <w:vAlign w:val="bottom"/>
          </w:tcPr>
          <w:p>
            <w:pPr>
              <w:ind w:left="120"/>
              <w:spacing w:after="0"/>
              <w:rPr>
                <w:sz w:val="20"/>
                <w:szCs w:val="20"/>
                <w:color w:val="auto"/>
              </w:rPr>
            </w:pPr>
            <w:r>
              <w:rPr>
                <w:rFonts w:ascii="Arial" w:cs="Arial" w:eastAsia="Arial" w:hAnsi="Arial"/>
                <w:sz w:val="14"/>
                <w:szCs w:val="14"/>
                <w:color w:val="auto"/>
                <w:w w:val="99"/>
              </w:rPr>
              <w:t>Reclassification of losses into net earnings on interest rate swaps</w:t>
            </w:r>
          </w:p>
        </w:tc>
        <w:tc>
          <w:tcPr>
            <w:tcW w:w="34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060" w:type="dxa"/>
            <w:vAlign w:val="bottom"/>
          </w:tcPr>
          <w:p>
            <w:pPr>
              <w:jc w:val="right"/>
              <w:spacing w:after="0"/>
              <w:rPr>
                <w:sz w:val="20"/>
                <w:szCs w:val="20"/>
                <w:color w:val="auto"/>
              </w:rPr>
            </w:pPr>
            <w:r>
              <w:rPr>
                <w:rFonts w:ascii="Arial" w:cs="Arial" w:eastAsia="Arial" w:hAnsi="Arial"/>
                <w:sz w:val="14"/>
                <w:szCs w:val="14"/>
                <w:color w:val="auto"/>
              </w:rPr>
              <w:t>1.5</w:t>
            </w:r>
          </w:p>
        </w:tc>
        <w:tc>
          <w:tcPr>
            <w:tcW w:w="2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180" w:type="dxa"/>
            <w:vAlign w:val="bottom"/>
            <w:gridSpan w:val="2"/>
          </w:tcPr>
          <w:p>
            <w:pPr>
              <w:jc w:val="right"/>
              <w:ind w:right="240"/>
              <w:spacing w:after="0"/>
              <w:rPr>
                <w:sz w:val="20"/>
                <w:szCs w:val="20"/>
                <w:color w:val="auto"/>
              </w:rPr>
            </w:pPr>
            <w:r>
              <w:rPr>
                <w:rFonts w:ascii="Arial" w:cs="Arial" w:eastAsia="Arial" w:hAnsi="Arial"/>
                <w:sz w:val="14"/>
                <w:szCs w:val="14"/>
                <w:color w:val="auto"/>
              </w:rPr>
              <w:t>—</w:t>
            </w:r>
          </w:p>
        </w:tc>
        <w:tc>
          <w:tcPr>
            <w:tcW w:w="200" w:type="dxa"/>
            <w:vAlign w:val="bottom"/>
          </w:tcPr>
          <w:p>
            <w:pPr>
              <w:spacing w:after="0"/>
              <w:rPr>
                <w:sz w:val="14"/>
                <w:szCs w:val="14"/>
                <w:color w:val="auto"/>
              </w:rPr>
            </w:pPr>
          </w:p>
        </w:tc>
        <w:tc>
          <w:tcPr>
            <w:tcW w:w="940" w:type="dxa"/>
            <w:vAlign w:val="bottom"/>
            <w:gridSpan w:val="2"/>
          </w:tcPr>
          <w:p>
            <w:pPr>
              <w:jc w:val="right"/>
              <w:ind w:right="20"/>
              <w:spacing w:after="0"/>
              <w:rPr>
                <w:sz w:val="20"/>
                <w:szCs w:val="20"/>
                <w:color w:val="auto"/>
              </w:rPr>
            </w:pPr>
            <w:r>
              <w:rPr>
                <w:rFonts w:ascii="Arial" w:cs="Arial" w:eastAsia="Arial" w:hAnsi="Arial"/>
                <w:sz w:val="14"/>
                <w:szCs w:val="14"/>
                <w:color w:val="auto"/>
              </w:rPr>
              <w:t>(1.7)</w:t>
            </w:r>
          </w:p>
        </w:tc>
        <w:tc>
          <w:tcPr>
            <w:tcW w:w="16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200" w:type="dxa"/>
            <w:vAlign w:val="bottom"/>
            <w:gridSpan w:val="2"/>
          </w:tcPr>
          <w:p>
            <w:pPr>
              <w:jc w:val="right"/>
              <w:ind w:right="120"/>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56"/>
        </w:trPr>
        <w:tc>
          <w:tcPr>
            <w:tcW w:w="4160" w:type="dxa"/>
            <w:vAlign w:val="bottom"/>
            <w:tcBorders>
              <w:top w:val="single" w:sz="8" w:color="CFF0FC"/>
            </w:tcBorders>
            <w:shd w:val="clear" w:color="auto" w:fill="CFF0FC"/>
          </w:tcPr>
          <w:p>
            <w:pPr>
              <w:ind w:left="240"/>
              <w:spacing w:after="0" w:line="155" w:lineRule="exact"/>
              <w:rPr>
                <w:sz w:val="20"/>
                <w:szCs w:val="20"/>
                <w:color w:val="auto"/>
              </w:rPr>
            </w:pPr>
            <w:r>
              <w:rPr>
                <w:rFonts w:ascii="Arial" w:cs="Arial" w:eastAsia="Arial" w:hAnsi="Arial"/>
                <w:sz w:val="14"/>
                <w:szCs w:val="14"/>
                <w:color w:val="auto"/>
              </w:rPr>
              <w:t>Net change in cash flow hedges</w:t>
            </w:r>
          </w:p>
        </w:tc>
        <w:tc>
          <w:tcPr>
            <w:tcW w:w="340" w:type="dxa"/>
            <w:vAlign w:val="bottom"/>
            <w:tcBorders>
              <w:top w:val="single" w:sz="8" w:color="CFF0FC"/>
            </w:tcBorders>
            <w:shd w:val="clear" w:color="auto" w:fill="CFF0FC"/>
          </w:tcPr>
          <w:p>
            <w:pPr>
              <w:spacing w:after="0"/>
              <w:rPr>
                <w:sz w:val="13"/>
                <w:szCs w:val="13"/>
                <w:color w:val="auto"/>
              </w:rPr>
            </w:pPr>
          </w:p>
        </w:tc>
        <w:tc>
          <w:tcPr>
            <w:tcW w:w="240" w:type="dxa"/>
            <w:vAlign w:val="bottom"/>
            <w:tcBorders>
              <w:top w:val="single" w:sz="8" w:color="auto"/>
              <w:bottom w:val="single" w:sz="8" w:color="auto"/>
            </w:tcBorders>
            <w:shd w:val="clear" w:color="auto" w:fill="CFF0FC"/>
          </w:tcPr>
          <w:p>
            <w:pPr>
              <w:spacing w:after="0"/>
              <w:rPr>
                <w:sz w:val="13"/>
                <w:szCs w:val="13"/>
                <w:color w:val="auto"/>
              </w:rPr>
            </w:pPr>
          </w:p>
        </w:tc>
        <w:tc>
          <w:tcPr>
            <w:tcW w:w="1060" w:type="dxa"/>
            <w:vAlign w:val="bottom"/>
            <w:tcBorders>
              <w:top w:val="single" w:sz="8" w:color="auto"/>
              <w:bottom w:val="single" w:sz="8" w:color="auto"/>
            </w:tcBorders>
            <w:shd w:val="clear" w:color="auto" w:fill="CFF0FC"/>
          </w:tcPr>
          <w:p>
            <w:pPr>
              <w:jc w:val="right"/>
              <w:spacing w:after="0" w:line="155" w:lineRule="exact"/>
              <w:rPr>
                <w:sz w:val="20"/>
                <w:szCs w:val="20"/>
                <w:color w:val="auto"/>
              </w:rPr>
            </w:pPr>
            <w:r>
              <w:rPr>
                <w:rFonts w:ascii="Arial" w:cs="Arial" w:eastAsia="Arial" w:hAnsi="Arial"/>
                <w:sz w:val="14"/>
                <w:szCs w:val="14"/>
                <w:color w:val="auto"/>
              </w:rPr>
              <w:t>0.7</w:t>
            </w:r>
          </w:p>
        </w:tc>
        <w:tc>
          <w:tcPr>
            <w:tcW w:w="200" w:type="dxa"/>
            <w:vAlign w:val="bottom"/>
            <w:tcBorders>
              <w:top w:val="single" w:sz="8" w:color="CFF0FC"/>
            </w:tcBorders>
            <w:shd w:val="clear" w:color="auto" w:fill="CFF0FC"/>
          </w:tcPr>
          <w:p>
            <w:pPr>
              <w:spacing w:after="0"/>
              <w:rPr>
                <w:sz w:val="13"/>
                <w:szCs w:val="13"/>
                <w:color w:val="auto"/>
              </w:rPr>
            </w:pPr>
          </w:p>
        </w:tc>
        <w:tc>
          <w:tcPr>
            <w:tcW w:w="20" w:type="dxa"/>
            <w:vAlign w:val="bottom"/>
            <w:tcBorders>
              <w:top w:val="single" w:sz="8" w:color="CFF0FC"/>
            </w:tcBorders>
            <w:shd w:val="clear" w:color="auto" w:fill="CFF0FC"/>
          </w:tcPr>
          <w:p>
            <w:pPr>
              <w:spacing w:after="0"/>
              <w:rPr>
                <w:sz w:val="13"/>
                <w:szCs w:val="13"/>
                <w:color w:val="auto"/>
              </w:rPr>
            </w:pPr>
          </w:p>
        </w:tc>
        <w:tc>
          <w:tcPr>
            <w:tcW w:w="160" w:type="dxa"/>
            <w:vAlign w:val="bottom"/>
            <w:tcBorders>
              <w:top w:val="single" w:sz="8" w:color="auto"/>
              <w:bottom w:val="single" w:sz="8" w:color="auto"/>
            </w:tcBorders>
            <w:shd w:val="clear" w:color="auto" w:fill="CFF0FC"/>
          </w:tcPr>
          <w:p>
            <w:pPr>
              <w:spacing w:after="0"/>
              <w:rPr>
                <w:sz w:val="13"/>
                <w:szCs w:val="13"/>
                <w:color w:val="auto"/>
              </w:rPr>
            </w:pPr>
          </w:p>
        </w:tc>
        <w:tc>
          <w:tcPr>
            <w:tcW w:w="960" w:type="dxa"/>
            <w:vAlign w:val="bottom"/>
            <w:tcBorders>
              <w:top w:val="single" w:sz="8" w:color="auto"/>
              <w:bottom w:val="single" w:sz="8" w:color="auto"/>
            </w:tcBorders>
            <w:shd w:val="clear" w:color="auto" w:fill="CFF0FC"/>
          </w:tcPr>
          <w:p>
            <w:pPr>
              <w:jc w:val="right"/>
              <w:spacing w:after="0" w:line="155" w:lineRule="exact"/>
              <w:rPr>
                <w:sz w:val="20"/>
                <w:szCs w:val="20"/>
                <w:color w:val="auto"/>
              </w:rPr>
            </w:pPr>
            <w:r>
              <w:rPr>
                <w:rFonts w:ascii="Arial" w:cs="Arial" w:eastAsia="Arial" w:hAnsi="Arial"/>
                <w:sz w:val="14"/>
                <w:szCs w:val="14"/>
                <w:color w:val="auto"/>
              </w:rPr>
              <w:t>(0.2)</w:t>
            </w:r>
          </w:p>
        </w:tc>
        <w:tc>
          <w:tcPr>
            <w:tcW w:w="220" w:type="dxa"/>
            <w:vAlign w:val="bottom"/>
            <w:tcBorders>
              <w:top w:val="single" w:sz="8" w:color="CFF0FC"/>
            </w:tcBorders>
            <w:shd w:val="clear" w:color="auto" w:fill="CFF0FC"/>
          </w:tcPr>
          <w:p>
            <w:pPr>
              <w:spacing w:after="0"/>
              <w:rPr>
                <w:sz w:val="13"/>
                <w:szCs w:val="13"/>
                <w:color w:val="auto"/>
              </w:rPr>
            </w:pPr>
          </w:p>
        </w:tc>
        <w:tc>
          <w:tcPr>
            <w:tcW w:w="200" w:type="dxa"/>
            <w:vAlign w:val="bottom"/>
            <w:tcBorders>
              <w:top w:val="single" w:sz="8" w:color="auto"/>
              <w:bottom w:val="single" w:sz="8" w:color="auto"/>
            </w:tcBorders>
            <w:shd w:val="clear" w:color="auto" w:fill="CFF0FC"/>
          </w:tcPr>
          <w:p>
            <w:pPr>
              <w:spacing w:after="0"/>
              <w:rPr>
                <w:sz w:val="13"/>
                <w:szCs w:val="13"/>
                <w:color w:val="auto"/>
              </w:rPr>
            </w:pPr>
          </w:p>
        </w:tc>
        <w:tc>
          <w:tcPr>
            <w:tcW w:w="880" w:type="dxa"/>
            <w:vAlign w:val="bottom"/>
            <w:tcBorders>
              <w:top w:val="single" w:sz="8" w:color="auto"/>
              <w:bottom w:val="single" w:sz="8" w:color="auto"/>
            </w:tcBorders>
            <w:shd w:val="clear" w:color="auto" w:fill="CFF0FC"/>
          </w:tcPr>
          <w:p>
            <w:pPr>
              <w:jc w:val="right"/>
              <w:spacing w:after="0" w:line="155" w:lineRule="exact"/>
              <w:rPr>
                <w:sz w:val="20"/>
                <w:szCs w:val="20"/>
                <w:color w:val="auto"/>
              </w:rPr>
            </w:pPr>
            <w:r>
              <w:rPr>
                <w:rFonts w:ascii="Arial" w:cs="Arial" w:eastAsia="Arial" w:hAnsi="Arial"/>
                <w:sz w:val="14"/>
                <w:szCs w:val="14"/>
                <w:color w:val="auto"/>
              </w:rPr>
              <w:t>(3.2)</w:t>
            </w:r>
          </w:p>
        </w:tc>
        <w:tc>
          <w:tcPr>
            <w:tcW w:w="60" w:type="dxa"/>
            <w:vAlign w:val="bottom"/>
            <w:tcBorders>
              <w:top w:val="single" w:sz="8" w:color="CFF0FC"/>
            </w:tcBorders>
            <w:shd w:val="clear" w:color="auto" w:fill="CFF0FC"/>
          </w:tcPr>
          <w:p>
            <w:pPr>
              <w:spacing w:after="0"/>
              <w:rPr>
                <w:sz w:val="13"/>
                <w:szCs w:val="13"/>
                <w:color w:val="auto"/>
              </w:rPr>
            </w:pPr>
          </w:p>
        </w:tc>
        <w:tc>
          <w:tcPr>
            <w:tcW w:w="160" w:type="dxa"/>
            <w:vAlign w:val="bottom"/>
            <w:tcBorders>
              <w:top w:val="single" w:sz="8" w:color="CFF0FC"/>
            </w:tcBorders>
            <w:shd w:val="clear" w:color="auto" w:fill="CFF0FC"/>
          </w:tcPr>
          <w:p>
            <w:pPr>
              <w:spacing w:after="0"/>
              <w:rPr>
                <w:sz w:val="13"/>
                <w:szCs w:val="13"/>
                <w:color w:val="auto"/>
              </w:rPr>
            </w:pPr>
          </w:p>
        </w:tc>
        <w:tc>
          <w:tcPr>
            <w:tcW w:w="240" w:type="dxa"/>
            <w:vAlign w:val="bottom"/>
            <w:tcBorders>
              <w:top w:val="single" w:sz="8" w:color="auto"/>
              <w:bottom w:val="single" w:sz="8" w:color="auto"/>
            </w:tcBorders>
            <w:shd w:val="clear" w:color="auto" w:fill="CFF0FC"/>
          </w:tcPr>
          <w:p>
            <w:pPr>
              <w:spacing w:after="0"/>
              <w:rPr>
                <w:sz w:val="13"/>
                <w:szCs w:val="13"/>
                <w:color w:val="auto"/>
              </w:rPr>
            </w:pPr>
          </w:p>
        </w:tc>
        <w:tc>
          <w:tcPr>
            <w:tcW w:w="1080" w:type="dxa"/>
            <w:vAlign w:val="bottom"/>
            <w:tcBorders>
              <w:top w:val="single" w:sz="8" w:color="auto"/>
              <w:bottom w:val="single" w:sz="8" w:color="auto"/>
            </w:tcBorders>
            <w:shd w:val="clear" w:color="auto" w:fill="CFF0FC"/>
          </w:tcPr>
          <w:p>
            <w:pPr>
              <w:jc w:val="right"/>
              <w:spacing w:after="0" w:line="155" w:lineRule="exact"/>
              <w:rPr>
                <w:sz w:val="20"/>
                <w:szCs w:val="20"/>
                <w:color w:val="auto"/>
              </w:rPr>
            </w:pPr>
            <w:r>
              <w:rPr>
                <w:rFonts w:ascii="Arial" w:cs="Arial" w:eastAsia="Arial" w:hAnsi="Arial"/>
                <w:sz w:val="14"/>
                <w:szCs w:val="14"/>
                <w:color w:val="auto"/>
              </w:rPr>
              <w:t>0.8</w:t>
            </w:r>
          </w:p>
        </w:tc>
        <w:tc>
          <w:tcPr>
            <w:tcW w:w="120" w:type="dxa"/>
            <w:vAlign w:val="bottom"/>
            <w:tcBorders>
              <w:top w:val="single" w:sz="8" w:color="CFF0FC"/>
            </w:tcBorders>
            <w:shd w:val="clear" w:color="auto" w:fill="CFF0FC"/>
          </w:tcPr>
          <w:p>
            <w:pPr>
              <w:spacing w:after="0"/>
              <w:rPr>
                <w:sz w:val="13"/>
                <w:szCs w:val="13"/>
                <w:color w:val="auto"/>
              </w:rPr>
            </w:pPr>
          </w:p>
        </w:tc>
        <w:tc>
          <w:tcPr>
            <w:tcW w:w="0" w:type="dxa"/>
            <w:vAlign w:val="bottom"/>
          </w:tcPr>
          <w:p>
            <w:pPr>
              <w:spacing w:after="0"/>
              <w:rPr>
                <w:sz w:val="1"/>
                <w:szCs w:val="1"/>
                <w:color w:val="auto"/>
              </w:rPr>
            </w:pPr>
          </w:p>
        </w:tc>
      </w:tr>
      <w:tr>
        <w:trPr>
          <w:trHeight w:val="155"/>
        </w:trPr>
        <w:tc>
          <w:tcPr>
            <w:tcW w:w="4160" w:type="dxa"/>
            <w:vAlign w:val="bottom"/>
          </w:tcPr>
          <w:p>
            <w:pPr>
              <w:spacing w:after="0" w:line="155" w:lineRule="exact"/>
              <w:rPr>
                <w:sz w:val="20"/>
                <w:szCs w:val="20"/>
                <w:color w:val="auto"/>
              </w:rPr>
            </w:pPr>
            <w:r>
              <w:rPr>
                <w:rFonts w:ascii="Arial" w:cs="Arial" w:eastAsia="Arial" w:hAnsi="Arial"/>
                <w:sz w:val="14"/>
                <w:szCs w:val="14"/>
                <w:b w:val="1"/>
                <w:bCs w:val="1"/>
                <w:color w:val="auto"/>
              </w:rPr>
              <w:t>Foreign Currency Translation</w:t>
            </w:r>
          </w:p>
        </w:tc>
        <w:tc>
          <w:tcPr>
            <w:tcW w:w="34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106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96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88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10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62"/>
        </w:trPr>
        <w:tc>
          <w:tcPr>
            <w:tcW w:w="4160" w:type="dxa"/>
            <w:vAlign w:val="bottom"/>
            <w:shd w:val="clear" w:color="auto" w:fill="CFF0FC"/>
          </w:tcPr>
          <w:p>
            <w:pPr>
              <w:ind w:left="120"/>
              <w:spacing w:after="0"/>
              <w:rPr>
                <w:sz w:val="20"/>
                <w:szCs w:val="20"/>
                <w:color w:val="auto"/>
              </w:rPr>
            </w:pPr>
            <w:r>
              <w:rPr>
                <w:rFonts w:ascii="Arial" w:cs="Arial" w:eastAsia="Arial" w:hAnsi="Arial"/>
                <w:sz w:val="14"/>
                <w:szCs w:val="14"/>
                <w:color w:val="auto"/>
              </w:rPr>
              <w:t>Current period translation adjustments</w:t>
            </w:r>
          </w:p>
        </w:tc>
        <w:tc>
          <w:tcPr>
            <w:tcW w:w="340" w:type="dxa"/>
            <w:vAlign w:val="bottom"/>
            <w:shd w:val="clear" w:color="auto" w:fill="CFF0FC"/>
          </w:tcPr>
          <w:p>
            <w:pPr>
              <w:spacing w:after="0"/>
              <w:rPr>
                <w:sz w:val="14"/>
                <w:szCs w:val="14"/>
                <w:color w:val="auto"/>
              </w:rPr>
            </w:pPr>
          </w:p>
        </w:tc>
        <w:tc>
          <w:tcPr>
            <w:tcW w:w="240" w:type="dxa"/>
            <w:vAlign w:val="bottom"/>
            <w:shd w:val="clear" w:color="auto" w:fill="CFF0FC"/>
          </w:tcPr>
          <w:p>
            <w:pPr>
              <w:spacing w:after="0"/>
              <w:rPr>
                <w:sz w:val="14"/>
                <w:szCs w:val="14"/>
                <w:color w:val="auto"/>
              </w:rPr>
            </w:pPr>
          </w:p>
        </w:tc>
        <w:tc>
          <w:tcPr>
            <w:tcW w:w="1060" w:type="dxa"/>
            <w:vAlign w:val="bottom"/>
            <w:shd w:val="clear" w:color="auto" w:fill="CFF0FC"/>
          </w:tcPr>
          <w:p>
            <w:pPr>
              <w:jc w:val="right"/>
              <w:spacing w:after="0"/>
              <w:rPr>
                <w:sz w:val="20"/>
                <w:szCs w:val="20"/>
                <w:color w:val="auto"/>
              </w:rPr>
            </w:pPr>
            <w:r>
              <w:rPr>
                <w:rFonts w:ascii="Arial" w:cs="Arial" w:eastAsia="Arial" w:hAnsi="Arial"/>
                <w:sz w:val="14"/>
                <w:szCs w:val="14"/>
                <w:color w:val="auto"/>
              </w:rPr>
              <w:t>6.3</w:t>
            </w:r>
          </w:p>
        </w:tc>
        <w:tc>
          <w:tcPr>
            <w:tcW w:w="200" w:type="dxa"/>
            <w:vAlign w:val="bottom"/>
            <w:shd w:val="clear" w:color="auto" w:fill="CFF0FC"/>
          </w:tcPr>
          <w:p>
            <w:pPr>
              <w:spacing w:after="0"/>
              <w:rPr>
                <w:sz w:val="14"/>
                <w:szCs w:val="14"/>
                <w:color w:val="auto"/>
              </w:rPr>
            </w:pPr>
          </w:p>
        </w:tc>
        <w:tc>
          <w:tcPr>
            <w:tcW w:w="20" w:type="dxa"/>
            <w:vAlign w:val="bottom"/>
            <w:shd w:val="clear" w:color="auto" w:fill="CFF0FC"/>
          </w:tcPr>
          <w:p>
            <w:pPr>
              <w:spacing w:after="0"/>
              <w:rPr>
                <w:sz w:val="14"/>
                <w:szCs w:val="14"/>
                <w:color w:val="auto"/>
              </w:rPr>
            </w:pPr>
          </w:p>
        </w:tc>
        <w:tc>
          <w:tcPr>
            <w:tcW w:w="160" w:type="dxa"/>
            <w:vAlign w:val="bottom"/>
            <w:shd w:val="clear" w:color="auto" w:fill="CFF0FC"/>
          </w:tcPr>
          <w:p>
            <w:pPr>
              <w:spacing w:after="0"/>
              <w:rPr>
                <w:sz w:val="14"/>
                <w:szCs w:val="14"/>
                <w:color w:val="auto"/>
              </w:rPr>
            </w:pPr>
          </w:p>
        </w:tc>
        <w:tc>
          <w:tcPr>
            <w:tcW w:w="960" w:type="dxa"/>
            <w:vAlign w:val="bottom"/>
            <w:shd w:val="clear" w:color="auto" w:fill="CFF0FC"/>
          </w:tcPr>
          <w:p>
            <w:pPr>
              <w:jc w:val="right"/>
              <w:spacing w:after="0"/>
              <w:rPr>
                <w:sz w:val="20"/>
                <w:szCs w:val="20"/>
                <w:color w:val="auto"/>
              </w:rPr>
            </w:pPr>
            <w:r>
              <w:rPr>
                <w:rFonts w:ascii="Arial" w:cs="Arial" w:eastAsia="Arial" w:hAnsi="Arial"/>
                <w:sz w:val="14"/>
                <w:szCs w:val="14"/>
                <w:color w:val="auto"/>
              </w:rPr>
              <w:t>2.1</w:t>
            </w:r>
          </w:p>
        </w:tc>
        <w:tc>
          <w:tcPr>
            <w:tcW w:w="220" w:type="dxa"/>
            <w:vAlign w:val="bottom"/>
            <w:shd w:val="clear" w:color="auto" w:fill="CFF0FC"/>
          </w:tcPr>
          <w:p>
            <w:pPr>
              <w:spacing w:after="0"/>
              <w:rPr>
                <w:sz w:val="14"/>
                <w:szCs w:val="14"/>
                <w:color w:val="auto"/>
              </w:rPr>
            </w:pPr>
          </w:p>
        </w:tc>
        <w:tc>
          <w:tcPr>
            <w:tcW w:w="200" w:type="dxa"/>
            <w:vAlign w:val="bottom"/>
            <w:shd w:val="clear" w:color="auto" w:fill="CFF0FC"/>
          </w:tcPr>
          <w:p>
            <w:pPr>
              <w:spacing w:after="0"/>
              <w:rPr>
                <w:sz w:val="14"/>
                <w:szCs w:val="14"/>
                <w:color w:val="auto"/>
              </w:rPr>
            </w:pPr>
          </w:p>
        </w:tc>
        <w:tc>
          <w:tcPr>
            <w:tcW w:w="940" w:type="dxa"/>
            <w:vAlign w:val="bottom"/>
            <w:gridSpan w:val="2"/>
            <w:shd w:val="clear" w:color="auto" w:fill="CFF0FC"/>
          </w:tcPr>
          <w:p>
            <w:pPr>
              <w:jc w:val="right"/>
              <w:ind w:right="20"/>
              <w:spacing w:after="0"/>
              <w:rPr>
                <w:sz w:val="20"/>
                <w:szCs w:val="20"/>
                <w:color w:val="auto"/>
              </w:rPr>
            </w:pPr>
            <w:r>
              <w:rPr>
                <w:rFonts w:ascii="Arial" w:cs="Arial" w:eastAsia="Arial" w:hAnsi="Arial"/>
                <w:sz w:val="14"/>
                <w:szCs w:val="14"/>
                <w:color w:val="auto"/>
              </w:rPr>
              <w:t>(151.5)</w:t>
            </w:r>
          </w:p>
        </w:tc>
        <w:tc>
          <w:tcPr>
            <w:tcW w:w="160" w:type="dxa"/>
            <w:vAlign w:val="bottom"/>
            <w:shd w:val="clear" w:color="auto" w:fill="CFF0FC"/>
          </w:tcPr>
          <w:p>
            <w:pPr>
              <w:spacing w:after="0"/>
              <w:rPr>
                <w:sz w:val="14"/>
                <w:szCs w:val="14"/>
                <w:color w:val="auto"/>
              </w:rPr>
            </w:pPr>
          </w:p>
        </w:tc>
        <w:tc>
          <w:tcPr>
            <w:tcW w:w="240" w:type="dxa"/>
            <w:vAlign w:val="bottom"/>
            <w:shd w:val="clear" w:color="auto" w:fill="CFF0FC"/>
          </w:tcPr>
          <w:p>
            <w:pPr>
              <w:spacing w:after="0"/>
              <w:rPr>
                <w:sz w:val="14"/>
                <w:szCs w:val="14"/>
                <w:color w:val="auto"/>
              </w:rPr>
            </w:pPr>
          </w:p>
        </w:tc>
        <w:tc>
          <w:tcPr>
            <w:tcW w:w="1080" w:type="dxa"/>
            <w:vAlign w:val="bottom"/>
            <w:shd w:val="clear" w:color="auto" w:fill="CFF0FC"/>
          </w:tcPr>
          <w:p>
            <w:pPr>
              <w:jc w:val="right"/>
              <w:spacing w:after="0"/>
              <w:rPr>
                <w:sz w:val="20"/>
                <w:szCs w:val="20"/>
                <w:color w:val="auto"/>
              </w:rPr>
            </w:pPr>
            <w:r>
              <w:rPr>
                <w:rFonts w:ascii="Arial" w:cs="Arial" w:eastAsia="Arial" w:hAnsi="Arial"/>
                <w:sz w:val="14"/>
                <w:szCs w:val="14"/>
                <w:color w:val="auto"/>
              </w:rPr>
              <w:t>0.8</w:t>
            </w:r>
          </w:p>
        </w:tc>
        <w:tc>
          <w:tcPr>
            <w:tcW w:w="120" w:type="dxa"/>
            <w:vAlign w:val="bottom"/>
            <w:shd w:val="clear" w:color="auto" w:fill="CFF0FC"/>
          </w:tcPr>
          <w:p>
            <w:pPr>
              <w:spacing w:after="0"/>
              <w:rPr>
                <w:sz w:val="14"/>
                <w:szCs w:val="14"/>
                <w:color w:val="auto"/>
              </w:rPr>
            </w:pPr>
          </w:p>
        </w:tc>
        <w:tc>
          <w:tcPr>
            <w:tcW w:w="0" w:type="dxa"/>
            <w:vAlign w:val="bottom"/>
          </w:tcPr>
          <w:p>
            <w:pPr>
              <w:spacing w:after="0"/>
              <w:rPr>
                <w:sz w:val="1"/>
                <w:szCs w:val="1"/>
                <w:color w:val="auto"/>
              </w:rPr>
            </w:pPr>
          </w:p>
        </w:tc>
      </w:tr>
      <w:tr>
        <w:trPr>
          <w:trHeight w:val="156"/>
        </w:trPr>
        <w:tc>
          <w:tcPr>
            <w:tcW w:w="4160" w:type="dxa"/>
            <w:vAlign w:val="bottom"/>
            <w:tcBorders>
              <w:bottom w:val="single" w:sz="8" w:color="CFF0FC"/>
            </w:tcBorders>
          </w:tcPr>
          <w:p>
            <w:pPr>
              <w:ind w:left="240"/>
              <w:spacing w:after="0" w:line="155" w:lineRule="exact"/>
              <w:rPr>
                <w:sz w:val="20"/>
                <w:szCs w:val="20"/>
                <w:color w:val="auto"/>
              </w:rPr>
            </w:pPr>
            <w:r>
              <w:rPr>
                <w:rFonts w:ascii="Arial" w:cs="Arial" w:eastAsia="Arial" w:hAnsi="Arial"/>
                <w:sz w:val="14"/>
                <w:szCs w:val="14"/>
                <w:color w:val="auto"/>
              </w:rPr>
              <w:t>Net cumulative translation adjustments</w:t>
            </w:r>
          </w:p>
        </w:tc>
        <w:tc>
          <w:tcPr>
            <w:tcW w:w="340" w:type="dxa"/>
            <w:vAlign w:val="bottom"/>
            <w:tcBorders>
              <w:bottom w:val="single" w:sz="8" w:color="CFF0FC"/>
            </w:tcBorders>
          </w:tcPr>
          <w:p>
            <w:pPr>
              <w:spacing w:after="0"/>
              <w:rPr>
                <w:sz w:val="13"/>
                <w:szCs w:val="13"/>
                <w:color w:val="auto"/>
              </w:rPr>
            </w:pPr>
          </w:p>
        </w:tc>
        <w:tc>
          <w:tcPr>
            <w:tcW w:w="240" w:type="dxa"/>
            <w:vAlign w:val="bottom"/>
            <w:tcBorders>
              <w:top w:val="single" w:sz="8" w:color="auto"/>
              <w:bottom w:val="single" w:sz="8" w:color="auto"/>
            </w:tcBorders>
          </w:tcPr>
          <w:p>
            <w:pPr>
              <w:spacing w:after="0"/>
              <w:rPr>
                <w:sz w:val="13"/>
                <w:szCs w:val="13"/>
                <w:color w:val="auto"/>
              </w:rPr>
            </w:pPr>
          </w:p>
        </w:tc>
        <w:tc>
          <w:tcPr>
            <w:tcW w:w="1060" w:type="dxa"/>
            <w:vAlign w:val="bottom"/>
            <w:tcBorders>
              <w:top w:val="single" w:sz="8" w:color="auto"/>
              <w:bottom w:val="single" w:sz="8" w:color="auto"/>
            </w:tcBorders>
          </w:tcPr>
          <w:p>
            <w:pPr>
              <w:jc w:val="right"/>
              <w:spacing w:after="0" w:line="155" w:lineRule="exact"/>
              <w:rPr>
                <w:sz w:val="20"/>
                <w:szCs w:val="20"/>
                <w:color w:val="auto"/>
              </w:rPr>
            </w:pPr>
            <w:r>
              <w:rPr>
                <w:rFonts w:ascii="Arial" w:cs="Arial" w:eastAsia="Arial" w:hAnsi="Arial"/>
                <w:sz w:val="14"/>
                <w:szCs w:val="14"/>
                <w:color w:val="auto"/>
              </w:rPr>
              <w:t>6.3</w:t>
            </w:r>
          </w:p>
        </w:tc>
        <w:tc>
          <w:tcPr>
            <w:tcW w:w="200" w:type="dxa"/>
            <w:vAlign w:val="bottom"/>
            <w:tcBorders>
              <w:bottom w:val="single" w:sz="8" w:color="CFF0FC"/>
            </w:tcBorders>
          </w:tcPr>
          <w:p>
            <w:pPr>
              <w:spacing w:after="0"/>
              <w:rPr>
                <w:sz w:val="13"/>
                <w:szCs w:val="13"/>
                <w:color w:val="auto"/>
              </w:rPr>
            </w:pPr>
          </w:p>
        </w:tc>
        <w:tc>
          <w:tcPr>
            <w:tcW w:w="20" w:type="dxa"/>
            <w:vAlign w:val="bottom"/>
            <w:tcBorders>
              <w:bottom w:val="single" w:sz="8" w:color="CFF0FC"/>
            </w:tcBorders>
          </w:tcPr>
          <w:p>
            <w:pPr>
              <w:spacing w:after="0"/>
              <w:rPr>
                <w:sz w:val="13"/>
                <w:szCs w:val="13"/>
                <w:color w:val="auto"/>
              </w:rPr>
            </w:pPr>
          </w:p>
        </w:tc>
        <w:tc>
          <w:tcPr>
            <w:tcW w:w="160" w:type="dxa"/>
            <w:vAlign w:val="bottom"/>
            <w:tcBorders>
              <w:top w:val="single" w:sz="8" w:color="auto"/>
              <w:bottom w:val="single" w:sz="8" w:color="auto"/>
            </w:tcBorders>
          </w:tcPr>
          <w:p>
            <w:pPr>
              <w:spacing w:after="0"/>
              <w:rPr>
                <w:sz w:val="13"/>
                <w:szCs w:val="13"/>
                <w:color w:val="auto"/>
              </w:rPr>
            </w:pPr>
          </w:p>
        </w:tc>
        <w:tc>
          <w:tcPr>
            <w:tcW w:w="960" w:type="dxa"/>
            <w:vAlign w:val="bottom"/>
            <w:tcBorders>
              <w:top w:val="single" w:sz="8" w:color="auto"/>
              <w:bottom w:val="single" w:sz="8" w:color="auto"/>
            </w:tcBorders>
          </w:tcPr>
          <w:p>
            <w:pPr>
              <w:jc w:val="right"/>
              <w:spacing w:after="0" w:line="155" w:lineRule="exact"/>
              <w:rPr>
                <w:sz w:val="20"/>
                <w:szCs w:val="20"/>
                <w:color w:val="auto"/>
              </w:rPr>
            </w:pPr>
            <w:r>
              <w:rPr>
                <w:rFonts w:ascii="Arial" w:cs="Arial" w:eastAsia="Arial" w:hAnsi="Arial"/>
                <w:sz w:val="14"/>
                <w:szCs w:val="14"/>
                <w:color w:val="auto"/>
              </w:rPr>
              <w:t>2.1</w:t>
            </w:r>
          </w:p>
        </w:tc>
        <w:tc>
          <w:tcPr>
            <w:tcW w:w="220" w:type="dxa"/>
            <w:vAlign w:val="bottom"/>
            <w:tcBorders>
              <w:bottom w:val="single" w:sz="8" w:color="CFF0FC"/>
            </w:tcBorders>
          </w:tcPr>
          <w:p>
            <w:pPr>
              <w:spacing w:after="0"/>
              <w:rPr>
                <w:sz w:val="13"/>
                <w:szCs w:val="13"/>
                <w:color w:val="auto"/>
              </w:rPr>
            </w:pPr>
          </w:p>
        </w:tc>
        <w:tc>
          <w:tcPr>
            <w:tcW w:w="200" w:type="dxa"/>
            <w:vAlign w:val="bottom"/>
            <w:tcBorders>
              <w:top w:val="single" w:sz="8" w:color="auto"/>
              <w:bottom w:val="single" w:sz="8" w:color="auto"/>
            </w:tcBorders>
          </w:tcPr>
          <w:p>
            <w:pPr>
              <w:spacing w:after="0"/>
              <w:rPr>
                <w:sz w:val="13"/>
                <w:szCs w:val="13"/>
                <w:color w:val="auto"/>
              </w:rPr>
            </w:pPr>
          </w:p>
        </w:tc>
        <w:tc>
          <w:tcPr>
            <w:tcW w:w="880" w:type="dxa"/>
            <w:vAlign w:val="bottom"/>
            <w:tcBorders>
              <w:top w:val="single" w:sz="8" w:color="auto"/>
              <w:bottom w:val="single" w:sz="8" w:color="auto"/>
            </w:tcBorders>
          </w:tcPr>
          <w:p>
            <w:pPr>
              <w:jc w:val="right"/>
              <w:spacing w:after="0" w:line="155" w:lineRule="exact"/>
              <w:rPr>
                <w:sz w:val="20"/>
                <w:szCs w:val="20"/>
                <w:color w:val="auto"/>
              </w:rPr>
            </w:pPr>
            <w:r>
              <w:rPr>
                <w:rFonts w:ascii="Arial" w:cs="Arial" w:eastAsia="Arial" w:hAnsi="Arial"/>
                <w:sz w:val="14"/>
                <w:szCs w:val="14"/>
                <w:color w:val="auto"/>
              </w:rPr>
              <w:t>(151.5)</w:t>
            </w:r>
          </w:p>
        </w:tc>
        <w:tc>
          <w:tcPr>
            <w:tcW w:w="60" w:type="dxa"/>
            <w:vAlign w:val="bottom"/>
            <w:tcBorders>
              <w:bottom w:val="single" w:sz="8" w:color="CFF0FC"/>
            </w:tcBorders>
          </w:tcPr>
          <w:p>
            <w:pPr>
              <w:spacing w:after="0"/>
              <w:rPr>
                <w:sz w:val="13"/>
                <w:szCs w:val="13"/>
                <w:color w:val="auto"/>
              </w:rPr>
            </w:pPr>
          </w:p>
        </w:tc>
        <w:tc>
          <w:tcPr>
            <w:tcW w:w="160" w:type="dxa"/>
            <w:vAlign w:val="bottom"/>
            <w:tcBorders>
              <w:bottom w:val="single" w:sz="8" w:color="CFF0FC"/>
            </w:tcBorders>
          </w:tcPr>
          <w:p>
            <w:pPr>
              <w:spacing w:after="0"/>
              <w:rPr>
                <w:sz w:val="13"/>
                <w:szCs w:val="13"/>
                <w:color w:val="auto"/>
              </w:rPr>
            </w:pPr>
          </w:p>
        </w:tc>
        <w:tc>
          <w:tcPr>
            <w:tcW w:w="240" w:type="dxa"/>
            <w:vAlign w:val="bottom"/>
            <w:tcBorders>
              <w:top w:val="single" w:sz="8" w:color="auto"/>
              <w:bottom w:val="single" w:sz="8" w:color="auto"/>
            </w:tcBorders>
          </w:tcPr>
          <w:p>
            <w:pPr>
              <w:spacing w:after="0"/>
              <w:rPr>
                <w:sz w:val="13"/>
                <w:szCs w:val="13"/>
                <w:color w:val="auto"/>
              </w:rPr>
            </w:pPr>
          </w:p>
        </w:tc>
        <w:tc>
          <w:tcPr>
            <w:tcW w:w="1080" w:type="dxa"/>
            <w:vAlign w:val="bottom"/>
            <w:tcBorders>
              <w:top w:val="single" w:sz="8" w:color="auto"/>
              <w:bottom w:val="single" w:sz="8" w:color="auto"/>
            </w:tcBorders>
          </w:tcPr>
          <w:p>
            <w:pPr>
              <w:jc w:val="right"/>
              <w:spacing w:after="0" w:line="155" w:lineRule="exact"/>
              <w:rPr>
                <w:sz w:val="20"/>
                <w:szCs w:val="20"/>
                <w:color w:val="auto"/>
              </w:rPr>
            </w:pPr>
            <w:r>
              <w:rPr>
                <w:rFonts w:ascii="Arial" w:cs="Arial" w:eastAsia="Arial" w:hAnsi="Arial"/>
                <w:sz w:val="14"/>
                <w:szCs w:val="14"/>
                <w:color w:val="auto"/>
              </w:rPr>
              <w:t>0.8</w:t>
            </w:r>
          </w:p>
        </w:tc>
        <w:tc>
          <w:tcPr>
            <w:tcW w:w="120" w:type="dxa"/>
            <w:vAlign w:val="bottom"/>
            <w:tcBorders>
              <w:bottom w:val="single" w:sz="8" w:color="CFF0FC"/>
            </w:tcBorders>
          </w:tcPr>
          <w:p>
            <w:pPr>
              <w:spacing w:after="0"/>
              <w:rPr>
                <w:sz w:val="13"/>
                <w:szCs w:val="13"/>
                <w:color w:val="auto"/>
              </w:rPr>
            </w:pPr>
          </w:p>
        </w:tc>
        <w:tc>
          <w:tcPr>
            <w:tcW w:w="0" w:type="dxa"/>
            <w:vAlign w:val="bottom"/>
          </w:tcPr>
          <w:p>
            <w:pPr>
              <w:spacing w:after="0"/>
              <w:rPr>
                <w:sz w:val="1"/>
                <w:szCs w:val="1"/>
                <w:color w:val="auto"/>
              </w:rPr>
            </w:pPr>
          </w:p>
        </w:tc>
      </w:tr>
      <w:tr>
        <w:trPr>
          <w:trHeight w:val="155"/>
        </w:trPr>
        <w:tc>
          <w:tcPr>
            <w:tcW w:w="4160" w:type="dxa"/>
            <w:vAlign w:val="bottom"/>
            <w:tcBorders>
              <w:bottom w:val="single" w:sz="8" w:color="CFF0FC"/>
            </w:tcBorders>
            <w:shd w:val="clear" w:color="auto" w:fill="CFF0FC"/>
          </w:tcPr>
          <w:p>
            <w:pPr>
              <w:spacing w:after="0" w:line="155" w:lineRule="exact"/>
              <w:rPr>
                <w:sz w:val="20"/>
                <w:szCs w:val="20"/>
                <w:color w:val="auto"/>
              </w:rPr>
            </w:pPr>
            <w:r>
              <w:rPr>
                <w:rFonts w:ascii="Arial" w:cs="Arial" w:eastAsia="Arial" w:hAnsi="Arial"/>
                <w:sz w:val="14"/>
                <w:szCs w:val="14"/>
                <w:b w:val="1"/>
                <w:bCs w:val="1"/>
                <w:color w:val="auto"/>
              </w:rPr>
              <w:t>Total other comprehensive income (loss)</w:t>
            </w:r>
          </w:p>
        </w:tc>
        <w:tc>
          <w:tcPr>
            <w:tcW w:w="340" w:type="dxa"/>
            <w:vAlign w:val="bottom"/>
            <w:tcBorders>
              <w:bottom w:val="single" w:sz="8" w:color="CFF0FC"/>
            </w:tcBorders>
            <w:shd w:val="clear" w:color="auto" w:fill="CFF0FC"/>
          </w:tcPr>
          <w:p>
            <w:pPr>
              <w:spacing w:after="0"/>
              <w:rPr>
                <w:sz w:val="13"/>
                <w:szCs w:val="13"/>
                <w:color w:val="auto"/>
              </w:rPr>
            </w:pPr>
          </w:p>
        </w:tc>
        <w:tc>
          <w:tcPr>
            <w:tcW w:w="240" w:type="dxa"/>
            <w:vAlign w:val="bottom"/>
            <w:tcBorders>
              <w:bottom w:val="single" w:sz="8" w:color="auto"/>
            </w:tcBorders>
            <w:shd w:val="clear" w:color="auto" w:fill="CFF0FC"/>
          </w:tcPr>
          <w:p>
            <w:pPr>
              <w:jc w:val="right"/>
              <w:ind w:right="129"/>
              <w:spacing w:after="0"/>
              <w:rPr>
                <w:sz w:val="20"/>
                <w:szCs w:val="20"/>
                <w:color w:val="auto"/>
              </w:rPr>
            </w:pPr>
            <w:r>
              <w:rPr>
                <w:rFonts w:ascii="Arial" w:cs="Arial" w:eastAsia="Arial" w:hAnsi="Arial"/>
                <w:sz w:val="10"/>
                <w:szCs w:val="10"/>
                <w:color w:val="auto"/>
                <w:w w:val="71"/>
              </w:rPr>
              <w:t>$</w:t>
            </w:r>
          </w:p>
        </w:tc>
        <w:tc>
          <w:tcPr>
            <w:tcW w:w="1060" w:type="dxa"/>
            <w:vAlign w:val="bottom"/>
            <w:tcBorders>
              <w:bottom w:val="single" w:sz="8" w:color="auto"/>
            </w:tcBorders>
            <w:shd w:val="clear" w:color="auto" w:fill="CFF0FC"/>
          </w:tcPr>
          <w:p>
            <w:pPr>
              <w:jc w:val="right"/>
              <w:spacing w:after="0" w:line="155" w:lineRule="exact"/>
              <w:rPr>
                <w:sz w:val="20"/>
                <w:szCs w:val="20"/>
                <w:color w:val="auto"/>
              </w:rPr>
            </w:pPr>
            <w:r>
              <w:rPr>
                <w:rFonts w:ascii="Arial" w:cs="Arial" w:eastAsia="Arial" w:hAnsi="Arial"/>
                <w:sz w:val="14"/>
                <w:szCs w:val="14"/>
                <w:color w:val="auto"/>
              </w:rPr>
              <w:t>7.0</w:t>
            </w:r>
          </w:p>
        </w:tc>
        <w:tc>
          <w:tcPr>
            <w:tcW w:w="200" w:type="dxa"/>
            <w:vAlign w:val="bottom"/>
            <w:tcBorders>
              <w:bottom w:val="single" w:sz="8" w:color="CFF0FC"/>
            </w:tcBorders>
            <w:shd w:val="clear" w:color="auto" w:fill="CFF0FC"/>
          </w:tcPr>
          <w:p>
            <w:pPr>
              <w:spacing w:after="0"/>
              <w:rPr>
                <w:sz w:val="13"/>
                <w:szCs w:val="13"/>
                <w:color w:val="auto"/>
              </w:rPr>
            </w:pPr>
          </w:p>
        </w:tc>
        <w:tc>
          <w:tcPr>
            <w:tcW w:w="20" w:type="dxa"/>
            <w:vAlign w:val="bottom"/>
            <w:tcBorders>
              <w:bottom w:val="single" w:sz="8" w:color="CFF0FC"/>
            </w:tcBorders>
            <w:shd w:val="clear" w:color="auto" w:fill="CFF0FC"/>
          </w:tcPr>
          <w:p>
            <w:pPr>
              <w:spacing w:after="0"/>
              <w:rPr>
                <w:sz w:val="13"/>
                <w:szCs w:val="13"/>
                <w:color w:val="auto"/>
              </w:rPr>
            </w:pPr>
          </w:p>
        </w:tc>
        <w:tc>
          <w:tcPr>
            <w:tcW w:w="160" w:type="dxa"/>
            <w:vAlign w:val="bottom"/>
            <w:tcBorders>
              <w:bottom w:val="single" w:sz="8" w:color="auto"/>
            </w:tcBorders>
            <w:shd w:val="clear" w:color="auto" w:fill="CFF0FC"/>
          </w:tcPr>
          <w:p>
            <w:pPr>
              <w:jc w:val="right"/>
              <w:ind w:right="8"/>
              <w:spacing w:after="0" w:line="155" w:lineRule="exact"/>
              <w:rPr>
                <w:sz w:val="20"/>
                <w:szCs w:val="20"/>
                <w:color w:val="auto"/>
              </w:rPr>
            </w:pPr>
            <w:r>
              <w:rPr>
                <w:rFonts w:ascii="Arial" w:cs="Arial" w:eastAsia="Arial" w:hAnsi="Arial"/>
                <w:sz w:val="14"/>
                <w:szCs w:val="14"/>
                <w:color w:val="auto"/>
                <w:w w:val="76"/>
              </w:rPr>
              <w:t>$</w:t>
            </w:r>
          </w:p>
        </w:tc>
        <w:tc>
          <w:tcPr>
            <w:tcW w:w="960" w:type="dxa"/>
            <w:vAlign w:val="bottom"/>
            <w:tcBorders>
              <w:bottom w:val="single" w:sz="8" w:color="auto"/>
            </w:tcBorders>
            <w:shd w:val="clear" w:color="auto" w:fill="CFF0FC"/>
          </w:tcPr>
          <w:p>
            <w:pPr>
              <w:jc w:val="right"/>
              <w:spacing w:after="0" w:line="155" w:lineRule="exact"/>
              <w:rPr>
                <w:sz w:val="20"/>
                <w:szCs w:val="20"/>
                <w:color w:val="auto"/>
              </w:rPr>
            </w:pPr>
            <w:r>
              <w:rPr>
                <w:rFonts w:ascii="Arial" w:cs="Arial" w:eastAsia="Arial" w:hAnsi="Arial"/>
                <w:sz w:val="14"/>
                <w:szCs w:val="14"/>
                <w:color w:val="auto"/>
              </w:rPr>
              <w:t>1.9</w:t>
            </w:r>
          </w:p>
        </w:tc>
        <w:tc>
          <w:tcPr>
            <w:tcW w:w="220" w:type="dxa"/>
            <w:vAlign w:val="bottom"/>
            <w:tcBorders>
              <w:bottom w:val="single" w:sz="8" w:color="CFF0FC"/>
            </w:tcBorders>
            <w:shd w:val="clear" w:color="auto" w:fill="CFF0FC"/>
          </w:tcPr>
          <w:p>
            <w:pPr>
              <w:spacing w:after="0"/>
              <w:rPr>
                <w:sz w:val="13"/>
                <w:szCs w:val="13"/>
                <w:color w:val="auto"/>
              </w:rPr>
            </w:pPr>
          </w:p>
        </w:tc>
        <w:tc>
          <w:tcPr>
            <w:tcW w:w="200" w:type="dxa"/>
            <w:vAlign w:val="bottom"/>
            <w:tcBorders>
              <w:bottom w:val="single" w:sz="8" w:color="auto"/>
            </w:tcBorders>
            <w:shd w:val="clear" w:color="auto" w:fill="CFF0FC"/>
          </w:tcPr>
          <w:p>
            <w:pPr>
              <w:jc w:val="right"/>
              <w:ind w:right="48"/>
              <w:spacing w:after="0" w:line="155" w:lineRule="exact"/>
              <w:rPr>
                <w:sz w:val="20"/>
                <w:szCs w:val="20"/>
                <w:color w:val="auto"/>
              </w:rPr>
            </w:pPr>
            <w:r>
              <w:rPr>
                <w:rFonts w:ascii="Arial" w:cs="Arial" w:eastAsia="Arial" w:hAnsi="Arial"/>
                <w:sz w:val="14"/>
                <w:szCs w:val="14"/>
                <w:color w:val="auto"/>
                <w:w w:val="76"/>
              </w:rPr>
              <w:t>$</w:t>
            </w:r>
          </w:p>
        </w:tc>
        <w:tc>
          <w:tcPr>
            <w:tcW w:w="880" w:type="dxa"/>
            <w:vAlign w:val="bottom"/>
            <w:tcBorders>
              <w:bottom w:val="single" w:sz="8" w:color="auto"/>
            </w:tcBorders>
            <w:shd w:val="clear" w:color="auto" w:fill="CFF0FC"/>
          </w:tcPr>
          <w:p>
            <w:pPr>
              <w:jc w:val="right"/>
              <w:spacing w:after="0" w:line="155" w:lineRule="exact"/>
              <w:rPr>
                <w:sz w:val="20"/>
                <w:szCs w:val="20"/>
                <w:color w:val="auto"/>
              </w:rPr>
            </w:pPr>
            <w:r>
              <w:rPr>
                <w:rFonts w:ascii="Arial" w:cs="Arial" w:eastAsia="Arial" w:hAnsi="Arial"/>
                <w:sz w:val="14"/>
                <w:szCs w:val="14"/>
                <w:color w:val="auto"/>
              </w:rPr>
              <w:t>(154.7)</w:t>
            </w:r>
          </w:p>
        </w:tc>
        <w:tc>
          <w:tcPr>
            <w:tcW w:w="60" w:type="dxa"/>
            <w:vAlign w:val="bottom"/>
            <w:tcBorders>
              <w:bottom w:val="single" w:sz="8" w:color="CFF0FC"/>
            </w:tcBorders>
            <w:shd w:val="clear" w:color="auto" w:fill="CFF0FC"/>
          </w:tcPr>
          <w:p>
            <w:pPr>
              <w:spacing w:after="0"/>
              <w:rPr>
                <w:sz w:val="13"/>
                <w:szCs w:val="13"/>
                <w:color w:val="auto"/>
              </w:rPr>
            </w:pPr>
          </w:p>
        </w:tc>
        <w:tc>
          <w:tcPr>
            <w:tcW w:w="160" w:type="dxa"/>
            <w:vAlign w:val="bottom"/>
            <w:tcBorders>
              <w:bottom w:val="single" w:sz="8" w:color="CFF0FC"/>
            </w:tcBorders>
            <w:shd w:val="clear" w:color="auto" w:fill="CFF0FC"/>
          </w:tcPr>
          <w:p>
            <w:pPr>
              <w:spacing w:after="0"/>
              <w:rPr>
                <w:sz w:val="13"/>
                <w:szCs w:val="13"/>
                <w:color w:val="auto"/>
              </w:rPr>
            </w:pPr>
          </w:p>
        </w:tc>
        <w:tc>
          <w:tcPr>
            <w:tcW w:w="240" w:type="dxa"/>
            <w:vAlign w:val="bottom"/>
            <w:tcBorders>
              <w:bottom w:val="single" w:sz="8" w:color="auto"/>
            </w:tcBorders>
            <w:shd w:val="clear" w:color="auto" w:fill="CFF0FC"/>
          </w:tcPr>
          <w:p>
            <w:pPr>
              <w:jc w:val="right"/>
              <w:ind w:right="88"/>
              <w:spacing w:after="0" w:line="155" w:lineRule="exact"/>
              <w:rPr>
                <w:sz w:val="20"/>
                <w:szCs w:val="20"/>
                <w:color w:val="auto"/>
              </w:rPr>
            </w:pPr>
            <w:r>
              <w:rPr>
                <w:rFonts w:ascii="Arial" w:cs="Arial" w:eastAsia="Arial" w:hAnsi="Arial"/>
                <w:sz w:val="14"/>
                <w:szCs w:val="14"/>
                <w:color w:val="auto"/>
                <w:w w:val="76"/>
              </w:rPr>
              <w:t>$</w:t>
            </w:r>
          </w:p>
        </w:tc>
        <w:tc>
          <w:tcPr>
            <w:tcW w:w="1080" w:type="dxa"/>
            <w:vAlign w:val="bottom"/>
            <w:tcBorders>
              <w:bottom w:val="single" w:sz="8" w:color="auto"/>
            </w:tcBorders>
            <w:shd w:val="clear" w:color="auto" w:fill="CFF0FC"/>
          </w:tcPr>
          <w:p>
            <w:pPr>
              <w:jc w:val="right"/>
              <w:spacing w:after="0" w:line="155" w:lineRule="exact"/>
              <w:rPr>
                <w:sz w:val="20"/>
                <w:szCs w:val="20"/>
                <w:color w:val="auto"/>
              </w:rPr>
            </w:pPr>
            <w:r>
              <w:rPr>
                <w:rFonts w:ascii="Arial" w:cs="Arial" w:eastAsia="Arial" w:hAnsi="Arial"/>
                <w:sz w:val="14"/>
                <w:szCs w:val="14"/>
                <w:color w:val="auto"/>
              </w:rPr>
              <w:t>1.6</w:t>
            </w:r>
          </w:p>
        </w:tc>
        <w:tc>
          <w:tcPr>
            <w:tcW w:w="120" w:type="dxa"/>
            <w:vAlign w:val="bottom"/>
            <w:tcBorders>
              <w:bottom w:val="single" w:sz="8" w:color="CFF0FC"/>
            </w:tcBorders>
            <w:shd w:val="clear" w:color="auto" w:fill="CFF0FC"/>
          </w:tcPr>
          <w:p>
            <w:pPr>
              <w:spacing w:after="0"/>
              <w:rPr>
                <w:sz w:val="13"/>
                <w:szCs w:val="13"/>
                <w:color w:val="auto"/>
              </w:rPr>
            </w:pPr>
          </w:p>
        </w:tc>
        <w:tc>
          <w:tcPr>
            <w:tcW w:w="0" w:type="dxa"/>
            <w:vAlign w:val="bottom"/>
          </w:tcPr>
          <w:p>
            <w:pPr>
              <w:spacing w:after="0"/>
              <w:rPr>
                <w:sz w:val="1"/>
                <w:szCs w:val="1"/>
                <w:color w:val="auto"/>
              </w:rPr>
            </w:pPr>
          </w:p>
        </w:tc>
      </w:tr>
      <w:tr>
        <w:trPr>
          <w:trHeight w:val="20"/>
        </w:trPr>
        <w:tc>
          <w:tcPr>
            <w:tcW w:w="416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9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9—Revenues</w:t>
      </w:r>
    </w:p>
    <w:p>
      <w:pPr>
        <w:spacing w:after="0" w:line="229" w:lineRule="exact"/>
        <w:rPr>
          <w:sz w:val="20"/>
          <w:szCs w:val="20"/>
          <w:color w:val="auto"/>
        </w:rPr>
      </w:pPr>
    </w:p>
    <w:p>
      <w:pPr>
        <w:ind w:firstLine="562"/>
        <w:spacing w:after="0" w:line="254" w:lineRule="auto"/>
        <w:rPr>
          <w:sz w:val="20"/>
          <w:szCs w:val="20"/>
          <w:color w:val="auto"/>
        </w:rPr>
      </w:pPr>
      <w:r>
        <w:rPr>
          <w:rFonts w:ascii="Arial" w:cs="Arial" w:eastAsia="Arial" w:hAnsi="Arial"/>
          <w:sz w:val="18"/>
          <w:szCs w:val="18"/>
          <w:color w:val="auto"/>
        </w:rPr>
        <w:t>We generate revenues primarily through our software-enabled services. Our software-enabled services are generally provided under contracts with initial terms of one to five years that require monthly or quarterly payments and are subject to automatic annual renewal at the end of the initial term unless terminated by either party. We also generate revenues by licensing our software to clients through either perpetual or term licenses and by selling maintenance services. We classify license revenues related to sales-based royalty arrangements as term license revenue. Maintenance services are generally provided under annually renewable contracts. Our pricing typically scales as a function of our clients’ assets under management, the complexity of asset classes managed, the volume of transactions and the level of service the client requires. Revenues from professional services consist mostly of services provided on a time and materials basis.</w:t>
      </w:r>
    </w:p>
    <w:p>
      <w:pPr>
        <w:spacing w:after="0" w:line="87" w:lineRule="exact"/>
        <w:rPr>
          <w:sz w:val="20"/>
          <w:szCs w:val="20"/>
          <w:color w:val="auto"/>
        </w:rPr>
      </w:pPr>
    </w:p>
    <w:p>
      <w:pPr>
        <w:ind w:right="380" w:firstLine="562"/>
        <w:spacing w:after="0" w:line="291" w:lineRule="auto"/>
        <w:rPr>
          <w:sz w:val="20"/>
          <w:szCs w:val="20"/>
          <w:color w:val="auto"/>
        </w:rPr>
      </w:pPr>
      <w:r>
        <w:rPr>
          <w:rFonts w:ascii="Arial" w:cs="Arial" w:eastAsia="Arial" w:hAnsi="Arial"/>
          <w:sz w:val="16"/>
          <w:szCs w:val="16"/>
          <w:color w:val="auto"/>
        </w:rPr>
        <w:t>Deferred revenues primarily represent unrecognized fees billed or collected for maintenance and professional services. Deferred revenues are recognized as (or when) we perform under the contract. Deferred revenues are recorded on a net basis with contract assets at the contract</w:t>
      </w:r>
    </w:p>
    <w:p>
      <w:pPr>
        <w:jc w:val="both"/>
        <w:ind w:right="280"/>
        <w:spacing w:after="0" w:line="302" w:lineRule="auto"/>
        <w:rPr>
          <w:sz w:val="20"/>
          <w:szCs w:val="20"/>
          <w:color w:val="auto"/>
        </w:rPr>
      </w:pPr>
      <w:r>
        <w:rPr>
          <w:rFonts w:ascii="Arial" w:cs="Arial" w:eastAsia="Arial" w:hAnsi="Arial"/>
          <w:sz w:val="16"/>
          <w:szCs w:val="16"/>
          <w:color w:val="auto"/>
        </w:rPr>
        <w:t>level. Accordingly, as of March 31, 2021 and December 31, 2020, approximately $49.7 million and $53.9 million, respectively, of deferred revenue is presented net within contract assets arising from the same contracts. The amount of revenues recognized in the period that was included in the opening deferred revenues balance was $103.1 million and $108.0 million for the three months ended March 31, 2021 and 2020, respectively.</w:t>
      </w:r>
    </w:p>
    <w:p>
      <w:pPr>
        <w:spacing w:after="0" w:line="155"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180"/>
          </w:cols>
          <w:pgMar w:left="320" w:top="769" w:right="399" w:bottom="1440" w:gutter="0" w:footer="0" w:header="0"/>
        </w:sectPr>
      </w:pPr>
    </w:p>
    <w:bookmarkStart w:id="12" w:name="page13"/>
    <w:bookmarkEnd w:id="12"/>
    <w:p>
      <w:pPr>
        <w:ind w:firstLine="562"/>
        <w:spacing w:after="0" w:line="308" w:lineRule="auto"/>
        <w:rPr>
          <w:sz w:val="20"/>
          <w:szCs w:val="20"/>
          <w:color w:val="auto"/>
        </w:rPr>
      </w:pPr>
      <w:r>
        <w:rPr>
          <w:rFonts w:ascii="Arial" w:cs="Arial" w:eastAsia="Arial" w:hAnsi="Arial"/>
          <w:sz w:val="17"/>
          <w:szCs w:val="17"/>
          <w:color w:val="auto"/>
        </w:rPr>
        <w:t>As of March 31, 2021, revenue of approximately $575.7 million is expected to be recognized from remaining performance obligations for license, maintenance and related revenues, of which $298.6 million is expected to be recognized over the next twelve months.</w:t>
      </w:r>
    </w:p>
    <w:p>
      <w:pPr>
        <w:spacing w:after="0" w:line="146" w:lineRule="exact"/>
        <w:rPr>
          <w:sz w:val="20"/>
          <w:szCs w:val="20"/>
          <w:color w:val="auto"/>
        </w:rPr>
      </w:pPr>
    </w:p>
    <w:p>
      <w:pPr>
        <w:ind w:left="560"/>
        <w:spacing w:after="0"/>
        <w:rPr>
          <w:sz w:val="20"/>
          <w:szCs w:val="20"/>
          <w:color w:val="auto"/>
        </w:rPr>
      </w:pPr>
      <w:r>
        <w:rPr>
          <w:rFonts w:ascii="Arial" w:cs="Arial" w:eastAsia="Arial" w:hAnsi="Arial"/>
          <w:sz w:val="18"/>
          <w:szCs w:val="18"/>
          <w:color w:val="auto"/>
        </w:rPr>
        <w:t>We record revenue net of any taxes assessed by governmental authorities.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Revenue Disaggregation</w:t>
      </w:r>
    </w:p>
    <w:p>
      <w:pPr>
        <w:spacing w:after="0" w:line="225" w:lineRule="exact"/>
        <w:rPr>
          <w:sz w:val="20"/>
          <w:szCs w:val="20"/>
          <w:color w:val="auto"/>
        </w:rPr>
      </w:pPr>
    </w:p>
    <w:p>
      <w:pPr>
        <w:ind w:left="560"/>
        <w:spacing w:after="0"/>
        <w:rPr>
          <w:sz w:val="20"/>
          <w:szCs w:val="20"/>
          <w:color w:val="auto"/>
        </w:rPr>
      </w:pPr>
      <w:r>
        <w:rPr>
          <w:rFonts w:ascii="Arial" w:cs="Arial" w:eastAsia="Arial" w:hAnsi="Arial"/>
          <w:sz w:val="18"/>
          <w:szCs w:val="18"/>
          <w:color w:val="auto"/>
        </w:rPr>
        <w:t>The following table disaggregates our revenues by geography (in millions):</w:t>
      </w:r>
    </w:p>
    <w:p>
      <w:pPr>
        <w:spacing w:after="0" w:line="311" w:lineRule="exact"/>
        <w:rPr>
          <w:sz w:val="20"/>
          <w:szCs w:val="20"/>
          <w:color w:val="auto"/>
        </w:rPr>
      </w:pPr>
    </w:p>
    <w:tbl>
      <w:tblPr>
        <w:tblLayout w:type="fixed"/>
        <w:tblInd w:w="560" w:type="dxa"/>
        <w:tblCellMar>
          <w:top w:w="0" w:type="dxa"/>
          <w:left w:w="0" w:type="dxa"/>
          <w:bottom w:w="0" w:type="dxa"/>
          <w:right w:w="0" w:type="dxa"/>
        </w:tblCellMar>
      </w:tblPr>
      <w:tr>
        <w:trPr>
          <w:trHeight w:val="171"/>
        </w:trPr>
        <w:tc>
          <w:tcPr>
            <w:tcW w:w="20" w:type="dxa"/>
            <w:vAlign w:val="bottom"/>
          </w:tcPr>
          <w:p>
            <w:pPr>
              <w:spacing w:after="0"/>
              <w:rPr>
                <w:sz w:val="14"/>
                <w:szCs w:val="14"/>
                <w:color w:val="auto"/>
              </w:rPr>
            </w:pPr>
          </w:p>
        </w:tc>
        <w:tc>
          <w:tcPr>
            <w:tcW w:w="660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2980" w:type="dxa"/>
            <w:vAlign w:val="bottom"/>
            <w:gridSpan w:val="7"/>
          </w:tcPr>
          <w:p>
            <w:pPr>
              <w:ind w:left="340"/>
              <w:spacing w:after="0"/>
              <w:rPr>
                <w:sz w:val="20"/>
                <w:szCs w:val="20"/>
                <w:color w:val="auto"/>
              </w:rPr>
            </w:pPr>
            <w:r>
              <w:rPr>
                <w:rFonts w:ascii="Arial" w:cs="Arial" w:eastAsia="Arial" w:hAnsi="Arial"/>
                <w:sz w:val="14"/>
                <w:szCs w:val="14"/>
                <w:b w:val="1"/>
                <w:bCs w:val="1"/>
                <w:color w:val="auto"/>
              </w:rPr>
              <w:t>Three Months Ended March 31,</w:t>
            </w:r>
          </w:p>
        </w:tc>
        <w:tc>
          <w:tcPr>
            <w:tcW w:w="0" w:type="dxa"/>
            <w:vAlign w:val="bottom"/>
          </w:tcPr>
          <w:p>
            <w:pPr>
              <w:spacing w:after="0"/>
              <w:rPr>
                <w:sz w:val="1"/>
                <w:szCs w:val="1"/>
                <w:color w:val="auto"/>
              </w:rPr>
            </w:pPr>
          </w:p>
        </w:tc>
      </w:tr>
      <w:tr>
        <w:trPr>
          <w:trHeight w:val="155"/>
        </w:trPr>
        <w:tc>
          <w:tcPr>
            <w:tcW w:w="20" w:type="dxa"/>
            <w:vAlign w:val="bottom"/>
          </w:tcPr>
          <w:p>
            <w:pPr>
              <w:spacing w:after="0"/>
              <w:rPr>
                <w:sz w:val="13"/>
                <w:szCs w:val="13"/>
                <w:color w:val="auto"/>
              </w:rPr>
            </w:pPr>
          </w:p>
        </w:tc>
        <w:tc>
          <w:tcPr>
            <w:tcW w:w="6600" w:type="dxa"/>
            <w:vAlign w:val="bottom"/>
            <w:tcBorders>
              <w:bottom w:val="single" w:sz="8" w:color="CFF0FC"/>
            </w:tcBorders>
          </w:tcPr>
          <w:p>
            <w:pPr>
              <w:spacing w:after="0"/>
              <w:rPr>
                <w:sz w:val="13"/>
                <w:szCs w:val="13"/>
                <w:color w:val="auto"/>
              </w:rPr>
            </w:pPr>
          </w:p>
        </w:tc>
        <w:tc>
          <w:tcPr>
            <w:tcW w:w="320" w:type="dxa"/>
            <w:vAlign w:val="bottom"/>
            <w:tcBorders>
              <w:bottom w:val="single" w:sz="8" w:color="CFF0FC"/>
            </w:tcBorders>
          </w:tcPr>
          <w:p>
            <w:pPr>
              <w:spacing w:after="0"/>
              <w:rPr>
                <w:sz w:val="13"/>
                <w:szCs w:val="13"/>
                <w:color w:val="auto"/>
              </w:rPr>
            </w:pPr>
          </w:p>
        </w:tc>
        <w:tc>
          <w:tcPr>
            <w:tcW w:w="200" w:type="dxa"/>
            <w:vAlign w:val="bottom"/>
            <w:tcBorders>
              <w:top w:val="single" w:sz="8" w:color="auto"/>
              <w:bottom w:val="single" w:sz="8" w:color="auto"/>
            </w:tcBorders>
          </w:tcPr>
          <w:p>
            <w:pPr>
              <w:spacing w:after="0"/>
              <w:rPr>
                <w:sz w:val="13"/>
                <w:szCs w:val="13"/>
                <w:color w:val="auto"/>
              </w:rPr>
            </w:pPr>
          </w:p>
        </w:tc>
        <w:tc>
          <w:tcPr>
            <w:tcW w:w="1040" w:type="dxa"/>
            <w:vAlign w:val="bottom"/>
            <w:tcBorders>
              <w:top w:val="single" w:sz="8" w:color="auto"/>
              <w:bottom w:val="single" w:sz="8" w:color="auto"/>
            </w:tcBorders>
          </w:tcPr>
          <w:p>
            <w:pPr>
              <w:jc w:val="right"/>
              <w:ind w:right="315"/>
              <w:spacing w:after="0" w:line="155" w:lineRule="exact"/>
              <w:rPr>
                <w:sz w:val="20"/>
                <w:szCs w:val="20"/>
                <w:color w:val="auto"/>
              </w:rPr>
            </w:pPr>
            <w:r>
              <w:rPr>
                <w:rFonts w:ascii="Arial" w:cs="Arial" w:eastAsia="Arial" w:hAnsi="Arial"/>
                <w:sz w:val="14"/>
                <w:szCs w:val="14"/>
                <w:b w:val="1"/>
                <w:bCs w:val="1"/>
                <w:color w:val="auto"/>
              </w:rPr>
              <w:t>2021</w:t>
            </w:r>
          </w:p>
        </w:tc>
        <w:tc>
          <w:tcPr>
            <w:tcW w:w="160" w:type="dxa"/>
            <w:vAlign w:val="bottom"/>
            <w:tcBorders>
              <w:top w:val="single" w:sz="8" w:color="auto"/>
              <w:bottom w:val="single" w:sz="8" w:color="auto"/>
            </w:tcBorders>
          </w:tcPr>
          <w:p>
            <w:pPr>
              <w:spacing w:after="0"/>
              <w:rPr>
                <w:sz w:val="13"/>
                <w:szCs w:val="13"/>
                <w:color w:val="auto"/>
              </w:rPr>
            </w:pPr>
          </w:p>
        </w:tc>
        <w:tc>
          <w:tcPr>
            <w:tcW w:w="120" w:type="dxa"/>
            <w:vAlign w:val="bottom"/>
            <w:tcBorders>
              <w:top w:val="single" w:sz="8" w:color="auto"/>
              <w:bottom w:val="single" w:sz="8" w:color="CFF0FC"/>
            </w:tcBorders>
          </w:tcPr>
          <w:p>
            <w:pPr>
              <w:spacing w:after="0"/>
              <w:rPr>
                <w:sz w:val="13"/>
                <w:szCs w:val="13"/>
                <w:color w:val="auto"/>
              </w:rPr>
            </w:pPr>
          </w:p>
        </w:tc>
        <w:tc>
          <w:tcPr>
            <w:tcW w:w="140" w:type="dxa"/>
            <w:vAlign w:val="bottom"/>
            <w:tcBorders>
              <w:top w:val="single" w:sz="8" w:color="auto"/>
              <w:bottom w:val="single" w:sz="8" w:color="CFF0FC"/>
            </w:tcBorders>
          </w:tcPr>
          <w:p>
            <w:pPr>
              <w:spacing w:after="0"/>
              <w:rPr>
                <w:sz w:val="13"/>
                <w:szCs w:val="13"/>
                <w:color w:val="auto"/>
              </w:rPr>
            </w:pPr>
          </w:p>
        </w:tc>
        <w:tc>
          <w:tcPr>
            <w:tcW w:w="280" w:type="dxa"/>
            <w:vAlign w:val="bottom"/>
            <w:tcBorders>
              <w:top w:val="single" w:sz="8" w:color="auto"/>
              <w:bottom w:val="single" w:sz="8" w:color="auto"/>
            </w:tcBorders>
          </w:tcPr>
          <w:p>
            <w:pPr>
              <w:spacing w:after="0"/>
              <w:rPr>
                <w:sz w:val="13"/>
                <w:szCs w:val="13"/>
                <w:color w:val="auto"/>
              </w:rPr>
            </w:pPr>
          </w:p>
        </w:tc>
        <w:tc>
          <w:tcPr>
            <w:tcW w:w="1120" w:type="dxa"/>
            <w:vAlign w:val="bottom"/>
            <w:tcBorders>
              <w:top w:val="single" w:sz="8" w:color="auto"/>
              <w:bottom w:val="single" w:sz="8" w:color="auto"/>
            </w:tcBorders>
          </w:tcPr>
          <w:p>
            <w:pPr>
              <w:jc w:val="right"/>
              <w:ind w:right="473"/>
              <w:spacing w:after="0" w:line="155" w:lineRule="exact"/>
              <w:rPr>
                <w:sz w:val="20"/>
                <w:szCs w:val="20"/>
                <w:color w:val="auto"/>
              </w:rPr>
            </w:pPr>
            <w:r>
              <w:rPr>
                <w:rFonts w:ascii="Arial" w:cs="Arial" w:eastAsia="Arial" w:hAnsi="Arial"/>
                <w:sz w:val="14"/>
                <w:szCs w:val="14"/>
                <w:b w:val="1"/>
                <w:bCs w:val="1"/>
                <w:color w:val="auto"/>
              </w:rPr>
              <w:t>2020</w:t>
            </w:r>
          </w:p>
        </w:tc>
        <w:tc>
          <w:tcPr>
            <w:tcW w:w="120" w:type="dxa"/>
            <w:vAlign w:val="bottom"/>
            <w:tcBorders>
              <w:bottom w:val="single" w:sz="8" w:color="CFF0FC"/>
            </w:tcBorders>
          </w:tcPr>
          <w:p>
            <w:pPr>
              <w:spacing w:after="0"/>
              <w:rPr>
                <w:sz w:val="13"/>
                <w:szCs w:val="13"/>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6600" w:type="dxa"/>
            <w:vAlign w:val="bottom"/>
            <w:shd w:val="clear" w:color="auto" w:fill="CFF0FC"/>
          </w:tcPr>
          <w:p>
            <w:pPr>
              <w:spacing w:after="0"/>
              <w:rPr>
                <w:sz w:val="20"/>
                <w:szCs w:val="20"/>
                <w:color w:val="auto"/>
              </w:rPr>
            </w:pPr>
            <w:r>
              <w:rPr>
                <w:rFonts w:ascii="Arial" w:cs="Arial" w:eastAsia="Arial" w:hAnsi="Arial"/>
                <w:sz w:val="18"/>
                <w:szCs w:val="18"/>
                <w:color w:val="auto"/>
              </w:rPr>
              <w:t>United States</w:t>
            </w:r>
          </w:p>
        </w:tc>
        <w:tc>
          <w:tcPr>
            <w:tcW w:w="320" w:type="dxa"/>
            <w:vAlign w:val="bottom"/>
            <w:shd w:val="clear" w:color="auto" w:fill="CFF0FC"/>
          </w:tcPr>
          <w:p>
            <w:pPr>
              <w:spacing w:after="0"/>
              <w:rPr>
                <w:sz w:val="19"/>
                <w:szCs w:val="19"/>
                <w:color w:val="auto"/>
              </w:rPr>
            </w:pPr>
          </w:p>
        </w:tc>
        <w:tc>
          <w:tcPr>
            <w:tcW w:w="200" w:type="dxa"/>
            <w:vAlign w:val="bottom"/>
            <w:shd w:val="clear" w:color="auto" w:fill="CFF0FC"/>
          </w:tcPr>
          <w:p>
            <w:pPr>
              <w:jc w:val="right"/>
              <w:ind w:right="10"/>
              <w:spacing w:after="0"/>
              <w:rPr>
                <w:sz w:val="20"/>
                <w:szCs w:val="20"/>
                <w:color w:val="auto"/>
              </w:rPr>
            </w:pPr>
            <w:r>
              <w:rPr>
                <w:rFonts w:ascii="Arial" w:cs="Arial" w:eastAsia="Arial" w:hAnsi="Arial"/>
                <w:sz w:val="18"/>
                <w:szCs w:val="18"/>
                <w:color w:val="auto"/>
                <w:w w:val="79"/>
              </w:rPr>
              <w:t>$</w:t>
            </w:r>
          </w:p>
        </w:tc>
        <w:tc>
          <w:tcPr>
            <w:tcW w:w="1200" w:type="dxa"/>
            <w:vAlign w:val="bottom"/>
            <w:gridSpan w:val="2"/>
            <w:shd w:val="clear" w:color="auto" w:fill="CFF0FC"/>
          </w:tcPr>
          <w:p>
            <w:pPr>
              <w:jc w:val="right"/>
              <w:spacing w:after="0"/>
              <w:rPr>
                <w:sz w:val="20"/>
                <w:szCs w:val="20"/>
                <w:color w:val="auto"/>
              </w:rPr>
            </w:pPr>
            <w:r>
              <w:rPr>
                <w:rFonts w:ascii="Arial" w:cs="Arial" w:eastAsia="Arial" w:hAnsi="Arial"/>
                <w:sz w:val="18"/>
                <w:szCs w:val="18"/>
                <w:color w:val="auto"/>
              </w:rPr>
              <w:t>878.4</w:t>
            </w:r>
          </w:p>
        </w:tc>
        <w:tc>
          <w:tcPr>
            <w:tcW w:w="12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280" w:type="dxa"/>
            <w:vAlign w:val="bottom"/>
            <w:shd w:val="clear" w:color="auto" w:fill="CFF0FC"/>
          </w:tcPr>
          <w:p>
            <w:pPr>
              <w:jc w:val="right"/>
              <w:ind w:right="90"/>
              <w:spacing w:after="0"/>
              <w:rPr>
                <w:sz w:val="20"/>
                <w:szCs w:val="20"/>
                <w:color w:val="auto"/>
              </w:rPr>
            </w:pPr>
            <w:r>
              <w:rPr>
                <w:rFonts w:ascii="Arial" w:cs="Arial" w:eastAsia="Arial" w:hAnsi="Arial"/>
                <w:sz w:val="18"/>
                <w:szCs w:val="18"/>
                <w:color w:val="auto"/>
                <w:w w:val="79"/>
              </w:rPr>
              <w:t>$</w:t>
            </w:r>
          </w:p>
        </w:tc>
        <w:tc>
          <w:tcPr>
            <w:tcW w:w="11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862.0</w:t>
            </w:r>
          </w:p>
        </w:tc>
        <w:tc>
          <w:tcPr>
            <w:tcW w:w="12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20" w:type="dxa"/>
            <w:vAlign w:val="bottom"/>
          </w:tcPr>
          <w:p>
            <w:pPr>
              <w:spacing w:after="0"/>
              <w:rPr>
                <w:sz w:val="19"/>
                <w:szCs w:val="19"/>
                <w:color w:val="auto"/>
              </w:rPr>
            </w:pPr>
          </w:p>
        </w:tc>
        <w:tc>
          <w:tcPr>
            <w:tcW w:w="6600" w:type="dxa"/>
            <w:vAlign w:val="bottom"/>
          </w:tcPr>
          <w:p>
            <w:pPr>
              <w:spacing w:after="0"/>
              <w:rPr>
                <w:sz w:val="20"/>
                <w:szCs w:val="20"/>
                <w:color w:val="auto"/>
              </w:rPr>
            </w:pPr>
            <w:r>
              <w:rPr>
                <w:rFonts w:ascii="Arial" w:cs="Arial" w:eastAsia="Arial" w:hAnsi="Arial"/>
                <w:sz w:val="18"/>
                <w:szCs w:val="18"/>
                <w:color w:val="auto"/>
              </w:rPr>
              <w:t>United Kingdom</w:t>
            </w:r>
          </w:p>
        </w:tc>
        <w:tc>
          <w:tcPr>
            <w:tcW w:w="3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200" w:type="dxa"/>
            <w:vAlign w:val="bottom"/>
            <w:gridSpan w:val="2"/>
          </w:tcPr>
          <w:p>
            <w:pPr>
              <w:jc w:val="right"/>
              <w:spacing w:after="0"/>
              <w:rPr>
                <w:sz w:val="20"/>
                <w:szCs w:val="20"/>
                <w:color w:val="auto"/>
              </w:rPr>
            </w:pPr>
            <w:r>
              <w:rPr>
                <w:rFonts w:ascii="Arial" w:cs="Arial" w:eastAsia="Arial" w:hAnsi="Arial"/>
                <w:sz w:val="18"/>
                <w:szCs w:val="18"/>
                <w:color w:val="auto"/>
              </w:rPr>
              <w:t>150.3</w:t>
            </w:r>
          </w:p>
        </w:tc>
        <w:tc>
          <w:tcPr>
            <w:tcW w:w="1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156.2</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6600" w:type="dxa"/>
            <w:vAlign w:val="bottom"/>
            <w:shd w:val="clear" w:color="auto" w:fill="CFF0FC"/>
          </w:tcPr>
          <w:p>
            <w:pPr>
              <w:spacing w:after="0"/>
              <w:rPr>
                <w:sz w:val="20"/>
                <w:szCs w:val="20"/>
                <w:color w:val="auto"/>
              </w:rPr>
            </w:pPr>
            <w:r>
              <w:rPr>
                <w:rFonts w:ascii="Arial" w:cs="Arial" w:eastAsia="Arial" w:hAnsi="Arial"/>
                <w:sz w:val="18"/>
                <w:szCs w:val="18"/>
                <w:color w:val="auto"/>
              </w:rPr>
              <w:t>Europe (excluding United Kingdom), Middle East and Africa</w:t>
            </w:r>
          </w:p>
        </w:tc>
        <w:tc>
          <w:tcPr>
            <w:tcW w:w="32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1200" w:type="dxa"/>
            <w:vAlign w:val="bottom"/>
            <w:gridSpan w:val="2"/>
            <w:shd w:val="clear" w:color="auto" w:fill="CFF0FC"/>
          </w:tcPr>
          <w:p>
            <w:pPr>
              <w:jc w:val="right"/>
              <w:spacing w:after="0"/>
              <w:rPr>
                <w:sz w:val="20"/>
                <w:szCs w:val="20"/>
                <w:color w:val="auto"/>
              </w:rPr>
            </w:pPr>
            <w:r>
              <w:rPr>
                <w:rFonts w:ascii="Arial" w:cs="Arial" w:eastAsia="Arial" w:hAnsi="Arial"/>
                <w:sz w:val="18"/>
                <w:szCs w:val="18"/>
                <w:color w:val="auto"/>
              </w:rPr>
              <w:t>69.8</w:t>
            </w:r>
          </w:p>
        </w:tc>
        <w:tc>
          <w:tcPr>
            <w:tcW w:w="12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280" w:type="dxa"/>
            <w:vAlign w:val="bottom"/>
            <w:shd w:val="clear" w:color="auto" w:fill="CFF0FC"/>
          </w:tcPr>
          <w:p>
            <w:pPr>
              <w:spacing w:after="0"/>
              <w:rPr>
                <w:sz w:val="19"/>
                <w:szCs w:val="19"/>
                <w:color w:val="auto"/>
              </w:rPr>
            </w:pPr>
          </w:p>
        </w:tc>
        <w:tc>
          <w:tcPr>
            <w:tcW w:w="11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63.0</w:t>
            </w:r>
          </w:p>
        </w:tc>
        <w:tc>
          <w:tcPr>
            <w:tcW w:w="12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20" w:type="dxa"/>
            <w:vAlign w:val="bottom"/>
          </w:tcPr>
          <w:p>
            <w:pPr>
              <w:spacing w:after="0"/>
              <w:rPr>
                <w:sz w:val="19"/>
                <w:szCs w:val="19"/>
                <w:color w:val="auto"/>
              </w:rPr>
            </w:pPr>
          </w:p>
        </w:tc>
        <w:tc>
          <w:tcPr>
            <w:tcW w:w="6600" w:type="dxa"/>
            <w:vAlign w:val="bottom"/>
          </w:tcPr>
          <w:p>
            <w:pPr>
              <w:spacing w:after="0"/>
              <w:rPr>
                <w:sz w:val="20"/>
                <w:szCs w:val="20"/>
                <w:color w:val="auto"/>
              </w:rPr>
            </w:pPr>
            <w:r>
              <w:rPr>
                <w:rFonts w:ascii="Arial" w:cs="Arial" w:eastAsia="Arial" w:hAnsi="Arial"/>
                <w:sz w:val="18"/>
                <w:szCs w:val="18"/>
                <w:color w:val="auto"/>
              </w:rPr>
              <w:t>Asia-Pacific and Japan</w:t>
            </w:r>
          </w:p>
        </w:tc>
        <w:tc>
          <w:tcPr>
            <w:tcW w:w="3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200" w:type="dxa"/>
            <w:vAlign w:val="bottom"/>
            <w:gridSpan w:val="2"/>
          </w:tcPr>
          <w:p>
            <w:pPr>
              <w:jc w:val="right"/>
              <w:spacing w:after="0"/>
              <w:rPr>
                <w:sz w:val="20"/>
                <w:szCs w:val="20"/>
                <w:color w:val="auto"/>
              </w:rPr>
            </w:pPr>
            <w:r>
              <w:rPr>
                <w:rFonts w:ascii="Arial" w:cs="Arial" w:eastAsia="Arial" w:hAnsi="Arial"/>
                <w:sz w:val="18"/>
                <w:szCs w:val="18"/>
                <w:color w:val="auto"/>
              </w:rPr>
              <w:t>69.0</w:t>
            </w:r>
          </w:p>
        </w:tc>
        <w:tc>
          <w:tcPr>
            <w:tcW w:w="1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45.4</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20" w:type="dxa"/>
            <w:vAlign w:val="bottom"/>
          </w:tcPr>
          <w:p>
            <w:pPr>
              <w:spacing w:after="0"/>
              <w:rPr>
                <w:sz w:val="19"/>
                <w:szCs w:val="19"/>
                <w:color w:val="auto"/>
              </w:rPr>
            </w:pPr>
          </w:p>
        </w:tc>
        <w:tc>
          <w:tcPr>
            <w:tcW w:w="6600" w:type="dxa"/>
            <w:vAlign w:val="bottom"/>
            <w:shd w:val="clear" w:color="auto" w:fill="CFF0FC"/>
          </w:tcPr>
          <w:p>
            <w:pPr>
              <w:spacing w:after="0"/>
              <w:rPr>
                <w:sz w:val="20"/>
                <w:szCs w:val="20"/>
                <w:color w:val="auto"/>
              </w:rPr>
            </w:pPr>
            <w:r>
              <w:rPr>
                <w:rFonts w:ascii="Arial" w:cs="Arial" w:eastAsia="Arial" w:hAnsi="Arial"/>
                <w:sz w:val="18"/>
                <w:szCs w:val="18"/>
                <w:color w:val="auto"/>
              </w:rPr>
              <w:t>Canada</w:t>
            </w:r>
          </w:p>
        </w:tc>
        <w:tc>
          <w:tcPr>
            <w:tcW w:w="32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1200" w:type="dxa"/>
            <w:vAlign w:val="bottom"/>
            <w:gridSpan w:val="2"/>
            <w:shd w:val="clear" w:color="auto" w:fill="CFF0FC"/>
          </w:tcPr>
          <w:p>
            <w:pPr>
              <w:jc w:val="right"/>
              <w:spacing w:after="0"/>
              <w:rPr>
                <w:sz w:val="20"/>
                <w:szCs w:val="20"/>
                <w:color w:val="auto"/>
              </w:rPr>
            </w:pPr>
            <w:r>
              <w:rPr>
                <w:rFonts w:ascii="Arial" w:cs="Arial" w:eastAsia="Arial" w:hAnsi="Arial"/>
                <w:sz w:val="18"/>
                <w:szCs w:val="18"/>
                <w:color w:val="auto"/>
              </w:rPr>
              <w:t>48.0</w:t>
            </w:r>
          </w:p>
        </w:tc>
        <w:tc>
          <w:tcPr>
            <w:tcW w:w="12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280" w:type="dxa"/>
            <w:vAlign w:val="bottom"/>
            <w:shd w:val="clear" w:color="auto" w:fill="CFF0FC"/>
          </w:tcPr>
          <w:p>
            <w:pPr>
              <w:spacing w:after="0"/>
              <w:rPr>
                <w:sz w:val="19"/>
                <w:szCs w:val="19"/>
                <w:color w:val="auto"/>
              </w:rPr>
            </w:pPr>
          </w:p>
        </w:tc>
        <w:tc>
          <w:tcPr>
            <w:tcW w:w="11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28.6</w:t>
            </w:r>
          </w:p>
        </w:tc>
        <w:tc>
          <w:tcPr>
            <w:tcW w:w="12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6600" w:type="dxa"/>
            <w:vAlign w:val="bottom"/>
            <w:tcBorders>
              <w:bottom w:val="single" w:sz="8" w:color="CFF0FC"/>
            </w:tcBorders>
          </w:tcPr>
          <w:p>
            <w:pPr>
              <w:spacing w:after="0"/>
              <w:rPr>
                <w:sz w:val="20"/>
                <w:szCs w:val="20"/>
                <w:color w:val="auto"/>
              </w:rPr>
            </w:pPr>
            <w:r>
              <w:rPr>
                <w:rFonts w:ascii="Arial" w:cs="Arial" w:eastAsia="Arial" w:hAnsi="Arial"/>
                <w:sz w:val="18"/>
                <w:szCs w:val="18"/>
                <w:color w:val="auto"/>
              </w:rPr>
              <w:t>Americas, excluding United States and Canada</w:t>
            </w:r>
          </w:p>
        </w:tc>
        <w:tc>
          <w:tcPr>
            <w:tcW w:w="320" w:type="dxa"/>
            <w:vAlign w:val="bottom"/>
            <w:tcBorders>
              <w:bottom w:val="single" w:sz="8" w:color="CFF0FC"/>
            </w:tcBorders>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1200" w:type="dxa"/>
            <w:vAlign w:val="bottom"/>
            <w:tcBorders>
              <w:bottom w:val="single" w:sz="8" w:color="auto"/>
            </w:tcBorders>
            <w:gridSpan w:val="2"/>
          </w:tcPr>
          <w:p>
            <w:pPr>
              <w:jc w:val="right"/>
              <w:spacing w:after="0"/>
              <w:rPr>
                <w:sz w:val="20"/>
                <w:szCs w:val="20"/>
                <w:color w:val="auto"/>
              </w:rPr>
            </w:pPr>
            <w:r>
              <w:rPr>
                <w:rFonts w:ascii="Arial" w:cs="Arial" w:eastAsia="Arial" w:hAnsi="Arial"/>
                <w:sz w:val="18"/>
                <w:szCs w:val="18"/>
                <w:color w:val="auto"/>
              </w:rPr>
              <w:t>17.9</w:t>
            </w:r>
          </w:p>
        </w:tc>
        <w:tc>
          <w:tcPr>
            <w:tcW w:w="120" w:type="dxa"/>
            <w:vAlign w:val="bottom"/>
            <w:tcBorders>
              <w:bottom w:val="single" w:sz="8" w:color="CFF0FC"/>
            </w:tcBorders>
          </w:tcPr>
          <w:p>
            <w:pPr>
              <w:spacing w:after="0"/>
              <w:rPr>
                <w:sz w:val="19"/>
                <w:szCs w:val="19"/>
                <w:color w:val="auto"/>
              </w:rPr>
            </w:pPr>
          </w:p>
        </w:tc>
        <w:tc>
          <w:tcPr>
            <w:tcW w:w="140" w:type="dxa"/>
            <w:vAlign w:val="bottom"/>
            <w:tcBorders>
              <w:bottom w:val="single" w:sz="8" w:color="CFF0FC"/>
            </w:tcBorders>
          </w:tcPr>
          <w:p>
            <w:pPr>
              <w:spacing w:after="0"/>
              <w:rPr>
                <w:sz w:val="19"/>
                <w:szCs w:val="19"/>
                <w:color w:val="auto"/>
              </w:rPr>
            </w:pPr>
          </w:p>
        </w:tc>
        <w:tc>
          <w:tcPr>
            <w:tcW w:w="280" w:type="dxa"/>
            <w:vAlign w:val="bottom"/>
            <w:tcBorders>
              <w:bottom w:val="single" w:sz="8" w:color="auto"/>
            </w:tcBorders>
          </w:tcPr>
          <w:p>
            <w:pPr>
              <w:spacing w:after="0"/>
              <w:rPr>
                <w:sz w:val="19"/>
                <w:szCs w:val="19"/>
                <w:color w:val="auto"/>
              </w:rPr>
            </w:pPr>
          </w:p>
        </w:tc>
        <w:tc>
          <w:tcPr>
            <w:tcW w:w="11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18.4</w:t>
            </w:r>
          </w:p>
        </w:tc>
        <w:tc>
          <w:tcPr>
            <w:tcW w:w="120" w:type="dxa"/>
            <w:vAlign w:val="bottom"/>
            <w:tcBorders>
              <w:bottom w:val="single" w:sz="8" w:color="CFF0FC"/>
            </w:tcBorders>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6600" w:type="dxa"/>
            <w:vAlign w:val="bottom"/>
            <w:tcBorders>
              <w:bottom w:val="single" w:sz="8" w:color="CFF0FC"/>
            </w:tcBorders>
            <w:shd w:val="clear" w:color="auto" w:fill="CFF0FC"/>
          </w:tcPr>
          <w:p>
            <w:pPr>
              <w:ind w:left="120"/>
              <w:spacing w:after="0"/>
              <w:rPr>
                <w:sz w:val="20"/>
                <w:szCs w:val="20"/>
                <w:color w:val="auto"/>
              </w:rPr>
            </w:pPr>
            <w:r>
              <w:rPr>
                <w:rFonts w:ascii="Arial" w:cs="Arial" w:eastAsia="Arial" w:hAnsi="Arial"/>
                <w:sz w:val="18"/>
                <w:szCs w:val="18"/>
                <w:color w:val="auto"/>
              </w:rPr>
              <w:t>Total</w:t>
            </w:r>
          </w:p>
        </w:tc>
        <w:tc>
          <w:tcPr>
            <w:tcW w:w="320" w:type="dxa"/>
            <w:vAlign w:val="bottom"/>
            <w:tcBorders>
              <w:bottom w:val="single" w:sz="8" w:color="CFF0FC"/>
            </w:tcBorders>
            <w:shd w:val="clear" w:color="auto" w:fill="CFF0FC"/>
          </w:tcPr>
          <w:p>
            <w:pPr>
              <w:spacing w:after="0"/>
              <w:rPr>
                <w:sz w:val="19"/>
                <w:szCs w:val="19"/>
                <w:color w:val="auto"/>
              </w:rPr>
            </w:pPr>
          </w:p>
        </w:tc>
        <w:tc>
          <w:tcPr>
            <w:tcW w:w="200" w:type="dxa"/>
            <w:vAlign w:val="bottom"/>
            <w:tcBorders>
              <w:bottom w:val="single" w:sz="8" w:color="auto"/>
            </w:tcBorders>
            <w:shd w:val="clear" w:color="auto" w:fill="CFF0FC"/>
          </w:tcPr>
          <w:p>
            <w:pPr>
              <w:jc w:val="right"/>
              <w:ind w:right="10"/>
              <w:spacing w:after="0"/>
              <w:rPr>
                <w:sz w:val="20"/>
                <w:szCs w:val="20"/>
                <w:color w:val="auto"/>
              </w:rPr>
            </w:pPr>
            <w:r>
              <w:rPr>
                <w:rFonts w:ascii="Arial" w:cs="Arial" w:eastAsia="Arial" w:hAnsi="Arial"/>
                <w:sz w:val="18"/>
                <w:szCs w:val="18"/>
                <w:color w:val="auto"/>
                <w:w w:val="79"/>
              </w:rPr>
              <w:t>$</w:t>
            </w:r>
          </w:p>
        </w:tc>
        <w:tc>
          <w:tcPr>
            <w:tcW w:w="1200" w:type="dxa"/>
            <w:vAlign w:val="bottom"/>
            <w:tcBorders>
              <w:bottom w:val="single" w:sz="8" w:color="auto"/>
            </w:tcBorders>
            <w:gridSpan w:val="2"/>
            <w:shd w:val="clear" w:color="auto" w:fill="CFF0FC"/>
          </w:tcPr>
          <w:p>
            <w:pPr>
              <w:jc w:val="right"/>
              <w:spacing w:after="0"/>
              <w:rPr>
                <w:sz w:val="20"/>
                <w:szCs w:val="20"/>
                <w:color w:val="auto"/>
              </w:rPr>
            </w:pPr>
            <w:r>
              <w:rPr>
                <w:rFonts w:ascii="Arial" w:cs="Arial" w:eastAsia="Arial" w:hAnsi="Arial"/>
                <w:sz w:val="18"/>
                <w:szCs w:val="18"/>
                <w:color w:val="auto"/>
              </w:rPr>
              <w:t>1,233.4</w:t>
            </w:r>
          </w:p>
        </w:tc>
        <w:tc>
          <w:tcPr>
            <w:tcW w:w="120" w:type="dxa"/>
            <w:vAlign w:val="bottom"/>
            <w:tcBorders>
              <w:bottom w:val="single" w:sz="8" w:color="CFF0FC"/>
            </w:tcBorders>
            <w:shd w:val="clear" w:color="auto" w:fill="CFF0FC"/>
          </w:tcPr>
          <w:p>
            <w:pPr>
              <w:spacing w:after="0"/>
              <w:rPr>
                <w:sz w:val="19"/>
                <w:szCs w:val="19"/>
                <w:color w:val="auto"/>
              </w:rPr>
            </w:pPr>
          </w:p>
        </w:tc>
        <w:tc>
          <w:tcPr>
            <w:tcW w:w="140" w:type="dxa"/>
            <w:vAlign w:val="bottom"/>
            <w:tcBorders>
              <w:bottom w:val="single" w:sz="8" w:color="CFF0FC"/>
            </w:tcBorders>
            <w:shd w:val="clear" w:color="auto" w:fill="CFF0FC"/>
          </w:tcPr>
          <w:p>
            <w:pPr>
              <w:spacing w:after="0"/>
              <w:rPr>
                <w:sz w:val="19"/>
                <w:szCs w:val="19"/>
                <w:color w:val="auto"/>
              </w:rPr>
            </w:pPr>
          </w:p>
        </w:tc>
        <w:tc>
          <w:tcPr>
            <w:tcW w:w="280" w:type="dxa"/>
            <w:vAlign w:val="bottom"/>
            <w:tcBorders>
              <w:bottom w:val="single" w:sz="8" w:color="auto"/>
            </w:tcBorders>
            <w:shd w:val="clear" w:color="auto" w:fill="CFF0FC"/>
          </w:tcPr>
          <w:p>
            <w:pPr>
              <w:jc w:val="right"/>
              <w:ind w:right="90"/>
              <w:spacing w:after="0"/>
              <w:rPr>
                <w:sz w:val="20"/>
                <w:szCs w:val="20"/>
                <w:color w:val="auto"/>
              </w:rPr>
            </w:pPr>
            <w:r>
              <w:rPr>
                <w:rFonts w:ascii="Arial" w:cs="Arial" w:eastAsia="Arial" w:hAnsi="Arial"/>
                <w:sz w:val="18"/>
                <w:szCs w:val="18"/>
                <w:color w:val="auto"/>
                <w:w w:val="79"/>
              </w:rPr>
              <w:t>$</w:t>
            </w:r>
          </w:p>
        </w:tc>
        <w:tc>
          <w:tcPr>
            <w:tcW w:w="11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1,173.6</w:t>
            </w:r>
          </w:p>
        </w:tc>
        <w:tc>
          <w:tcPr>
            <w:tcW w:w="120" w:type="dxa"/>
            <w:vAlign w:val="bottom"/>
            <w:tcBorders>
              <w:bottom w:val="single" w:sz="8" w:color="CFF0FC"/>
            </w:tcBorders>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6620" w:type="dxa"/>
            <w:vAlign w:val="bottom"/>
            <w:gridSpan w:val="2"/>
            <w:vMerge w:val="restart"/>
          </w:tcPr>
          <w:p>
            <w:pPr>
              <w:spacing w:after="0"/>
              <w:rPr>
                <w:sz w:val="20"/>
                <w:szCs w:val="20"/>
                <w:color w:val="auto"/>
              </w:rPr>
            </w:pPr>
            <w:r>
              <w:rPr>
                <w:rFonts w:ascii="Arial" w:cs="Arial" w:eastAsia="Arial" w:hAnsi="Arial"/>
                <w:sz w:val="18"/>
                <w:szCs w:val="18"/>
                <w:color w:val="auto"/>
              </w:rPr>
              <w:t>The following table disaggregates our revenues by source (in millions):</w:t>
            </w:r>
          </w:p>
        </w:tc>
        <w:tc>
          <w:tcPr>
            <w:tcW w:w="32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13"/>
        </w:trPr>
        <w:tc>
          <w:tcPr>
            <w:tcW w:w="6620" w:type="dxa"/>
            <w:vAlign w:val="bottom"/>
            <w:gridSpan w:val="2"/>
            <w:vMerge w:val="continue"/>
          </w:tcPr>
          <w:p>
            <w:pPr>
              <w:spacing w:after="0"/>
              <w:rPr>
                <w:sz w:val="24"/>
                <w:szCs w:val="24"/>
                <w:color w:val="auto"/>
              </w:rPr>
            </w:pPr>
          </w:p>
        </w:tc>
        <w:tc>
          <w:tcPr>
            <w:tcW w:w="3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59"/>
        </w:trPr>
        <w:tc>
          <w:tcPr>
            <w:tcW w:w="20" w:type="dxa"/>
            <w:vAlign w:val="bottom"/>
          </w:tcPr>
          <w:p>
            <w:pPr>
              <w:spacing w:after="0"/>
              <w:rPr>
                <w:sz w:val="24"/>
                <w:szCs w:val="24"/>
                <w:color w:val="auto"/>
              </w:rPr>
            </w:pPr>
          </w:p>
        </w:tc>
        <w:tc>
          <w:tcPr>
            <w:tcW w:w="660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2980" w:type="dxa"/>
            <w:vAlign w:val="bottom"/>
            <w:gridSpan w:val="7"/>
          </w:tcPr>
          <w:p>
            <w:pPr>
              <w:ind w:left="180"/>
              <w:spacing w:after="0"/>
              <w:rPr>
                <w:sz w:val="20"/>
                <w:szCs w:val="20"/>
                <w:color w:val="auto"/>
              </w:rPr>
            </w:pPr>
            <w:r>
              <w:rPr>
                <w:rFonts w:ascii="Arial" w:cs="Arial" w:eastAsia="Arial" w:hAnsi="Arial"/>
                <w:sz w:val="14"/>
                <w:szCs w:val="14"/>
                <w:b w:val="1"/>
                <w:bCs w:val="1"/>
                <w:color w:val="auto"/>
              </w:rPr>
              <w:t>Three Months Ended March 31,</w:t>
            </w:r>
          </w:p>
        </w:tc>
        <w:tc>
          <w:tcPr>
            <w:tcW w:w="0" w:type="dxa"/>
            <w:vAlign w:val="bottom"/>
          </w:tcPr>
          <w:p>
            <w:pPr>
              <w:spacing w:after="0"/>
              <w:rPr>
                <w:sz w:val="1"/>
                <w:szCs w:val="1"/>
                <w:color w:val="auto"/>
              </w:rPr>
            </w:pPr>
          </w:p>
        </w:tc>
      </w:tr>
      <w:tr>
        <w:trPr>
          <w:trHeight w:val="156"/>
        </w:trPr>
        <w:tc>
          <w:tcPr>
            <w:tcW w:w="20" w:type="dxa"/>
            <w:vAlign w:val="bottom"/>
          </w:tcPr>
          <w:p>
            <w:pPr>
              <w:spacing w:after="0"/>
              <w:rPr>
                <w:sz w:val="13"/>
                <w:szCs w:val="13"/>
                <w:color w:val="auto"/>
              </w:rPr>
            </w:pPr>
          </w:p>
        </w:tc>
        <w:tc>
          <w:tcPr>
            <w:tcW w:w="6600" w:type="dxa"/>
            <w:vAlign w:val="bottom"/>
            <w:tcBorders>
              <w:bottom w:val="single" w:sz="8" w:color="CFF0FC"/>
            </w:tcBorders>
          </w:tcPr>
          <w:p>
            <w:pPr>
              <w:spacing w:after="0"/>
              <w:rPr>
                <w:sz w:val="13"/>
                <w:szCs w:val="13"/>
                <w:color w:val="auto"/>
              </w:rPr>
            </w:pPr>
          </w:p>
        </w:tc>
        <w:tc>
          <w:tcPr>
            <w:tcW w:w="320" w:type="dxa"/>
            <w:vAlign w:val="bottom"/>
            <w:tcBorders>
              <w:top w:val="single" w:sz="8" w:color="auto"/>
              <w:bottom w:val="single" w:sz="8" w:color="auto"/>
            </w:tcBorders>
          </w:tcPr>
          <w:p>
            <w:pPr>
              <w:spacing w:after="0"/>
              <w:rPr>
                <w:sz w:val="13"/>
                <w:szCs w:val="13"/>
                <w:color w:val="auto"/>
              </w:rPr>
            </w:pPr>
          </w:p>
        </w:tc>
        <w:tc>
          <w:tcPr>
            <w:tcW w:w="200" w:type="dxa"/>
            <w:vAlign w:val="bottom"/>
            <w:tcBorders>
              <w:top w:val="single" w:sz="8" w:color="auto"/>
              <w:bottom w:val="single" w:sz="8" w:color="auto"/>
            </w:tcBorders>
          </w:tcPr>
          <w:p>
            <w:pPr>
              <w:spacing w:after="0"/>
              <w:rPr>
                <w:sz w:val="13"/>
                <w:szCs w:val="13"/>
                <w:color w:val="auto"/>
              </w:rPr>
            </w:pPr>
          </w:p>
        </w:tc>
        <w:tc>
          <w:tcPr>
            <w:tcW w:w="1040" w:type="dxa"/>
            <w:vAlign w:val="bottom"/>
            <w:tcBorders>
              <w:top w:val="single" w:sz="8" w:color="auto"/>
              <w:bottom w:val="single" w:sz="8" w:color="auto"/>
            </w:tcBorders>
          </w:tcPr>
          <w:p>
            <w:pPr>
              <w:jc w:val="right"/>
              <w:ind w:right="555"/>
              <w:spacing w:after="0" w:line="155" w:lineRule="exact"/>
              <w:rPr>
                <w:sz w:val="20"/>
                <w:szCs w:val="20"/>
                <w:color w:val="auto"/>
              </w:rPr>
            </w:pPr>
            <w:r>
              <w:rPr>
                <w:rFonts w:ascii="Arial" w:cs="Arial" w:eastAsia="Arial" w:hAnsi="Arial"/>
                <w:sz w:val="14"/>
                <w:szCs w:val="14"/>
                <w:b w:val="1"/>
                <w:bCs w:val="1"/>
                <w:color w:val="auto"/>
              </w:rPr>
              <w:t>2021</w:t>
            </w:r>
          </w:p>
        </w:tc>
        <w:tc>
          <w:tcPr>
            <w:tcW w:w="160" w:type="dxa"/>
            <w:vAlign w:val="bottom"/>
            <w:tcBorders>
              <w:top w:val="single" w:sz="8" w:color="auto"/>
              <w:bottom w:val="single" w:sz="8" w:color="CFF0FC"/>
            </w:tcBorders>
          </w:tcPr>
          <w:p>
            <w:pPr>
              <w:spacing w:after="0"/>
              <w:rPr>
                <w:sz w:val="13"/>
                <w:szCs w:val="13"/>
                <w:color w:val="auto"/>
              </w:rPr>
            </w:pPr>
          </w:p>
        </w:tc>
        <w:tc>
          <w:tcPr>
            <w:tcW w:w="120" w:type="dxa"/>
            <w:vAlign w:val="bottom"/>
            <w:tcBorders>
              <w:top w:val="single" w:sz="8" w:color="auto"/>
              <w:bottom w:val="single" w:sz="8" w:color="CFF0FC"/>
            </w:tcBorders>
          </w:tcPr>
          <w:p>
            <w:pPr>
              <w:spacing w:after="0"/>
              <w:rPr>
                <w:sz w:val="13"/>
                <w:szCs w:val="13"/>
                <w:color w:val="auto"/>
              </w:rPr>
            </w:pPr>
          </w:p>
        </w:tc>
        <w:tc>
          <w:tcPr>
            <w:tcW w:w="140" w:type="dxa"/>
            <w:vAlign w:val="bottom"/>
            <w:tcBorders>
              <w:top w:val="single" w:sz="8" w:color="auto"/>
              <w:bottom w:val="single" w:sz="8" w:color="auto"/>
            </w:tcBorders>
          </w:tcPr>
          <w:p>
            <w:pPr>
              <w:spacing w:after="0"/>
              <w:rPr>
                <w:sz w:val="13"/>
                <w:szCs w:val="13"/>
                <w:color w:val="auto"/>
              </w:rPr>
            </w:pPr>
          </w:p>
        </w:tc>
        <w:tc>
          <w:tcPr>
            <w:tcW w:w="280" w:type="dxa"/>
            <w:vAlign w:val="bottom"/>
            <w:tcBorders>
              <w:top w:val="single" w:sz="8" w:color="auto"/>
              <w:bottom w:val="single" w:sz="8" w:color="auto"/>
            </w:tcBorders>
          </w:tcPr>
          <w:p>
            <w:pPr>
              <w:spacing w:after="0"/>
              <w:rPr>
                <w:sz w:val="13"/>
                <w:szCs w:val="13"/>
                <w:color w:val="auto"/>
              </w:rPr>
            </w:pPr>
          </w:p>
        </w:tc>
        <w:tc>
          <w:tcPr>
            <w:tcW w:w="1120" w:type="dxa"/>
            <w:vAlign w:val="bottom"/>
            <w:tcBorders>
              <w:top w:val="single" w:sz="8" w:color="auto"/>
              <w:bottom w:val="single" w:sz="8" w:color="auto"/>
            </w:tcBorders>
          </w:tcPr>
          <w:p>
            <w:pPr>
              <w:jc w:val="right"/>
              <w:ind w:right="553"/>
              <w:spacing w:after="0" w:line="155" w:lineRule="exact"/>
              <w:rPr>
                <w:sz w:val="20"/>
                <w:szCs w:val="20"/>
                <w:color w:val="auto"/>
              </w:rPr>
            </w:pPr>
            <w:r>
              <w:rPr>
                <w:rFonts w:ascii="Arial" w:cs="Arial" w:eastAsia="Arial" w:hAnsi="Arial"/>
                <w:sz w:val="14"/>
                <w:szCs w:val="14"/>
                <w:b w:val="1"/>
                <w:bCs w:val="1"/>
                <w:color w:val="auto"/>
              </w:rPr>
              <w:t>2020</w:t>
            </w:r>
          </w:p>
        </w:tc>
        <w:tc>
          <w:tcPr>
            <w:tcW w:w="120" w:type="dxa"/>
            <w:vAlign w:val="bottom"/>
            <w:tcBorders>
              <w:bottom w:val="single" w:sz="8" w:color="CFF0FC"/>
            </w:tcBorders>
          </w:tcPr>
          <w:p>
            <w:pPr>
              <w:spacing w:after="0"/>
              <w:rPr>
                <w:sz w:val="13"/>
                <w:szCs w:val="13"/>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6600" w:type="dxa"/>
            <w:vAlign w:val="bottom"/>
            <w:shd w:val="clear" w:color="auto" w:fill="CFF0FC"/>
          </w:tcPr>
          <w:p>
            <w:pPr>
              <w:spacing w:after="0"/>
              <w:rPr>
                <w:sz w:val="20"/>
                <w:szCs w:val="20"/>
                <w:color w:val="auto"/>
              </w:rPr>
            </w:pPr>
            <w:r>
              <w:rPr>
                <w:rFonts w:ascii="Arial" w:cs="Arial" w:eastAsia="Arial" w:hAnsi="Arial"/>
                <w:sz w:val="18"/>
                <w:szCs w:val="18"/>
                <w:color w:val="auto"/>
              </w:rPr>
              <w:t>Software-enabled services</w:t>
            </w:r>
          </w:p>
        </w:tc>
        <w:tc>
          <w:tcPr>
            <w:tcW w:w="320" w:type="dxa"/>
            <w:vAlign w:val="bottom"/>
            <w:shd w:val="clear" w:color="auto" w:fill="CFF0FC"/>
          </w:tcPr>
          <w:p>
            <w:pPr>
              <w:jc w:val="right"/>
              <w:ind w:right="130"/>
              <w:spacing w:after="0"/>
              <w:rPr>
                <w:sz w:val="20"/>
                <w:szCs w:val="20"/>
                <w:color w:val="auto"/>
              </w:rPr>
            </w:pPr>
            <w:r>
              <w:rPr>
                <w:rFonts w:ascii="Arial" w:cs="Arial" w:eastAsia="Arial" w:hAnsi="Arial"/>
                <w:sz w:val="18"/>
                <w:szCs w:val="18"/>
                <w:color w:val="auto"/>
                <w:w w:val="79"/>
              </w:rPr>
              <w:t>$</w:t>
            </w:r>
          </w:p>
        </w:tc>
        <w:tc>
          <w:tcPr>
            <w:tcW w:w="200" w:type="dxa"/>
            <w:vAlign w:val="bottom"/>
            <w:shd w:val="clear" w:color="auto" w:fill="CFF0FC"/>
          </w:tcPr>
          <w:p>
            <w:pPr>
              <w:spacing w:after="0"/>
              <w:rPr>
                <w:sz w:val="19"/>
                <w:szCs w:val="19"/>
                <w:color w:val="auto"/>
              </w:rPr>
            </w:pPr>
          </w:p>
        </w:tc>
        <w:tc>
          <w:tcPr>
            <w:tcW w:w="10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1,043.4</w:t>
            </w:r>
          </w:p>
        </w:tc>
        <w:tc>
          <w:tcPr>
            <w:tcW w:w="16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140" w:type="dxa"/>
            <w:vAlign w:val="bottom"/>
            <w:shd w:val="clear" w:color="auto" w:fill="CFF0FC"/>
          </w:tcPr>
          <w:p>
            <w:pPr>
              <w:jc w:val="right"/>
              <w:spacing w:after="0"/>
              <w:rPr>
                <w:sz w:val="20"/>
                <w:szCs w:val="20"/>
                <w:color w:val="auto"/>
              </w:rPr>
            </w:pPr>
            <w:r>
              <w:rPr>
                <w:rFonts w:ascii="Arial" w:cs="Arial" w:eastAsia="Arial" w:hAnsi="Arial"/>
                <w:sz w:val="15"/>
                <w:szCs w:val="15"/>
                <w:color w:val="auto"/>
                <w:w w:val="71"/>
              </w:rPr>
              <w:t>$</w:t>
            </w:r>
          </w:p>
        </w:tc>
        <w:tc>
          <w:tcPr>
            <w:tcW w:w="280" w:type="dxa"/>
            <w:vAlign w:val="bottom"/>
            <w:shd w:val="clear" w:color="auto" w:fill="CFF0FC"/>
          </w:tcPr>
          <w:p>
            <w:pPr>
              <w:spacing w:after="0"/>
              <w:rPr>
                <w:sz w:val="19"/>
                <w:szCs w:val="19"/>
                <w:color w:val="auto"/>
              </w:rPr>
            </w:pPr>
          </w:p>
        </w:tc>
        <w:tc>
          <w:tcPr>
            <w:tcW w:w="11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989.5</w:t>
            </w:r>
          </w:p>
        </w:tc>
        <w:tc>
          <w:tcPr>
            <w:tcW w:w="12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6600" w:type="dxa"/>
            <w:vAlign w:val="bottom"/>
          </w:tcPr>
          <w:p>
            <w:pPr>
              <w:spacing w:after="0"/>
              <w:rPr>
                <w:sz w:val="20"/>
                <w:szCs w:val="20"/>
                <w:color w:val="auto"/>
              </w:rPr>
            </w:pPr>
            <w:r>
              <w:rPr>
                <w:rFonts w:ascii="Arial" w:cs="Arial" w:eastAsia="Arial" w:hAnsi="Arial"/>
                <w:sz w:val="18"/>
                <w:szCs w:val="18"/>
                <w:color w:val="auto"/>
              </w:rPr>
              <w:t>Maintenance and term licenses</w:t>
            </w:r>
          </w:p>
        </w:tc>
        <w:tc>
          <w:tcPr>
            <w:tcW w:w="3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163.2</w:t>
            </w:r>
          </w:p>
        </w:tc>
        <w:tc>
          <w:tcPr>
            <w:tcW w:w="1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159.8</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20" w:type="dxa"/>
            <w:vAlign w:val="bottom"/>
          </w:tcPr>
          <w:p>
            <w:pPr>
              <w:spacing w:after="0"/>
              <w:rPr>
                <w:sz w:val="19"/>
                <w:szCs w:val="19"/>
                <w:color w:val="auto"/>
              </w:rPr>
            </w:pPr>
          </w:p>
        </w:tc>
        <w:tc>
          <w:tcPr>
            <w:tcW w:w="6600" w:type="dxa"/>
            <w:vAlign w:val="bottom"/>
            <w:shd w:val="clear" w:color="auto" w:fill="CFF0FC"/>
          </w:tcPr>
          <w:p>
            <w:pPr>
              <w:spacing w:after="0"/>
              <w:rPr>
                <w:sz w:val="20"/>
                <w:szCs w:val="20"/>
                <w:color w:val="auto"/>
              </w:rPr>
            </w:pPr>
            <w:r>
              <w:rPr>
                <w:rFonts w:ascii="Arial" w:cs="Arial" w:eastAsia="Arial" w:hAnsi="Arial"/>
                <w:sz w:val="18"/>
                <w:szCs w:val="18"/>
                <w:color w:val="auto"/>
              </w:rPr>
              <w:t>Professional services</w:t>
            </w:r>
          </w:p>
        </w:tc>
        <w:tc>
          <w:tcPr>
            <w:tcW w:w="32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10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23.5</w:t>
            </w:r>
          </w:p>
        </w:tc>
        <w:tc>
          <w:tcPr>
            <w:tcW w:w="16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280" w:type="dxa"/>
            <w:vAlign w:val="bottom"/>
            <w:shd w:val="clear" w:color="auto" w:fill="CFF0FC"/>
          </w:tcPr>
          <w:p>
            <w:pPr>
              <w:spacing w:after="0"/>
              <w:rPr>
                <w:sz w:val="19"/>
                <w:szCs w:val="19"/>
                <w:color w:val="auto"/>
              </w:rPr>
            </w:pPr>
          </w:p>
        </w:tc>
        <w:tc>
          <w:tcPr>
            <w:tcW w:w="11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20.0</w:t>
            </w:r>
          </w:p>
        </w:tc>
        <w:tc>
          <w:tcPr>
            <w:tcW w:w="12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20" w:type="dxa"/>
            <w:vAlign w:val="bottom"/>
          </w:tcPr>
          <w:p>
            <w:pPr>
              <w:spacing w:after="0"/>
              <w:rPr>
                <w:sz w:val="19"/>
                <w:szCs w:val="19"/>
                <w:color w:val="auto"/>
              </w:rPr>
            </w:pPr>
          </w:p>
        </w:tc>
        <w:tc>
          <w:tcPr>
            <w:tcW w:w="6600" w:type="dxa"/>
            <w:vAlign w:val="bottom"/>
            <w:tcBorders>
              <w:bottom w:val="single" w:sz="8" w:color="CFF0FC"/>
            </w:tcBorders>
          </w:tcPr>
          <w:p>
            <w:pPr>
              <w:spacing w:after="0"/>
              <w:rPr>
                <w:sz w:val="20"/>
                <w:szCs w:val="20"/>
                <w:color w:val="auto"/>
              </w:rPr>
            </w:pPr>
            <w:r>
              <w:rPr>
                <w:rFonts w:ascii="Arial" w:cs="Arial" w:eastAsia="Arial" w:hAnsi="Arial"/>
                <w:sz w:val="18"/>
                <w:szCs w:val="18"/>
                <w:color w:val="auto"/>
              </w:rPr>
              <w:t>Perpetual licenses</w:t>
            </w:r>
          </w:p>
        </w:tc>
        <w:tc>
          <w:tcPr>
            <w:tcW w:w="320" w:type="dxa"/>
            <w:vAlign w:val="bottom"/>
            <w:tcBorders>
              <w:bottom w:val="single" w:sz="8" w:color="auto"/>
            </w:tcBorders>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3.3</w:t>
            </w:r>
          </w:p>
        </w:tc>
        <w:tc>
          <w:tcPr>
            <w:tcW w:w="160" w:type="dxa"/>
            <w:vAlign w:val="bottom"/>
            <w:tcBorders>
              <w:bottom w:val="single" w:sz="8" w:color="CFF0FC"/>
            </w:tcBorders>
          </w:tcPr>
          <w:p>
            <w:pPr>
              <w:spacing w:after="0"/>
              <w:rPr>
                <w:sz w:val="19"/>
                <w:szCs w:val="19"/>
                <w:color w:val="auto"/>
              </w:rPr>
            </w:pPr>
          </w:p>
        </w:tc>
        <w:tc>
          <w:tcPr>
            <w:tcW w:w="120" w:type="dxa"/>
            <w:vAlign w:val="bottom"/>
            <w:tcBorders>
              <w:bottom w:val="single" w:sz="8" w:color="CFF0FC"/>
            </w:tcBorders>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280" w:type="dxa"/>
            <w:vAlign w:val="bottom"/>
            <w:tcBorders>
              <w:bottom w:val="single" w:sz="8" w:color="auto"/>
            </w:tcBorders>
          </w:tcPr>
          <w:p>
            <w:pPr>
              <w:spacing w:after="0"/>
              <w:rPr>
                <w:sz w:val="19"/>
                <w:szCs w:val="19"/>
                <w:color w:val="auto"/>
              </w:rPr>
            </w:pPr>
          </w:p>
        </w:tc>
        <w:tc>
          <w:tcPr>
            <w:tcW w:w="11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4.3</w:t>
            </w:r>
          </w:p>
        </w:tc>
        <w:tc>
          <w:tcPr>
            <w:tcW w:w="120" w:type="dxa"/>
            <w:vAlign w:val="bottom"/>
            <w:tcBorders>
              <w:bottom w:val="single" w:sz="8" w:color="CFF0FC"/>
            </w:tcBorders>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6600" w:type="dxa"/>
            <w:vAlign w:val="bottom"/>
            <w:tcBorders>
              <w:bottom w:val="single" w:sz="8" w:color="CFF0FC"/>
            </w:tcBorders>
            <w:shd w:val="clear" w:color="auto" w:fill="CFF0FC"/>
          </w:tcPr>
          <w:p>
            <w:pPr>
              <w:ind w:left="120"/>
              <w:spacing w:after="0"/>
              <w:rPr>
                <w:sz w:val="20"/>
                <w:szCs w:val="20"/>
                <w:color w:val="auto"/>
              </w:rPr>
            </w:pPr>
            <w:r>
              <w:rPr>
                <w:rFonts w:ascii="Arial" w:cs="Arial" w:eastAsia="Arial" w:hAnsi="Arial"/>
                <w:sz w:val="18"/>
                <w:szCs w:val="18"/>
                <w:color w:val="auto"/>
              </w:rPr>
              <w:t>Total</w:t>
            </w:r>
          </w:p>
        </w:tc>
        <w:tc>
          <w:tcPr>
            <w:tcW w:w="320" w:type="dxa"/>
            <w:vAlign w:val="bottom"/>
            <w:tcBorders>
              <w:bottom w:val="single" w:sz="8" w:color="auto"/>
            </w:tcBorders>
            <w:shd w:val="clear" w:color="auto" w:fill="CFF0FC"/>
          </w:tcPr>
          <w:p>
            <w:pPr>
              <w:jc w:val="right"/>
              <w:ind w:right="130"/>
              <w:spacing w:after="0"/>
              <w:rPr>
                <w:sz w:val="20"/>
                <w:szCs w:val="20"/>
                <w:color w:val="auto"/>
              </w:rPr>
            </w:pPr>
            <w:r>
              <w:rPr>
                <w:rFonts w:ascii="Arial" w:cs="Arial" w:eastAsia="Arial" w:hAnsi="Arial"/>
                <w:sz w:val="18"/>
                <w:szCs w:val="18"/>
                <w:color w:val="auto"/>
                <w:w w:val="79"/>
              </w:rPr>
              <w:t>$</w:t>
            </w:r>
          </w:p>
        </w:tc>
        <w:tc>
          <w:tcPr>
            <w:tcW w:w="200" w:type="dxa"/>
            <w:vAlign w:val="bottom"/>
            <w:tcBorders>
              <w:bottom w:val="single" w:sz="8" w:color="auto"/>
            </w:tcBorders>
            <w:shd w:val="clear" w:color="auto" w:fill="CFF0FC"/>
          </w:tcPr>
          <w:p>
            <w:pPr>
              <w:spacing w:after="0"/>
              <w:rPr>
                <w:sz w:val="19"/>
                <w:szCs w:val="19"/>
                <w:color w:val="auto"/>
              </w:rPr>
            </w:pPr>
          </w:p>
        </w:tc>
        <w:tc>
          <w:tcPr>
            <w:tcW w:w="10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1,233.4</w:t>
            </w:r>
          </w:p>
        </w:tc>
        <w:tc>
          <w:tcPr>
            <w:tcW w:w="160" w:type="dxa"/>
            <w:vAlign w:val="bottom"/>
            <w:tcBorders>
              <w:bottom w:val="single" w:sz="8" w:color="CFF0FC"/>
            </w:tcBorders>
            <w:shd w:val="clear" w:color="auto" w:fill="CFF0FC"/>
          </w:tcPr>
          <w:p>
            <w:pPr>
              <w:spacing w:after="0"/>
              <w:rPr>
                <w:sz w:val="19"/>
                <w:szCs w:val="19"/>
                <w:color w:val="auto"/>
              </w:rPr>
            </w:pPr>
          </w:p>
        </w:tc>
        <w:tc>
          <w:tcPr>
            <w:tcW w:w="120" w:type="dxa"/>
            <w:vAlign w:val="bottom"/>
            <w:tcBorders>
              <w:bottom w:val="single" w:sz="8" w:color="CFF0FC"/>
            </w:tcBorders>
            <w:shd w:val="clear" w:color="auto" w:fill="CFF0FC"/>
          </w:tcPr>
          <w:p>
            <w:pPr>
              <w:spacing w:after="0"/>
              <w:rPr>
                <w:sz w:val="19"/>
                <w:szCs w:val="19"/>
                <w:color w:val="auto"/>
              </w:rPr>
            </w:pPr>
          </w:p>
        </w:tc>
        <w:tc>
          <w:tcPr>
            <w:tcW w:w="1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5"/>
                <w:szCs w:val="15"/>
                <w:color w:val="auto"/>
                <w:w w:val="71"/>
              </w:rPr>
              <w:t>$</w:t>
            </w:r>
          </w:p>
        </w:tc>
        <w:tc>
          <w:tcPr>
            <w:tcW w:w="280" w:type="dxa"/>
            <w:vAlign w:val="bottom"/>
            <w:tcBorders>
              <w:bottom w:val="single" w:sz="8" w:color="auto"/>
            </w:tcBorders>
            <w:shd w:val="clear" w:color="auto" w:fill="CFF0FC"/>
          </w:tcPr>
          <w:p>
            <w:pPr>
              <w:spacing w:after="0"/>
              <w:rPr>
                <w:sz w:val="19"/>
                <w:szCs w:val="19"/>
                <w:color w:val="auto"/>
              </w:rPr>
            </w:pPr>
          </w:p>
        </w:tc>
        <w:tc>
          <w:tcPr>
            <w:tcW w:w="11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1,173.6</w:t>
            </w:r>
          </w:p>
        </w:tc>
        <w:tc>
          <w:tcPr>
            <w:tcW w:w="120" w:type="dxa"/>
            <w:vAlign w:val="bottom"/>
            <w:tcBorders>
              <w:bottom w:val="single" w:sz="8" w:color="CFF0FC"/>
            </w:tcBorders>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660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9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10—Stock Based Compensation</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S</w:t>
      </w:r>
      <w:r>
        <w:rPr>
          <w:rFonts w:ascii="Arial" w:cs="Arial" w:eastAsia="Arial" w:hAnsi="Arial"/>
          <w:sz w:val="18"/>
          <w:szCs w:val="18"/>
          <w:i w:val="1"/>
          <w:iCs w:val="1"/>
          <w:color w:val="auto"/>
        </w:rPr>
        <w:t>tock options, SARs and RSUs</w:t>
      </w:r>
    </w:p>
    <w:p>
      <w:pPr>
        <w:spacing w:after="0" w:line="225" w:lineRule="exact"/>
        <w:rPr>
          <w:sz w:val="20"/>
          <w:szCs w:val="20"/>
          <w:color w:val="auto"/>
        </w:rPr>
      </w:pPr>
    </w:p>
    <w:p>
      <w:pPr>
        <w:ind w:right="100" w:firstLine="510"/>
        <w:spacing w:after="0" w:line="277" w:lineRule="auto"/>
        <w:rPr>
          <w:sz w:val="20"/>
          <w:szCs w:val="20"/>
          <w:color w:val="auto"/>
        </w:rPr>
      </w:pPr>
      <w:r>
        <w:rPr>
          <w:rFonts w:ascii="Arial" w:cs="Arial" w:eastAsia="Arial" w:hAnsi="Arial"/>
          <w:sz w:val="18"/>
          <w:szCs w:val="18"/>
          <w:color w:val="auto"/>
        </w:rPr>
        <w:t>The amount of stock-based compensation expense recognized in our Condensed Consolidated Statements of Comprehensive Income for the three months ended March 31, 2021 and 2020 was as follows (in millions):</w:t>
      </w:r>
    </w:p>
    <w:p>
      <w:pPr>
        <w:spacing w:after="0" w:line="256" w:lineRule="exact"/>
        <w:rPr>
          <w:sz w:val="20"/>
          <w:szCs w:val="20"/>
          <w:color w:val="auto"/>
        </w:rPr>
      </w:pPr>
    </w:p>
    <w:tbl>
      <w:tblPr>
        <w:tblLayout w:type="fixed"/>
        <w:tblInd w:w="580" w:type="dxa"/>
        <w:tblCellMar>
          <w:top w:w="0" w:type="dxa"/>
          <w:left w:w="0" w:type="dxa"/>
          <w:bottom w:w="0" w:type="dxa"/>
          <w:right w:w="0" w:type="dxa"/>
        </w:tblCellMar>
      </w:tblPr>
      <w:tr>
        <w:trPr>
          <w:trHeight w:val="171"/>
        </w:trPr>
        <w:tc>
          <w:tcPr>
            <w:tcW w:w="5240" w:type="dxa"/>
            <w:vAlign w:val="bottom"/>
            <w:vMerge w:val="restart"/>
          </w:tcPr>
          <w:p>
            <w:pPr>
              <w:spacing w:after="0"/>
              <w:rPr>
                <w:sz w:val="20"/>
                <w:szCs w:val="20"/>
                <w:color w:val="auto"/>
              </w:rPr>
            </w:pPr>
            <w:r>
              <w:rPr>
                <w:rFonts w:ascii="Arial" w:cs="Arial" w:eastAsia="Arial" w:hAnsi="Arial"/>
                <w:sz w:val="14"/>
                <w:szCs w:val="14"/>
                <w:b w:val="1"/>
                <w:bCs w:val="1"/>
                <w:color w:val="auto"/>
                <w:w w:val="91"/>
              </w:rPr>
              <w:t>Condensed Consolidated Statements of Comprehensive Income (Loss) Classification</w:t>
            </w:r>
          </w:p>
        </w:tc>
        <w:tc>
          <w:tcPr>
            <w:tcW w:w="200" w:type="dxa"/>
            <w:vAlign w:val="bottom"/>
            <w:vMerge w:val="restart"/>
          </w:tcPr>
          <w:p>
            <w:pPr>
              <w:spacing w:after="0"/>
              <w:rPr>
                <w:sz w:val="14"/>
                <w:szCs w:val="14"/>
                <w:color w:val="auto"/>
              </w:rPr>
            </w:pPr>
          </w:p>
        </w:tc>
        <w:tc>
          <w:tcPr>
            <w:tcW w:w="500" w:type="dxa"/>
            <w:vAlign w:val="bottom"/>
            <w:tcBorders>
              <w:bottom w:val="single" w:sz="8" w:color="auto"/>
            </w:tcBorders>
          </w:tcPr>
          <w:p>
            <w:pPr>
              <w:spacing w:after="0"/>
              <w:rPr>
                <w:sz w:val="14"/>
                <w:szCs w:val="14"/>
                <w:color w:val="auto"/>
              </w:rPr>
            </w:pPr>
          </w:p>
        </w:tc>
        <w:tc>
          <w:tcPr>
            <w:tcW w:w="2800" w:type="dxa"/>
            <w:vAlign w:val="bottom"/>
            <w:tcBorders>
              <w:bottom w:val="single" w:sz="8" w:color="auto"/>
            </w:tcBorders>
            <w:gridSpan w:val="3"/>
          </w:tcPr>
          <w:p>
            <w:pPr>
              <w:jc w:val="right"/>
              <w:spacing w:after="0"/>
              <w:rPr>
                <w:sz w:val="20"/>
                <w:szCs w:val="20"/>
                <w:color w:val="auto"/>
              </w:rPr>
            </w:pPr>
            <w:r>
              <w:rPr>
                <w:rFonts w:ascii="Arial" w:cs="Arial" w:eastAsia="Arial" w:hAnsi="Arial"/>
                <w:sz w:val="14"/>
                <w:szCs w:val="14"/>
                <w:b w:val="1"/>
                <w:bCs w:val="1"/>
                <w:color w:val="auto"/>
              </w:rPr>
              <w:t>Three Months Ended March 31,</w:t>
            </w:r>
          </w:p>
        </w:tc>
        <w:tc>
          <w:tcPr>
            <w:tcW w:w="1260" w:type="dxa"/>
            <w:vAlign w:val="bottom"/>
            <w:tcBorders>
              <w:bottom w:val="single" w:sz="8" w:color="auto"/>
            </w:tcBorders>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55"/>
        </w:trPr>
        <w:tc>
          <w:tcPr>
            <w:tcW w:w="5240" w:type="dxa"/>
            <w:vAlign w:val="bottom"/>
            <w:tcBorders>
              <w:bottom w:val="single" w:sz="8" w:color="auto"/>
            </w:tcBorders>
            <w:vMerge w:val="continue"/>
          </w:tcPr>
          <w:p>
            <w:pPr>
              <w:spacing w:after="0"/>
              <w:rPr>
                <w:sz w:val="13"/>
                <w:szCs w:val="13"/>
                <w:color w:val="auto"/>
              </w:rPr>
            </w:pPr>
          </w:p>
        </w:tc>
        <w:tc>
          <w:tcPr>
            <w:tcW w:w="200" w:type="dxa"/>
            <w:vAlign w:val="bottom"/>
            <w:tcBorders>
              <w:bottom w:val="single" w:sz="8" w:color="CFF0FC"/>
            </w:tcBorders>
            <w:vMerge w:val="continue"/>
          </w:tcPr>
          <w:p>
            <w:pPr>
              <w:spacing w:after="0"/>
              <w:rPr>
                <w:sz w:val="13"/>
                <w:szCs w:val="13"/>
                <w:color w:val="auto"/>
              </w:rPr>
            </w:pPr>
          </w:p>
        </w:tc>
        <w:tc>
          <w:tcPr>
            <w:tcW w:w="500" w:type="dxa"/>
            <w:vAlign w:val="bottom"/>
            <w:tcBorders>
              <w:bottom w:val="single" w:sz="8" w:color="auto"/>
            </w:tcBorders>
          </w:tcPr>
          <w:p>
            <w:pPr>
              <w:spacing w:after="0"/>
              <w:rPr>
                <w:sz w:val="13"/>
                <w:szCs w:val="13"/>
                <w:color w:val="auto"/>
              </w:rPr>
            </w:pPr>
          </w:p>
        </w:tc>
        <w:tc>
          <w:tcPr>
            <w:tcW w:w="1580" w:type="dxa"/>
            <w:vAlign w:val="bottom"/>
            <w:tcBorders>
              <w:bottom w:val="single" w:sz="8" w:color="auto"/>
            </w:tcBorders>
          </w:tcPr>
          <w:p>
            <w:pPr>
              <w:jc w:val="right"/>
              <w:ind w:right="821"/>
              <w:spacing w:after="0" w:line="155" w:lineRule="exact"/>
              <w:rPr>
                <w:sz w:val="20"/>
                <w:szCs w:val="20"/>
                <w:color w:val="auto"/>
              </w:rPr>
            </w:pPr>
            <w:r>
              <w:rPr>
                <w:rFonts w:ascii="Arial" w:cs="Arial" w:eastAsia="Arial" w:hAnsi="Arial"/>
                <w:sz w:val="14"/>
                <w:szCs w:val="14"/>
                <w:b w:val="1"/>
                <w:bCs w:val="1"/>
                <w:color w:val="auto"/>
              </w:rPr>
              <w:t>2021</w:t>
            </w:r>
          </w:p>
        </w:tc>
        <w:tc>
          <w:tcPr>
            <w:tcW w:w="300" w:type="dxa"/>
            <w:vAlign w:val="bottom"/>
            <w:tcBorders>
              <w:bottom w:val="single" w:sz="8" w:color="CFF0FC"/>
            </w:tcBorders>
          </w:tcPr>
          <w:p>
            <w:pPr>
              <w:spacing w:after="0"/>
              <w:rPr>
                <w:sz w:val="13"/>
                <w:szCs w:val="13"/>
                <w:color w:val="auto"/>
              </w:rPr>
            </w:pPr>
          </w:p>
        </w:tc>
        <w:tc>
          <w:tcPr>
            <w:tcW w:w="920" w:type="dxa"/>
            <w:vAlign w:val="bottom"/>
            <w:tcBorders>
              <w:bottom w:val="single" w:sz="8" w:color="auto"/>
            </w:tcBorders>
          </w:tcPr>
          <w:p>
            <w:pPr>
              <w:spacing w:after="0"/>
              <w:rPr>
                <w:sz w:val="13"/>
                <w:szCs w:val="13"/>
                <w:color w:val="auto"/>
              </w:rPr>
            </w:pPr>
          </w:p>
        </w:tc>
        <w:tc>
          <w:tcPr>
            <w:tcW w:w="1260" w:type="dxa"/>
            <w:vAlign w:val="bottom"/>
            <w:tcBorders>
              <w:bottom w:val="single" w:sz="8" w:color="auto"/>
            </w:tcBorders>
          </w:tcPr>
          <w:p>
            <w:pPr>
              <w:jc w:val="right"/>
              <w:ind w:right="880"/>
              <w:spacing w:after="0" w:line="155" w:lineRule="exact"/>
              <w:rPr>
                <w:sz w:val="20"/>
                <w:szCs w:val="20"/>
                <w:color w:val="auto"/>
              </w:rPr>
            </w:pPr>
            <w:r>
              <w:rPr>
                <w:rFonts w:ascii="Arial" w:cs="Arial" w:eastAsia="Arial" w:hAnsi="Arial"/>
                <w:sz w:val="14"/>
                <w:szCs w:val="14"/>
                <w:b w:val="1"/>
                <w:bCs w:val="1"/>
                <w:color w:val="auto"/>
                <w:w w:val="89"/>
              </w:rPr>
              <w:t>2020</w:t>
            </w:r>
          </w:p>
        </w:tc>
        <w:tc>
          <w:tcPr>
            <w:tcW w:w="100" w:type="dxa"/>
            <w:vAlign w:val="bottom"/>
            <w:tcBorders>
              <w:bottom w:val="single" w:sz="8" w:color="CFF0FC"/>
            </w:tcBorders>
          </w:tcPr>
          <w:p>
            <w:pPr>
              <w:spacing w:after="0"/>
              <w:rPr>
                <w:sz w:val="13"/>
                <w:szCs w:val="13"/>
                <w:color w:val="auto"/>
              </w:rPr>
            </w:pPr>
          </w:p>
        </w:tc>
        <w:tc>
          <w:tcPr>
            <w:tcW w:w="0" w:type="dxa"/>
            <w:vAlign w:val="bottom"/>
          </w:tcPr>
          <w:p>
            <w:pPr>
              <w:spacing w:after="0"/>
              <w:rPr>
                <w:sz w:val="1"/>
                <w:szCs w:val="1"/>
                <w:color w:val="auto"/>
              </w:rPr>
            </w:pPr>
          </w:p>
        </w:tc>
      </w:tr>
      <w:tr>
        <w:trPr>
          <w:trHeight w:val="210"/>
        </w:trPr>
        <w:tc>
          <w:tcPr>
            <w:tcW w:w="5440" w:type="dxa"/>
            <w:vAlign w:val="bottom"/>
            <w:gridSpan w:val="2"/>
            <w:shd w:val="clear" w:color="auto" w:fill="CFF0FC"/>
          </w:tcPr>
          <w:p>
            <w:pPr>
              <w:spacing w:after="0"/>
              <w:rPr>
                <w:sz w:val="20"/>
                <w:szCs w:val="20"/>
                <w:color w:val="auto"/>
              </w:rPr>
            </w:pPr>
            <w:r>
              <w:rPr>
                <w:rFonts w:ascii="Arial" w:cs="Arial" w:eastAsia="Arial" w:hAnsi="Arial"/>
                <w:sz w:val="16"/>
                <w:szCs w:val="16"/>
                <w:color w:val="auto"/>
              </w:rPr>
              <w:t>Cost of software-enabled services</w:t>
            </w:r>
          </w:p>
        </w:tc>
        <w:tc>
          <w:tcPr>
            <w:tcW w:w="500" w:type="dxa"/>
            <w:vAlign w:val="bottom"/>
            <w:shd w:val="clear" w:color="auto" w:fill="CFF0FC"/>
          </w:tcPr>
          <w:p>
            <w:pPr>
              <w:jc w:val="right"/>
              <w:ind w:right="319"/>
              <w:spacing w:after="0"/>
              <w:rPr>
                <w:sz w:val="20"/>
                <w:szCs w:val="20"/>
                <w:color w:val="auto"/>
              </w:rPr>
            </w:pPr>
            <w:r>
              <w:rPr>
                <w:rFonts w:ascii="Arial" w:cs="Arial" w:eastAsia="Arial" w:hAnsi="Arial"/>
                <w:sz w:val="16"/>
                <w:szCs w:val="16"/>
                <w:color w:val="auto"/>
                <w:w w:val="89"/>
              </w:rPr>
              <w:t>$</w:t>
            </w:r>
          </w:p>
        </w:tc>
        <w:tc>
          <w:tcPr>
            <w:tcW w:w="1580" w:type="dxa"/>
            <w:vAlign w:val="bottom"/>
            <w:shd w:val="clear" w:color="auto" w:fill="CFF0FC"/>
          </w:tcPr>
          <w:p>
            <w:pPr>
              <w:jc w:val="right"/>
              <w:spacing w:after="0"/>
              <w:rPr>
                <w:sz w:val="20"/>
                <w:szCs w:val="20"/>
                <w:color w:val="auto"/>
              </w:rPr>
            </w:pPr>
            <w:r>
              <w:rPr>
                <w:rFonts w:ascii="Arial" w:cs="Arial" w:eastAsia="Arial" w:hAnsi="Arial"/>
                <w:sz w:val="16"/>
                <w:szCs w:val="16"/>
                <w:color w:val="auto"/>
              </w:rPr>
              <w:t>11.0</w:t>
            </w:r>
          </w:p>
        </w:tc>
        <w:tc>
          <w:tcPr>
            <w:tcW w:w="300" w:type="dxa"/>
            <w:vAlign w:val="bottom"/>
            <w:shd w:val="clear" w:color="auto" w:fill="CFF0FC"/>
          </w:tcPr>
          <w:p>
            <w:pPr>
              <w:spacing w:after="0"/>
              <w:rPr>
                <w:sz w:val="18"/>
                <w:szCs w:val="18"/>
                <w:color w:val="auto"/>
              </w:rPr>
            </w:pPr>
          </w:p>
        </w:tc>
        <w:tc>
          <w:tcPr>
            <w:tcW w:w="920" w:type="dxa"/>
            <w:vAlign w:val="bottom"/>
            <w:shd w:val="clear" w:color="auto" w:fill="CFF0FC"/>
          </w:tcPr>
          <w:p>
            <w:pPr>
              <w:jc w:val="right"/>
              <w:ind w:right="764"/>
              <w:spacing w:after="0"/>
              <w:rPr>
                <w:sz w:val="20"/>
                <w:szCs w:val="20"/>
                <w:color w:val="auto"/>
              </w:rPr>
            </w:pPr>
            <w:r>
              <w:rPr>
                <w:rFonts w:ascii="Arial" w:cs="Arial" w:eastAsia="Arial" w:hAnsi="Arial"/>
                <w:sz w:val="15"/>
                <w:szCs w:val="15"/>
                <w:color w:val="auto"/>
                <w:w w:val="71"/>
              </w:rPr>
              <w:t>$</w:t>
            </w:r>
          </w:p>
        </w:tc>
        <w:tc>
          <w:tcPr>
            <w:tcW w:w="1260" w:type="dxa"/>
            <w:vAlign w:val="bottom"/>
            <w:shd w:val="clear" w:color="auto" w:fill="CFF0FC"/>
          </w:tcPr>
          <w:p>
            <w:pPr>
              <w:jc w:val="right"/>
              <w:spacing w:after="0"/>
              <w:rPr>
                <w:sz w:val="20"/>
                <w:szCs w:val="20"/>
                <w:color w:val="auto"/>
              </w:rPr>
            </w:pPr>
            <w:r>
              <w:rPr>
                <w:rFonts w:ascii="Arial" w:cs="Arial" w:eastAsia="Arial" w:hAnsi="Arial"/>
                <w:sz w:val="16"/>
                <w:szCs w:val="16"/>
                <w:color w:val="auto"/>
              </w:rPr>
              <w:t>9.1</w:t>
            </w:r>
          </w:p>
        </w:tc>
        <w:tc>
          <w:tcPr>
            <w:tcW w:w="10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3"/>
        </w:trPr>
        <w:tc>
          <w:tcPr>
            <w:tcW w:w="5440" w:type="dxa"/>
            <w:vAlign w:val="bottom"/>
            <w:tcBorders>
              <w:bottom w:val="single" w:sz="8" w:color="CFF0FC"/>
            </w:tcBorders>
            <w:gridSpan w:val="2"/>
          </w:tcPr>
          <w:p>
            <w:pPr>
              <w:spacing w:after="0"/>
              <w:rPr>
                <w:sz w:val="20"/>
                <w:szCs w:val="20"/>
                <w:color w:val="auto"/>
              </w:rPr>
            </w:pPr>
            <w:r>
              <w:rPr>
                <w:rFonts w:ascii="Arial" w:cs="Arial" w:eastAsia="Arial" w:hAnsi="Arial"/>
                <w:sz w:val="16"/>
                <w:szCs w:val="16"/>
                <w:color w:val="auto"/>
              </w:rPr>
              <w:t>Cost of license, maintenance and other related</w:t>
            </w:r>
          </w:p>
        </w:tc>
        <w:tc>
          <w:tcPr>
            <w:tcW w:w="500" w:type="dxa"/>
            <w:vAlign w:val="bottom"/>
            <w:tcBorders>
              <w:bottom w:val="single" w:sz="8" w:color="auto"/>
            </w:tcBorders>
          </w:tcPr>
          <w:p>
            <w:pPr>
              <w:spacing w:after="0"/>
              <w:rPr>
                <w:sz w:val="18"/>
                <w:szCs w:val="18"/>
                <w:color w:val="auto"/>
              </w:rPr>
            </w:pPr>
          </w:p>
        </w:tc>
        <w:tc>
          <w:tcPr>
            <w:tcW w:w="15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1.7</w:t>
            </w:r>
          </w:p>
        </w:tc>
        <w:tc>
          <w:tcPr>
            <w:tcW w:w="300" w:type="dxa"/>
            <w:vAlign w:val="bottom"/>
            <w:tcBorders>
              <w:bottom w:val="single" w:sz="8" w:color="CFF0FC"/>
            </w:tcBorders>
          </w:tcPr>
          <w:p>
            <w:pPr>
              <w:spacing w:after="0"/>
              <w:rPr>
                <w:sz w:val="18"/>
                <w:szCs w:val="18"/>
                <w:color w:val="auto"/>
              </w:rPr>
            </w:pPr>
          </w:p>
        </w:tc>
        <w:tc>
          <w:tcPr>
            <w:tcW w:w="920" w:type="dxa"/>
            <w:vAlign w:val="bottom"/>
            <w:tcBorders>
              <w:bottom w:val="single" w:sz="8" w:color="auto"/>
            </w:tcBorders>
          </w:tcPr>
          <w:p>
            <w:pPr>
              <w:spacing w:after="0"/>
              <w:rPr>
                <w:sz w:val="18"/>
                <w:szCs w:val="18"/>
                <w:color w:val="auto"/>
              </w:rPr>
            </w:pPr>
          </w:p>
        </w:tc>
        <w:tc>
          <w:tcPr>
            <w:tcW w:w="12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1.3</w:t>
            </w:r>
          </w:p>
        </w:tc>
        <w:tc>
          <w:tcPr>
            <w:tcW w:w="100" w:type="dxa"/>
            <w:vAlign w:val="bottom"/>
            <w:tcBorders>
              <w:bottom w:val="single" w:sz="8" w:color="CFF0FC"/>
            </w:tcBorders>
          </w:tcPr>
          <w:p>
            <w:pPr>
              <w:spacing w:after="0"/>
              <w:rPr>
                <w:sz w:val="18"/>
                <w:szCs w:val="18"/>
                <w:color w:val="auto"/>
              </w:rPr>
            </w:pPr>
          </w:p>
        </w:tc>
        <w:tc>
          <w:tcPr>
            <w:tcW w:w="0" w:type="dxa"/>
            <w:vAlign w:val="bottom"/>
          </w:tcPr>
          <w:p>
            <w:pPr>
              <w:spacing w:after="0"/>
              <w:rPr>
                <w:sz w:val="1"/>
                <w:szCs w:val="1"/>
                <w:color w:val="auto"/>
              </w:rPr>
            </w:pPr>
          </w:p>
        </w:tc>
      </w:tr>
      <w:tr>
        <w:trPr>
          <w:trHeight w:val="213"/>
        </w:trPr>
        <w:tc>
          <w:tcPr>
            <w:tcW w:w="5440" w:type="dxa"/>
            <w:vAlign w:val="bottom"/>
            <w:gridSpan w:val="2"/>
            <w:shd w:val="clear" w:color="auto" w:fill="CFF0FC"/>
          </w:tcPr>
          <w:p>
            <w:pPr>
              <w:ind w:left="360"/>
              <w:spacing w:after="0"/>
              <w:rPr>
                <w:sz w:val="20"/>
                <w:szCs w:val="20"/>
                <w:color w:val="auto"/>
              </w:rPr>
            </w:pPr>
            <w:r>
              <w:rPr>
                <w:rFonts w:ascii="Arial" w:cs="Arial" w:eastAsia="Arial" w:hAnsi="Arial"/>
                <w:sz w:val="16"/>
                <w:szCs w:val="16"/>
                <w:color w:val="auto"/>
              </w:rPr>
              <w:t>Total cost of revenues</w:t>
            </w:r>
          </w:p>
        </w:tc>
        <w:tc>
          <w:tcPr>
            <w:tcW w:w="500" w:type="dxa"/>
            <w:vAlign w:val="bottom"/>
            <w:tcBorders>
              <w:bottom w:val="single" w:sz="8" w:color="auto"/>
            </w:tcBorders>
            <w:shd w:val="clear" w:color="auto" w:fill="CFF0FC"/>
          </w:tcPr>
          <w:p>
            <w:pPr>
              <w:spacing w:after="0"/>
              <w:rPr>
                <w:sz w:val="18"/>
                <w:szCs w:val="18"/>
                <w:color w:val="auto"/>
              </w:rPr>
            </w:pPr>
          </w:p>
        </w:tc>
        <w:tc>
          <w:tcPr>
            <w:tcW w:w="15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6"/>
                <w:szCs w:val="16"/>
                <w:color w:val="auto"/>
              </w:rPr>
              <w:t>12.7</w:t>
            </w:r>
          </w:p>
        </w:tc>
        <w:tc>
          <w:tcPr>
            <w:tcW w:w="300" w:type="dxa"/>
            <w:vAlign w:val="bottom"/>
            <w:shd w:val="clear" w:color="auto" w:fill="CFF0FC"/>
          </w:tcPr>
          <w:p>
            <w:pPr>
              <w:spacing w:after="0"/>
              <w:rPr>
                <w:sz w:val="18"/>
                <w:szCs w:val="18"/>
                <w:color w:val="auto"/>
              </w:rPr>
            </w:pPr>
          </w:p>
        </w:tc>
        <w:tc>
          <w:tcPr>
            <w:tcW w:w="920" w:type="dxa"/>
            <w:vAlign w:val="bottom"/>
            <w:tcBorders>
              <w:bottom w:val="single" w:sz="8" w:color="auto"/>
            </w:tcBorders>
            <w:shd w:val="clear" w:color="auto" w:fill="CFF0FC"/>
          </w:tcPr>
          <w:p>
            <w:pPr>
              <w:spacing w:after="0"/>
              <w:rPr>
                <w:sz w:val="18"/>
                <w:szCs w:val="18"/>
                <w:color w:val="auto"/>
              </w:rPr>
            </w:pPr>
          </w:p>
        </w:tc>
        <w:tc>
          <w:tcPr>
            <w:tcW w:w="12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6"/>
                <w:szCs w:val="16"/>
                <w:color w:val="auto"/>
              </w:rPr>
              <w:t>10.4</w:t>
            </w:r>
          </w:p>
        </w:tc>
        <w:tc>
          <w:tcPr>
            <w:tcW w:w="10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07"/>
        </w:trPr>
        <w:tc>
          <w:tcPr>
            <w:tcW w:w="5440" w:type="dxa"/>
            <w:vAlign w:val="bottom"/>
            <w:gridSpan w:val="2"/>
          </w:tcPr>
          <w:p>
            <w:pPr>
              <w:spacing w:after="0"/>
              <w:rPr>
                <w:sz w:val="20"/>
                <w:szCs w:val="20"/>
                <w:color w:val="auto"/>
              </w:rPr>
            </w:pPr>
            <w:r>
              <w:rPr>
                <w:rFonts w:ascii="Arial" w:cs="Arial" w:eastAsia="Arial" w:hAnsi="Arial"/>
                <w:sz w:val="16"/>
                <w:szCs w:val="16"/>
                <w:color w:val="auto"/>
              </w:rPr>
              <w:t>Selling and marketing</w:t>
            </w:r>
          </w:p>
        </w:tc>
        <w:tc>
          <w:tcPr>
            <w:tcW w:w="500" w:type="dxa"/>
            <w:vAlign w:val="bottom"/>
          </w:tcPr>
          <w:p>
            <w:pPr>
              <w:spacing w:after="0"/>
              <w:rPr>
                <w:sz w:val="17"/>
                <w:szCs w:val="17"/>
                <w:color w:val="auto"/>
              </w:rPr>
            </w:pPr>
          </w:p>
        </w:tc>
        <w:tc>
          <w:tcPr>
            <w:tcW w:w="1580" w:type="dxa"/>
            <w:vAlign w:val="bottom"/>
          </w:tcPr>
          <w:p>
            <w:pPr>
              <w:jc w:val="right"/>
              <w:spacing w:after="0"/>
              <w:rPr>
                <w:sz w:val="20"/>
                <w:szCs w:val="20"/>
                <w:color w:val="auto"/>
              </w:rPr>
            </w:pPr>
            <w:r>
              <w:rPr>
                <w:rFonts w:ascii="Arial" w:cs="Arial" w:eastAsia="Arial" w:hAnsi="Arial"/>
                <w:sz w:val="16"/>
                <w:szCs w:val="16"/>
                <w:color w:val="auto"/>
              </w:rPr>
              <w:t>4.6</w:t>
            </w:r>
          </w:p>
        </w:tc>
        <w:tc>
          <w:tcPr>
            <w:tcW w:w="30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1260" w:type="dxa"/>
            <w:vAlign w:val="bottom"/>
          </w:tcPr>
          <w:p>
            <w:pPr>
              <w:jc w:val="right"/>
              <w:spacing w:after="0"/>
              <w:rPr>
                <w:sz w:val="20"/>
                <w:szCs w:val="20"/>
                <w:color w:val="auto"/>
              </w:rPr>
            </w:pPr>
            <w:r>
              <w:rPr>
                <w:rFonts w:ascii="Arial" w:cs="Arial" w:eastAsia="Arial" w:hAnsi="Arial"/>
                <w:sz w:val="16"/>
                <w:szCs w:val="16"/>
                <w:color w:val="auto"/>
              </w:rPr>
              <w:t>3.5</w:t>
            </w: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9"/>
        </w:trPr>
        <w:tc>
          <w:tcPr>
            <w:tcW w:w="5440" w:type="dxa"/>
            <w:vAlign w:val="bottom"/>
            <w:gridSpan w:val="2"/>
            <w:shd w:val="clear" w:color="auto" w:fill="CFF0FC"/>
          </w:tcPr>
          <w:p>
            <w:pPr>
              <w:spacing w:after="0"/>
              <w:rPr>
                <w:sz w:val="20"/>
                <w:szCs w:val="20"/>
                <w:color w:val="auto"/>
              </w:rPr>
            </w:pPr>
            <w:r>
              <w:rPr>
                <w:rFonts w:ascii="Arial" w:cs="Arial" w:eastAsia="Arial" w:hAnsi="Arial"/>
                <w:sz w:val="16"/>
                <w:szCs w:val="16"/>
                <w:color w:val="auto"/>
              </w:rPr>
              <w:t>Research and development</w:t>
            </w:r>
          </w:p>
        </w:tc>
        <w:tc>
          <w:tcPr>
            <w:tcW w:w="500" w:type="dxa"/>
            <w:vAlign w:val="bottom"/>
            <w:shd w:val="clear" w:color="auto" w:fill="CFF0FC"/>
          </w:tcPr>
          <w:p>
            <w:pPr>
              <w:spacing w:after="0"/>
              <w:rPr>
                <w:sz w:val="19"/>
                <w:szCs w:val="19"/>
                <w:color w:val="auto"/>
              </w:rPr>
            </w:pPr>
          </w:p>
        </w:tc>
        <w:tc>
          <w:tcPr>
            <w:tcW w:w="1580" w:type="dxa"/>
            <w:vAlign w:val="bottom"/>
            <w:shd w:val="clear" w:color="auto" w:fill="CFF0FC"/>
          </w:tcPr>
          <w:p>
            <w:pPr>
              <w:jc w:val="right"/>
              <w:spacing w:after="0"/>
              <w:rPr>
                <w:sz w:val="20"/>
                <w:szCs w:val="20"/>
                <w:color w:val="auto"/>
              </w:rPr>
            </w:pPr>
            <w:r>
              <w:rPr>
                <w:rFonts w:ascii="Arial" w:cs="Arial" w:eastAsia="Arial" w:hAnsi="Arial"/>
                <w:sz w:val="16"/>
                <w:szCs w:val="16"/>
                <w:color w:val="auto"/>
              </w:rPr>
              <w:t>3.6</w:t>
            </w:r>
          </w:p>
        </w:tc>
        <w:tc>
          <w:tcPr>
            <w:tcW w:w="300" w:type="dxa"/>
            <w:vAlign w:val="bottom"/>
            <w:shd w:val="clear" w:color="auto" w:fill="CFF0FC"/>
          </w:tcPr>
          <w:p>
            <w:pPr>
              <w:spacing w:after="0"/>
              <w:rPr>
                <w:sz w:val="19"/>
                <w:szCs w:val="19"/>
                <w:color w:val="auto"/>
              </w:rPr>
            </w:pPr>
          </w:p>
        </w:tc>
        <w:tc>
          <w:tcPr>
            <w:tcW w:w="920" w:type="dxa"/>
            <w:vAlign w:val="bottom"/>
            <w:shd w:val="clear" w:color="auto" w:fill="CFF0FC"/>
          </w:tcPr>
          <w:p>
            <w:pPr>
              <w:spacing w:after="0"/>
              <w:rPr>
                <w:sz w:val="19"/>
                <w:szCs w:val="19"/>
                <w:color w:val="auto"/>
              </w:rPr>
            </w:pPr>
          </w:p>
        </w:tc>
        <w:tc>
          <w:tcPr>
            <w:tcW w:w="1260" w:type="dxa"/>
            <w:vAlign w:val="bottom"/>
            <w:shd w:val="clear" w:color="auto" w:fill="CFF0FC"/>
          </w:tcPr>
          <w:p>
            <w:pPr>
              <w:jc w:val="right"/>
              <w:spacing w:after="0"/>
              <w:rPr>
                <w:sz w:val="20"/>
                <w:szCs w:val="20"/>
                <w:color w:val="auto"/>
              </w:rPr>
            </w:pPr>
            <w:r>
              <w:rPr>
                <w:rFonts w:ascii="Arial" w:cs="Arial" w:eastAsia="Arial" w:hAnsi="Arial"/>
                <w:sz w:val="16"/>
                <w:szCs w:val="16"/>
                <w:color w:val="auto"/>
              </w:rPr>
              <w:t>2.9</w:t>
            </w: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13"/>
        </w:trPr>
        <w:tc>
          <w:tcPr>
            <w:tcW w:w="5440" w:type="dxa"/>
            <w:vAlign w:val="bottom"/>
            <w:tcBorders>
              <w:bottom w:val="single" w:sz="8" w:color="CFF0FC"/>
            </w:tcBorders>
            <w:gridSpan w:val="2"/>
          </w:tcPr>
          <w:p>
            <w:pPr>
              <w:spacing w:after="0"/>
              <w:rPr>
                <w:sz w:val="20"/>
                <w:szCs w:val="20"/>
                <w:color w:val="auto"/>
              </w:rPr>
            </w:pPr>
            <w:r>
              <w:rPr>
                <w:rFonts w:ascii="Arial" w:cs="Arial" w:eastAsia="Arial" w:hAnsi="Arial"/>
                <w:sz w:val="16"/>
                <w:szCs w:val="16"/>
                <w:color w:val="auto"/>
              </w:rPr>
              <w:t>General and administrative</w:t>
            </w:r>
          </w:p>
        </w:tc>
        <w:tc>
          <w:tcPr>
            <w:tcW w:w="500" w:type="dxa"/>
            <w:vAlign w:val="bottom"/>
            <w:tcBorders>
              <w:bottom w:val="single" w:sz="8" w:color="auto"/>
            </w:tcBorders>
          </w:tcPr>
          <w:p>
            <w:pPr>
              <w:spacing w:after="0"/>
              <w:rPr>
                <w:sz w:val="18"/>
                <w:szCs w:val="18"/>
                <w:color w:val="auto"/>
              </w:rPr>
            </w:pPr>
          </w:p>
        </w:tc>
        <w:tc>
          <w:tcPr>
            <w:tcW w:w="15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6.9</w:t>
            </w:r>
          </w:p>
        </w:tc>
        <w:tc>
          <w:tcPr>
            <w:tcW w:w="300" w:type="dxa"/>
            <w:vAlign w:val="bottom"/>
            <w:tcBorders>
              <w:bottom w:val="single" w:sz="8" w:color="CFF0FC"/>
            </w:tcBorders>
          </w:tcPr>
          <w:p>
            <w:pPr>
              <w:spacing w:after="0"/>
              <w:rPr>
                <w:sz w:val="18"/>
                <w:szCs w:val="18"/>
                <w:color w:val="auto"/>
              </w:rPr>
            </w:pPr>
          </w:p>
        </w:tc>
        <w:tc>
          <w:tcPr>
            <w:tcW w:w="920" w:type="dxa"/>
            <w:vAlign w:val="bottom"/>
            <w:tcBorders>
              <w:bottom w:val="single" w:sz="8" w:color="auto"/>
            </w:tcBorders>
          </w:tcPr>
          <w:p>
            <w:pPr>
              <w:spacing w:after="0"/>
              <w:rPr>
                <w:sz w:val="18"/>
                <w:szCs w:val="18"/>
                <w:color w:val="auto"/>
              </w:rPr>
            </w:pPr>
          </w:p>
        </w:tc>
        <w:tc>
          <w:tcPr>
            <w:tcW w:w="12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5.7</w:t>
            </w:r>
          </w:p>
        </w:tc>
        <w:tc>
          <w:tcPr>
            <w:tcW w:w="100" w:type="dxa"/>
            <w:vAlign w:val="bottom"/>
            <w:tcBorders>
              <w:bottom w:val="single" w:sz="8" w:color="CFF0FC"/>
            </w:tcBorders>
          </w:tcPr>
          <w:p>
            <w:pPr>
              <w:spacing w:after="0"/>
              <w:rPr>
                <w:sz w:val="18"/>
                <w:szCs w:val="18"/>
                <w:color w:val="auto"/>
              </w:rPr>
            </w:pPr>
          </w:p>
        </w:tc>
        <w:tc>
          <w:tcPr>
            <w:tcW w:w="0" w:type="dxa"/>
            <w:vAlign w:val="bottom"/>
          </w:tcPr>
          <w:p>
            <w:pPr>
              <w:spacing w:after="0"/>
              <w:rPr>
                <w:sz w:val="1"/>
                <w:szCs w:val="1"/>
                <w:color w:val="auto"/>
              </w:rPr>
            </w:pPr>
          </w:p>
        </w:tc>
      </w:tr>
      <w:tr>
        <w:trPr>
          <w:trHeight w:val="213"/>
        </w:trPr>
        <w:tc>
          <w:tcPr>
            <w:tcW w:w="5440" w:type="dxa"/>
            <w:vAlign w:val="bottom"/>
            <w:gridSpan w:val="2"/>
            <w:shd w:val="clear" w:color="auto" w:fill="CFF0FC"/>
          </w:tcPr>
          <w:p>
            <w:pPr>
              <w:ind w:left="360"/>
              <w:spacing w:after="0"/>
              <w:rPr>
                <w:sz w:val="20"/>
                <w:szCs w:val="20"/>
                <w:color w:val="auto"/>
              </w:rPr>
            </w:pPr>
            <w:r>
              <w:rPr>
                <w:rFonts w:ascii="Arial" w:cs="Arial" w:eastAsia="Arial" w:hAnsi="Arial"/>
                <w:sz w:val="16"/>
                <w:szCs w:val="16"/>
                <w:color w:val="auto"/>
              </w:rPr>
              <w:t>Total operating expenses</w:t>
            </w:r>
          </w:p>
        </w:tc>
        <w:tc>
          <w:tcPr>
            <w:tcW w:w="500" w:type="dxa"/>
            <w:vAlign w:val="bottom"/>
            <w:tcBorders>
              <w:bottom w:val="single" w:sz="8" w:color="auto"/>
            </w:tcBorders>
            <w:shd w:val="clear" w:color="auto" w:fill="CFF0FC"/>
          </w:tcPr>
          <w:p>
            <w:pPr>
              <w:spacing w:after="0"/>
              <w:rPr>
                <w:sz w:val="18"/>
                <w:szCs w:val="18"/>
                <w:color w:val="auto"/>
              </w:rPr>
            </w:pPr>
          </w:p>
        </w:tc>
        <w:tc>
          <w:tcPr>
            <w:tcW w:w="15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6"/>
                <w:szCs w:val="16"/>
                <w:color w:val="auto"/>
              </w:rPr>
              <w:t>15.1</w:t>
            </w:r>
          </w:p>
        </w:tc>
        <w:tc>
          <w:tcPr>
            <w:tcW w:w="300" w:type="dxa"/>
            <w:vAlign w:val="bottom"/>
            <w:shd w:val="clear" w:color="auto" w:fill="CFF0FC"/>
          </w:tcPr>
          <w:p>
            <w:pPr>
              <w:spacing w:after="0"/>
              <w:rPr>
                <w:sz w:val="18"/>
                <w:szCs w:val="18"/>
                <w:color w:val="auto"/>
              </w:rPr>
            </w:pPr>
          </w:p>
        </w:tc>
        <w:tc>
          <w:tcPr>
            <w:tcW w:w="920" w:type="dxa"/>
            <w:vAlign w:val="bottom"/>
            <w:tcBorders>
              <w:bottom w:val="single" w:sz="8" w:color="auto"/>
            </w:tcBorders>
            <w:shd w:val="clear" w:color="auto" w:fill="CFF0FC"/>
          </w:tcPr>
          <w:p>
            <w:pPr>
              <w:spacing w:after="0"/>
              <w:rPr>
                <w:sz w:val="18"/>
                <w:szCs w:val="18"/>
                <w:color w:val="auto"/>
              </w:rPr>
            </w:pPr>
          </w:p>
        </w:tc>
        <w:tc>
          <w:tcPr>
            <w:tcW w:w="12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6"/>
                <w:szCs w:val="16"/>
                <w:color w:val="auto"/>
              </w:rPr>
              <w:t>12.1</w:t>
            </w:r>
          </w:p>
        </w:tc>
        <w:tc>
          <w:tcPr>
            <w:tcW w:w="10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06"/>
        </w:trPr>
        <w:tc>
          <w:tcPr>
            <w:tcW w:w="5440" w:type="dxa"/>
            <w:vAlign w:val="bottom"/>
            <w:gridSpan w:val="2"/>
          </w:tcPr>
          <w:p>
            <w:pPr>
              <w:spacing w:after="0"/>
              <w:rPr>
                <w:sz w:val="20"/>
                <w:szCs w:val="20"/>
                <w:color w:val="auto"/>
              </w:rPr>
            </w:pPr>
            <w:r>
              <w:rPr>
                <w:rFonts w:ascii="Arial" w:cs="Arial" w:eastAsia="Arial" w:hAnsi="Arial"/>
                <w:sz w:val="16"/>
                <w:szCs w:val="16"/>
                <w:color w:val="auto"/>
              </w:rPr>
              <w:t>Total stock-based compensation expense</w:t>
            </w:r>
          </w:p>
        </w:tc>
        <w:tc>
          <w:tcPr>
            <w:tcW w:w="500" w:type="dxa"/>
            <w:vAlign w:val="bottom"/>
            <w:tcBorders>
              <w:bottom w:val="single" w:sz="8" w:color="auto"/>
            </w:tcBorders>
          </w:tcPr>
          <w:p>
            <w:pPr>
              <w:jc w:val="right"/>
              <w:ind w:right="319"/>
              <w:spacing w:after="0"/>
              <w:rPr>
                <w:sz w:val="20"/>
                <w:szCs w:val="20"/>
                <w:color w:val="auto"/>
              </w:rPr>
            </w:pPr>
            <w:r>
              <w:rPr>
                <w:rFonts w:ascii="Arial" w:cs="Arial" w:eastAsia="Arial" w:hAnsi="Arial"/>
                <w:sz w:val="16"/>
                <w:szCs w:val="16"/>
                <w:color w:val="auto"/>
                <w:w w:val="89"/>
              </w:rPr>
              <w:t>$</w:t>
            </w:r>
          </w:p>
        </w:tc>
        <w:tc>
          <w:tcPr>
            <w:tcW w:w="15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27.8</w:t>
            </w:r>
          </w:p>
        </w:tc>
        <w:tc>
          <w:tcPr>
            <w:tcW w:w="300" w:type="dxa"/>
            <w:vAlign w:val="bottom"/>
          </w:tcPr>
          <w:p>
            <w:pPr>
              <w:spacing w:after="0"/>
              <w:rPr>
                <w:sz w:val="17"/>
                <w:szCs w:val="17"/>
                <w:color w:val="auto"/>
              </w:rPr>
            </w:pPr>
          </w:p>
        </w:tc>
        <w:tc>
          <w:tcPr>
            <w:tcW w:w="920" w:type="dxa"/>
            <w:vAlign w:val="bottom"/>
            <w:tcBorders>
              <w:bottom w:val="single" w:sz="8" w:color="auto"/>
            </w:tcBorders>
          </w:tcPr>
          <w:p>
            <w:pPr>
              <w:jc w:val="right"/>
              <w:ind w:right="764"/>
              <w:spacing w:after="0"/>
              <w:rPr>
                <w:sz w:val="20"/>
                <w:szCs w:val="20"/>
                <w:color w:val="auto"/>
              </w:rPr>
            </w:pPr>
            <w:r>
              <w:rPr>
                <w:rFonts w:ascii="Arial" w:cs="Arial" w:eastAsia="Arial" w:hAnsi="Arial"/>
                <w:sz w:val="15"/>
                <w:szCs w:val="15"/>
                <w:color w:val="auto"/>
                <w:w w:val="71"/>
              </w:rPr>
              <w:t>$</w:t>
            </w:r>
          </w:p>
        </w:tc>
        <w:tc>
          <w:tcPr>
            <w:tcW w:w="12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22.5</w:t>
            </w: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52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1580" w:type="dxa"/>
            <w:vAlign w:val="bottom"/>
            <w:tcBorders>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7" w:lineRule="exact"/>
        <w:rPr>
          <w:sz w:val="20"/>
          <w:szCs w:val="20"/>
          <w:color w:val="auto"/>
        </w:rPr>
      </w:pPr>
    </w:p>
    <w:p>
      <w:pPr>
        <w:jc w:val="center"/>
        <w:ind w:right="-159"/>
        <w:spacing w:after="0"/>
        <w:rPr>
          <w:sz w:val="20"/>
          <w:szCs w:val="20"/>
          <w:color w:val="auto"/>
        </w:rPr>
      </w:pPr>
      <w:r>
        <w:rPr>
          <w:rFonts w:ascii="Arial" w:cs="Arial" w:eastAsia="Arial" w:hAnsi="Arial"/>
          <w:sz w:val="18"/>
          <w:szCs w:val="18"/>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100"/>
          </w:cols>
          <w:pgMar w:left="320" w:top="341" w:right="479" w:bottom="1440" w:gutter="0" w:footer="0" w:header="0"/>
        </w:sectPr>
      </w:pPr>
    </w:p>
    <w:bookmarkStart w:id="13" w:name="page14"/>
    <w:bookmarkEnd w:id="13"/>
    <w:p>
      <w:pPr>
        <w:ind w:right="120" w:firstLine="568"/>
        <w:spacing w:after="0" w:line="277" w:lineRule="auto"/>
        <w:rPr>
          <w:sz w:val="20"/>
          <w:szCs w:val="20"/>
          <w:color w:val="auto"/>
        </w:rPr>
      </w:pPr>
      <w:r>
        <w:rPr>
          <w:rFonts w:ascii="Arial" w:cs="Arial" w:eastAsia="Arial" w:hAnsi="Arial"/>
          <w:sz w:val="18"/>
          <w:szCs w:val="18"/>
          <w:color w:val="auto"/>
        </w:rPr>
        <w:t>The following table summarizes stock option and stock appreciation rights (“SARs”) activity as well as restricted stock unit (“RSUs”) activity for the three months ended March 31, 2021 (shares in millions):</w:t>
      </w:r>
    </w:p>
    <w:p>
      <w:pPr>
        <w:spacing w:after="0" w:line="163" w:lineRule="exact"/>
        <w:rPr>
          <w:sz w:val="20"/>
          <w:szCs w:val="20"/>
          <w:color w:val="auto"/>
        </w:rPr>
      </w:pPr>
    </w:p>
    <w:tbl>
      <w:tblPr>
        <w:tblLayout w:type="fixed"/>
        <w:tblInd w:w="1700" w:type="dxa"/>
        <w:tblCellMar>
          <w:top w:w="0" w:type="dxa"/>
          <w:left w:w="0" w:type="dxa"/>
          <w:bottom w:w="0" w:type="dxa"/>
          <w:right w:w="0" w:type="dxa"/>
        </w:tblCellMar>
      </w:tblPr>
      <w:tr>
        <w:trPr>
          <w:trHeight w:val="161"/>
        </w:trPr>
        <w:tc>
          <w:tcPr>
            <w:tcW w:w="4540" w:type="dxa"/>
            <w:vAlign w:val="bottom"/>
          </w:tcPr>
          <w:p>
            <w:pPr>
              <w:spacing w:after="0"/>
              <w:rPr>
                <w:sz w:val="14"/>
                <w:szCs w:val="14"/>
                <w:color w:val="auto"/>
              </w:rPr>
            </w:pPr>
          </w:p>
        </w:tc>
        <w:tc>
          <w:tcPr>
            <w:tcW w:w="1780" w:type="dxa"/>
            <w:vAlign w:val="bottom"/>
            <w:gridSpan w:val="2"/>
          </w:tcPr>
          <w:p>
            <w:pPr>
              <w:jc w:val="right"/>
              <w:ind w:right="480"/>
              <w:spacing w:after="0"/>
              <w:rPr>
                <w:sz w:val="20"/>
                <w:szCs w:val="20"/>
                <w:color w:val="auto"/>
              </w:rPr>
            </w:pPr>
            <w:r>
              <w:rPr>
                <w:rFonts w:ascii="Arial" w:cs="Arial" w:eastAsia="Arial" w:hAnsi="Arial"/>
                <w:sz w:val="14"/>
                <w:szCs w:val="14"/>
                <w:b w:val="1"/>
                <w:bCs w:val="1"/>
                <w:color w:val="auto"/>
              </w:rPr>
              <w:t>Stock Options and</w:t>
            </w:r>
          </w:p>
        </w:tc>
        <w:tc>
          <w:tcPr>
            <w:tcW w:w="1540" w:type="dxa"/>
            <w:vAlign w:val="bottom"/>
            <w:gridSpan w:val="2"/>
            <w:vMerge w:val="restart"/>
          </w:tcPr>
          <w:p>
            <w:pPr>
              <w:jc w:val="right"/>
              <w:ind w:right="640"/>
              <w:spacing w:after="0"/>
              <w:rPr>
                <w:sz w:val="20"/>
                <w:szCs w:val="20"/>
                <w:color w:val="auto"/>
              </w:rPr>
            </w:pPr>
            <w:r>
              <w:rPr>
                <w:rFonts w:ascii="Arial" w:cs="Arial" w:eastAsia="Arial" w:hAnsi="Arial"/>
                <w:sz w:val="14"/>
                <w:szCs w:val="14"/>
                <w:b w:val="1"/>
                <w:bCs w:val="1"/>
                <w:color w:val="auto"/>
              </w:rPr>
              <w:t>RSUs</w:t>
            </w:r>
          </w:p>
        </w:tc>
        <w:tc>
          <w:tcPr>
            <w:tcW w:w="0" w:type="dxa"/>
            <w:vAlign w:val="bottom"/>
          </w:tcPr>
          <w:p>
            <w:pPr>
              <w:spacing w:after="0"/>
              <w:rPr>
                <w:sz w:val="1"/>
                <w:szCs w:val="1"/>
                <w:color w:val="auto"/>
              </w:rPr>
            </w:pPr>
          </w:p>
        </w:tc>
      </w:tr>
      <w:tr>
        <w:trPr>
          <w:trHeight w:val="171"/>
        </w:trPr>
        <w:tc>
          <w:tcPr>
            <w:tcW w:w="4540" w:type="dxa"/>
            <w:vAlign w:val="bottom"/>
          </w:tcPr>
          <w:p>
            <w:pPr>
              <w:spacing w:after="0"/>
              <w:rPr>
                <w:sz w:val="14"/>
                <w:szCs w:val="14"/>
                <w:color w:val="auto"/>
              </w:rPr>
            </w:pPr>
          </w:p>
        </w:tc>
        <w:tc>
          <w:tcPr>
            <w:tcW w:w="1780" w:type="dxa"/>
            <w:vAlign w:val="bottom"/>
            <w:gridSpan w:val="2"/>
          </w:tcPr>
          <w:p>
            <w:pPr>
              <w:jc w:val="right"/>
              <w:ind w:right="880"/>
              <w:spacing w:after="0"/>
              <w:rPr>
                <w:sz w:val="20"/>
                <w:szCs w:val="20"/>
                <w:color w:val="auto"/>
              </w:rPr>
            </w:pPr>
            <w:r>
              <w:rPr>
                <w:rFonts w:ascii="Arial" w:cs="Arial" w:eastAsia="Arial" w:hAnsi="Arial"/>
                <w:sz w:val="14"/>
                <w:szCs w:val="14"/>
                <w:b w:val="1"/>
                <w:bCs w:val="1"/>
                <w:color w:val="auto"/>
              </w:rPr>
              <w:t>SARs</w:t>
            </w:r>
          </w:p>
        </w:tc>
        <w:tc>
          <w:tcPr>
            <w:tcW w:w="1540" w:type="dxa"/>
            <w:vAlign w:val="bottom"/>
            <w:gridSpan w:val="2"/>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236"/>
        </w:trPr>
        <w:tc>
          <w:tcPr>
            <w:tcW w:w="4540" w:type="dxa"/>
            <w:vAlign w:val="bottom"/>
            <w:tcBorders>
              <w:top w:val="single" w:sz="8" w:color="CFF0FC"/>
            </w:tcBorders>
            <w:shd w:val="clear" w:color="auto" w:fill="CFF0FC"/>
          </w:tcPr>
          <w:p>
            <w:pPr>
              <w:spacing w:after="0"/>
              <w:rPr>
                <w:sz w:val="20"/>
                <w:szCs w:val="20"/>
                <w:color w:val="auto"/>
              </w:rPr>
            </w:pPr>
            <w:r>
              <w:rPr>
                <w:rFonts w:ascii="Arial" w:cs="Arial" w:eastAsia="Arial" w:hAnsi="Arial"/>
                <w:sz w:val="18"/>
                <w:szCs w:val="18"/>
                <w:color w:val="auto"/>
              </w:rPr>
              <w:t>Outstanding at December 31, 2020</w:t>
            </w:r>
          </w:p>
        </w:tc>
        <w:tc>
          <w:tcPr>
            <w:tcW w:w="146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42.7</w:t>
            </w:r>
          </w:p>
        </w:tc>
        <w:tc>
          <w:tcPr>
            <w:tcW w:w="320" w:type="dxa"/>
            <w:vAlign w:val="bottom"/>
            <w:tcBorders>
              <w:top w:val="single" w:sz="8" w:color="CFF0FC"/>
            </w:tcBorders>
            <w:shd w:val="clear" w:color="auto" w:fill="CFF0FC"/>
          </w:tcPr>
          <w:p>
            <w:pPr>
              <w:spacing w:after="0"/>
              <w:rPr>
                <w:sz w:val="20"/>
                <w:szCs w:val="20"/>
                <w:color w:val="auto"/>
              </w:rPr>
            </w:pPr>
          </w:p>
        </w:tc>
        <w:tc>
          <w:tcPr>
            <w:tcW w:w="146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0.2</w:t>
            </w:r>
          </w:p>
        </w:tc>
        <w:tc>
          <w:tcPr>
            <w:tcW w:w="80" w:type="dxa"/>
            <w:vAlign w:val="bottom"/>
            <w:tcBorders>
              <w:top w:val="single" w:sz="8" w:color="CFF0FC"/>
            </w:tcBorders>
            <w:shd w:val="clear" w:color="auto" w:fill="CFF0FC"/>
          </w:tcPr>
          <w:p>
            <w:pPr>
              <w:spacing w:after="0"/>
              <w:rPr>
                <w:sz w:val="20"/>
                <w:szCs w:val="20"/>
                <w:color w:val="auto"/>
              </w:rPr>
            </w:pPr>
          </w:p>
        </w:tc>
        <w:tc>
          <w:tcPr>
            <w:tcW w:w="0" w:type="dxa"/>
            <w:vAlign w:val="bottom"/>
          </w:tcPr>
          <w:p>
            <w:pPr>
              <w:spacing w:after="0"/>
              <w:rPr>
                <w:sz w:val="1"/>
                <w:szCs w:val="1"/>
                <w:color w:val="auto"/>
              </w:rPr>
            </w:pPr>
          </w:p>
        </w:tc>
      </w:tr>
      <w:tr>
        <w:trPr>
          <w:trHeight w:val="243"/>
        </w:trPr>
        <w:tc>
          <w:tcPr>
            <w:tcW w:w="4540" w:type="dxa"/>
            <w:vAlign w:val="bottom"/>
          </w:tcPr>
          <w:p>
            <w:pPr>
              <w:ind w:left="120"/>
              <w:spacing w:after="0"/>
              <w:rPr>
                <w:sz w:val="20"/>
                <w:szCs w:val="20"/>
                <w:color w:val="auto"/>
              </w:rPr>
            </w:pPr>
            <w:r>
              <w:rPr>
                <w:rFonts w:ascii="Arial" w:cs="Arial" w:eastAsia="Arial" w:hAnsi="Arial"/>
                <w:sz w:val="18"/>
                <w:szCs w:val="18"/>
                <w:color w:val="auto"/>
              </w:rPr>
              <w:t>Granted</w:t>
            </w:r>
          </w:p>
        </w:tc>
        <w:tc>
          <w:tcPr>
            <w:tcW w:w="1460" w:type="dxa"/>
            <w:vAlign w:val="bottom"/>
          </w:tcPr>
          <w:p>
            <w:pPr>
              <w:jc w:val="right"/>
              <w:spacing w:after="0"/>
              <w:rPr>
                <w:sz w:val="20"/>
                <w:szCs w:val="20"/>
                <w:color w:val="auto"/>
              </w:rPr>
            </w:pPr>
            <w:r>
              <w:rPr>
                <w:rFonts w:ascii="Arial" w:cs="Arial" w:eastAsia="Arial" w:hAnsi="Arial"/>
                <w:sz w:val="18"/>
                <w:szCs w:val="18"/>
                <w:color w:val="auto"/>
              </w:rPr>
              <w:t>0.6</w:t>
            </w:r>
          </w:p>
        </w:tc>
        <w:tc>
          <w:tcPr>
            <w:tcW w:w="320" w:type="dxa"/>
            <w:vAlign w:val="bottom"/>
          </w:tcPr>
          <w:p>
            <w:pPr>
              <w:spacing w:after="0"/>
              <w:rPr>
                <w:sz w:val="21"/>
                <w:szCs w:val="21"/>
                <w:color w:val="auto"/>
              </w:rPr>
            </w:pPr>
          </w:p>
        </w:tc>
        <w:tc>
          <w:tcPr>
            <w:tcW w:w="1540" w:type="dxa"/>
            <w:vAlign w:val="bottom"/>
            <w:gridSpan w:val="2"/>
          </w:tcPr>
          <w:p>
            <w:pPr>
              <w:jc w:val="right"/>
              <w:ind w:right="80"/>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43"/>
        </w:trPr>
        <w:tc>
          <w:tcPr>
            <w:tcW w:w="4540" w:type="dxa"/>
            <w:vAlign w:val="bottom"/>
            <w:shd w:val="clear" w:color="auto" w:fill="CFF0FC"/>
          </w:tcPr>
          <w:p>
            <w:pPr>
              <w:ind w:left="120"/>
              <w:spacing w:after="0"/>
              <w:rPr>
                <w:sz w:val="20"/>
                <w:szCs w:val="20"/>
                <w:color w:val="auto"/>
              </w:rPr>
            </w:pPr>
            <w:r>
              <w:rPr>
                <w:rFonts w:ascii="Arial" w:cs="Arial" w:eastAsia="Arial" w:hAnsi="Arial"/>
                <w:sz w:val="18"/>
                <w:szCs w:val="18"/>
                <w:color w:val="auto"/>
              </w:rPr>
              <w:t>Cancelled/forfeited</w:t>
            </w:r>
          </w:p>
        </w:tc>
        <w:tc>
          <w:tcPr>
            <w:tcW w:w="1780" w:type="dxa"/>
            <w:vAlign w:val="bottom"/>
            <w:gridSpan w:val="2"/>
            <w:shd w:val="clear" w:color="auto" w:fill="CFF0FC"/>
          </w:tcPr>
          <w:p>
            <w:pPr>
              <w:jc w:val="right"/>
              <w:ind w:right="260"/>
              <w:spacing w:after="0"/>
              <w:rPr>
                <w:sz w:val="20"/>
                <w:szCs w:val="20"/>
                <w:color w:val="auto"/>
              </w:rPr>
            </w:pPr>
            <w:r>
              <w:rPr>
                <w:rFonts w:ascii="Arial" w:cs="Arial" w:eastAsia="Arial" w:hAnsi="Arial"/>
                <w:sz w:val="18"/>
                <w:szCs w:val="18"/>
                <w:color w:val="auto"/>
              </w:rPr>
              <w:t>(0.2)</w:t>
            </w:r>
          </w:p>
        </w:tc>
        <w:tc>
          <w:tcPr>
            <w:tcW w:w="1540" w:type="dxa"/>
            <w:vAlign w:val="bottom"/>
            <w:gridSpan w:val="2"/>
            <w:shd w:val="clear" w:color="auto" w:fill="CFF0FC"/>
          </w:tcPr>
          <w:p>
            <w:pPr>
              <w:jc w:val="right"/>
              <w:ind w:right="80"/>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43"/>
        </w:trPr>
        <w:tc>
          <w:tcPr>
            <w:tcW w:w="4540" w:type="dxa"/>
            <w:vAlign w:val="bottom"/>
          </w:tcPr>
          <w:p>
            <w:pPr>
              <w:ind w:left="120"/>
              <w:spacing w:after="0"/>
              <w:rPr>
                <w:sz w:val="20"/>
                <w:szCs w:val="20"/>
                <w:color w:val="auto"/>
              </w:rPr>
            </w:pPr>
            <w:r>
              <w:rPr>
                <w:rFonts w:ascii="Arial" w:cs="Arial" w:eastAsia="Arial" w:hAnsi="Arial"/>
                <w:sz w:val="18"/>
                <w:szCs w:val="18"/>
                <w:color w:val="auto"/>
              </w:rPr>
              <w:t>Vested</w:t>
            </w:r>
          </w:p>
        </w:tc>
        <w:tc>
          <w:tcPr>
            <w:tcW w:w="1780" w:type="dxa"/>
            <w:vAlign w:val="bottom"/>
            <w:gridSpan w:val="2"/>
          </w:tcPr>
          <w:p>
            <w:pPr>
              <w:jc w:val="right"/>
              <w:ind w:right="340"/>
              <w:spacing w:after="0"/>
              <w:rPr>
                <w:sz w:val="20"/>
                <w:szCs w:val="20"/>
                <w:color w:val="auto"/>
              </w:rPr>
            </w:pPr>
            <w:r>
              <w:rPr>
                <w:rFonts w:ascii="Arial" w:cs="Arial" w:eastAsia="Arial" w:hAnsi="Arial"/>
                <w:sz w:val="18"/>
                <w:szCs w:val="18"/>
                <w:color w:val="auto"/>
              </w:rPr>
              <w:t>—</w:t>
            </w:r>
          </w:p>
        </w:tc>
        <w:tc>
          <w:tcPr>
            <w:tcW w:w="1540" w:type="dxa"/>
            <w:vAlign w:val="bottom"/>
            <w:gridSpan w:val="2"/>
          </w:tcPr>
          <w:p>
            <w:pPr>
              <w:jc w:val="right"/>
              <w:ind w:right="20"/>
              <w:spacing w:after="0"/>
              <w:rPr>
                <w:sz w:val="20"/>
                <w:szCs w:val="20"/>
                <w:color w:val="auto"/>
              </w:rPr>
            </w:pPr>
            <w:r>
              <w:rPr>
                <w:rFonts w:ascii="Arial" w:cs="Arial" w:eastAsia="Arial" w:hAnsi="Arial"/>
                <w:sz w:val="16"/>
                <w:szCs w:val="16"/>
                <w:color w:val="auto"/>
              </w:rPr>
              <w:t>(0.1)</w:t>
            </w:r>
          </w:p>
        </w:tc>
        <w:tc>
          <w:tcPr>
            <w:tcW w:w="0" w:type="dxa"/>
            <w:vAlign w:val="bottom"/>
          </w:tcPr>
          <w:p>
            <w:pPr>
              <w:spacing w:after="0"/>
              <w:rPr>
                <w:sz w:val="1"/>
                <w:szCs w:val="1"/>
                <w:color w:val="auto"/>
              </w:rPr>
            </w:pPr>
          </w:p>
        </w:tc>
      </w:tr>
      <w:tr>
        <w:trPr>
          <w:trHeight w:val="243"/>
        </w:trPr>
        <w:tc>
          <w:tcPr>
            <w:tcW w:w="4540" w:type="dxa"/>
            <w:vAlign w:val="bottom"/>
            <w:shd w:val="clear" w:color="auto" w:fill="CFF0FC"/>
          </w:tcPr>
          <w:p>
            <w:pPr>
              <w:ind w:left="120"/>
              <w:spacing w:after="0"/>
              <w:rPr>
                <w:sz w:val="20"/>
                <w:szCs w:val="20"/>
                <w:color w:val="auto"/>
              </w:rPr>
            </w:pPr>
            <w:r>
              <w:rPr>
                <w:rFonts w:ascii="Arial" w:cs="Arial" w:eastAsia="Arial" w:hAnsi="Arial"/>
                <w:sz w:val="18"/>
                <w:szCs w:val="18"/>
                <w:color w:val="auto"/>
              </w:rPr>
              <w:t>Exercised</w:t>
            </w:r>
          </w:p>
        </w:tc>
        <w:tc>
          <w:tcPr>
            <w:tcW w:w="1780" w:type="dxa"/>
            <w:vAlign w:val="bottom"/>
            <w:gridSpan w:val="2"/>
            <w:shd w:val="clear" w:color="auto" w:fill="CFF0FC"/>
          </w:tcPr>
          <w:p>
            <w:pPr>
              <w:jc w:val="right"/>
              <w:ind w:right="260"/>
              <w:spacing w:after="0"/>
              <w:rPr>
                <w:sz w:val="20"/>
                <w:szCs w:val="20"/>
                <w:color w:val="auto"/>
              </w:rPr>
            </w:pPr>
            <w:r>
              <w:rPr>
                <w:rFonts w:ascii="Arial" w:cs="Arial" w:eastAsia="Arial" w:hAnsi="Arial"/>
                <w:sz w:val="18"/>
                <w:szCs w:val="18"/>
                <w:color w:val="auto"/>
              </w:rPr>
              <w:t>(0.8)</w:t>
            </w:r>
          </w:p>
        </w:tc>
        <w:tc>
          <w:tcPr>
            <w:tcW w:w="1540" w:type="dxa"/>
            <w:vAlign w:val="bottom"/>
            <w:gridSpan w:val="2"/>
            <w:shd w:val="clear" w:color="auto" w:fill="CFF0FC"/>
          </w:tcPr>
          <w:p>
            <w:pPr>
              <w:jc w:val="right"/>
              <w:ind w:right="80"/>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36"/>
        </w:trPr>
        <w:tc>
          <w:tcPr>
            <w:tcW w:w="4540" w:type="dxa"/>
            <w:vAlign w:val="bottom"/>
          </w:tcPr>
          <w:p>
            <w:pPr>
              <w:spacing w:after="0"/>
              <w:rPr>
                <w:sz w:val="20"/>
                <w:szCs w:val="20"/>
                <w:color w:val="auto"/>
              </w:rPr>
            </w:pPr>
            <w:r>
              <w:rPr>
                <w:rFonts w:ascii="Arial" w:cs="Arial" w:eastAsia="Arial" w:hAnsi="Arial"/>
                <w:sz w:val="18"/>
                <w:szCs w:val="18"/>
                <w:color w:val="auto"/>
              </w:rPr>
              <w:t>Outstanding at March 31, 2021</w:t>
            </w:r>
          </w:p>
        </w:tc>
        <w:tc>
          <w:tcPr>
            <w:tcW w:w="14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42.3</w:t>
            </w:r>
          </w:p>
        </w:tc>
        <w:tc>
          <w:tcPr>
            <w:tcW w:w="320" w:type="dxa"/>
            <w:vAlign w:val="bottom"/>
          </w:tcPr>
          <w:p>
            <w:pPr>
              <w:spacing w:after="0"/>
              <w:rPr>
                <w:sz w:val="20"/>
                <w:szCs w:val="20"/>
                <w:color w:val="auto"/>
              </w:rPr>
            </w:pPr>
          </w:p>
        </w:tc>
        <w:tc>
          <w:tcPr>
            <w:tcW w:w="14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0.1</w:t>
            </w:r>
          </w:p>
        </w:tc>
        <w:tc>
          <w:tcPr>
            <w:tcW w:w="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0"/>
        </w:trPr>
        <w:tc>
          <w:tcPr>
            <w:tcW w:w="4540" w:type="dxa"/>
            <w:vAlign w:val="bottom"/>
          </w:tcPr>
          <w:p>
            <w:pPr>
              <w:spacing w:after="0" w:line="20" w:lineRule="exact"/>
              <w:rPr>
                <w:sz w:val="1"/>
                <w:szCs w:val="1"/>
                <w:color w:val="auto"/>
              </w:rPr>
            </w:pPr>
          </w:p>
        </w:tc>
        <w:tc>
          <w:tcPr>
            <w:tcW w:w="1460" w:type="dxa"/>
            <w:vAlign w:val="bottom"/>
            <w:tcBorders>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46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2"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Performance-Based Stock Option Awards</w:t>
      </w:r>
    </w:p>
    <w:p>
      <w:pPr>
        <w:spacing w:after="0" w:line="225" w:lineRule="exact"/>
        <w:rPr>
          <w:sz w:val="20"/>
          <w:szCs w:val="20"/>
          <w:color w:val="auto"/>
        </w:rPr>
      </w:pPr>
    </w:p>
    <w:p>
      <w:pPr>
        <w:ind w:firstLine="749"/>
        <w:spacing w:after="0" w:line="270" w:lineRule="auto"/>
        <w:rPr>
          <w:sz w:val="20"/>
          <w:szCs w:val="20"/>
          <w:color w:val="auto"/>
        </w:rPr>
      </w:pPr>
      <w:r>
        <w:rPr>
          <w:rFonts w:ascii="Arial" w:cs="Arial" w:eastAsia="Arial" w:hAnsi="Arial"/>
          <w:sz w:val="17"/>
          <w:szCs w:val="17"/>
          <w:color w:val="auto"/>
        </w:rPr>
        <w:t>In March 2021, our named executive officers were granted performance-based stock options that vest at the end of a 3-year performance period based on average annual growth in earnings per share over the period and have a maximum term of 10 years. The performance-based stock options have an exercise price of $68.52 per share and a grant date fair value of $17.90 per share. These awards include annual performance growth targets and will measure performance against the target throughout the 3-year performance period. Performance is measured relative to a 3-year average annual growth rate that is established at the beginning of the cycle and held constant. Our executive officers will only be entitled to receive any portion of the performance stock option awards that are earned if they remain employed through the final determination of the satisfaction of these performance goals after the conclusion of our 2023 fiscal year. The total number of options to be issued if we achieve the targeted growth rate during the measurement period is 530,000. The actual number of options that will be issued ranges from zero, if the threshold level of performance is not achieved, to 200% of the targeted number of options, if the annual growth rate meets or exceeds a specified level</w:t>
      </w:r>
      <w:r>
        <w:rPr>
          <w:rFonts w:ascii="Arial" w:cs="Arial" w:eastAsia="Arial" w:hAnsi="Arial"/>
          <w:sz w:val="17"/>
          <w:szCs w:val="17"/>
          <w:i w:val="1"/>
          <w:iCs w:val="1"/>
          <w:color w:val="auto"/>
        </w:rPr>
        <w:t>.</w:t>
      </w:r>
    </w:p>
    <w:p>
      <w:pPr>
        <w:spacing w:after="0" w:line="17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11—Income Taxes</w:t>
      </w:r>
    </w:p>
    <w:p>
      <w:pPr>
        <w:spacing w:after="0" w:line="121" w:lineRule="exact"/>
        <w:rPr>
          <w:sz w:val="20"/>
          <w:szCs w:val="20"/>
          <w:color w:val="auto"/>
        </w:rPr>
      </w:pPr>
    </w:p>
    <w:p>
      <w:pPr>
        <w:ind w:firstLine="510"/>
        <w:spacing w:after="0" w:line="259" w:lineRule="auto"/>
        <w:rPr>
          <w:sz w:val="20"/>
          <w:szCs w:val="20"/>
          <w:color w:val="auto"/>
        </w:rPr>
      </w:pPr>
      <w:r>
        <w:rPr>
          <w:rFonts w:ascii="Arial" w:cs="Arial" w:eastAsia="Arial" w:hAnsi="Arial"/>
          <w:sz w:val="18"/>
          <w:szCs w:val="18"/>
          <w:color w:val="auto"/>
        </w:rPr>
        <w:t>The effective tax rate was 25.8% and 20.0% for the three months ended March 31, 2021 and 2020, respectively. The change in the effective tax rate for the three months ended March 31, 2021 compared to the respective prior year period was primarily due to the decrease in recognition of windfall tax benefits from stock awards in the current year and a proportionate change in the composition of income before income taxes from foreign and domestic tax jurisdictions.</w:t>
      </w:r>
    </w:p>
    <w:p>
      <w:pPr>
        <w:spacing w:after="0" w:line="16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12—Earnings per Share</w:t>
      </w:r>
    </w:p>
    <w:p>
      <w:pPr>
        <w:spacing w:after="0" w:line="121" w:lineRule="exact"/>
        <w:rPr>
          <w:sz w:val="20"/>
          <w:szCs w:val="20"/>
          <w:color w:val="auto"/>
        </w:rPr>
      </w:pPr>
    </w:p>
    <w:p>
      <w:pPr>
        <w:ind w:left="520"/>
        <w:spacing w:after="0"/>
        <w:rPr>
          <w:sz w:val="20"/>
          <w:szCs w:val="20"/>
          <w:color w:val="auto"/>
        </w:rPr>
      </w:pPr>
      <w:r>
        <w:rPr>
          <w:rFonts w:ascii="Arial" w:cs="Arial" w:eastAsia="Arial" w:hAnsi="Arial"/>
          <w:sz w:val="18"/>
          <w:szCs w:val="18"/>
          <w:color w:val="auto"/>
        </w:rPr>
        <w:t>The following table sets forth the computation of basic and diluted EPS (in millions, except per share amounts):</w:t>
      </w:r>
    </w:p>
    <w:p>
      <w:pPr>
        <w:spacing w:after="0" w:line="190" w:lineRule="exact"/>
        <w:rPr>
          <w:sz w:val="20"/>
          <w:szCs w:val="20"/>
          <w:color w:val="auto"/>
        </w:rPr>
      </w:pPr>
    </w:p>
    <w:tbl>
      <w:tblPr>
        <w:tblLayout w:type="fixed"/>
        <w:tblInd w:w="580" w:type="dxa"/>
        <w:tblCellMar>
          <w:top w:w="0" w:type="dxa"/>
          <w:left w:w="0" w:type="dxa"/>
          <w:bottom w:w="0" w:type="dxa"/>
          <w:right w:w="0" w:type="dxa"/>
        </w:tblCellMar>
      </w:tblPr>
      <w:tr>
        <w:trPr>
          <w:trHeight w:val="171"/>
        </w:trPr>
        <w:tc>
          <w:tcPr>
            <w:tcW w:w="70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2940" w:type="dxa"/>
            <w:vAlign w:val="bottom"/>
            <w:gridSpan w:val="6"/>
          </w:tcPr>
          <w:p>
            <w:pPr>
              <w:ind w:left="360"/>
              <w:spacing w:after="0"/>
              <w:rPr>
                <w:sz w:val="20"/>
                <w:szCs w:val="20"/>
                <w:color w:val="auto"/>
              </w:rPr>
            </w:pPr>
            <w:r>
              <w:rPr>
                <w:rFonts w:ascii="Arial" w:cs="Arial" w:eastAsia="Arial" w:hAnsi="Arial"/>
                <w:sz w:val="14"/>
                <w:szCs w:val="14"/>
                <w:b w:val="1"/>
                <w:bCs w:val="1"/>
                <w:color w:val="auto"/>
              </w:rPr>
              <w:t>Three Months Ended March 31,</w:t>
            </w:r>
          </w:p>
        </w:tc>
      </w:tr>
      <w:tr>
        <w:trPr>
          <w:trHeight w:val="156"/>
        </w:trPr>
        <w:tc>
          <w:tcPr>
            <w:tcW w:w="7000" w:type="dxa"/>
            <w:vAlign w:val="bottom"/>
            <w:tcBorders>
              <w:bottom w:val="single" w:sz="8" w:color="CFF0FC"/>
            </w:tcBorders>
          </w:tcPr>
          <w:p>
            <w:pPr>
              <w:spacing w:after="0"/>
              <w:rPr>
                <w:sz w:val="13"/>
                <w:szCs w:val="13"/>
                <w:color w:val="auto"/>
              </w:rPr>
            </w:pPr>
          </w:p>
        </w:tc>
        <w:tc>
          <w:tcPr>
            <w:tcW w:w="160" w:type="dxa"/>
            <w:vAlign w:val="bottom"/>
            <w:tcBorders>
              <w:bottom w:val="single" w:sz="8" w:color="CFF0FC"/>
            </w:tcBorders>
          </w:tcPr>
          <w:p>
            <w:pPr>
              <w:spacing w:after="0"/>
              <w:rPr>
                <w:sz w:val="13"/>
                <w:szCs w:val="13"/>
                <w:color w:val="auto"/>
              </w:rPr>
            </w:pPr>
          </w:p>
        </w:tc>
        <w:tc>
          <w:tcPr>
            <w:tcW w:w="780" w:type="dxa"/>
            <w:vAlign w:val="bottom"/>
            <w:tcBorders>
              <w:top w:val="single" w:sz="8" w:color="auto"/>
              <w:bottom w:val="single" w:sz="8" w:color="auto"/>
            </w:tcBorders>
          </w:tcPr>
          <w:p>
            <w:pPr>
              <w:jc w:val="right"/>
              <w:spacing w:after="0" w:line="155" w:lineRule="exact"/>
              <w:rPr>
                <w:sz w:val="20"/>
                <w:szCs w:val="20"/>
                <w:color w:val="auto"/>
              </w:rPr>
            </w:pPr>
            <w:r>
              <w:rPr>
                <w:rFonts w:ascii="Arial" w:cs="Arial" w:eastAsia="Arial" w:hAnsi="Arial"/>
                <w:sz w:val="14"/>
                <w:szCs w:val="14"/>
                <w:b w:val="1"/>
                <w:bCs w:val="1"/>
                <w:color w:val="auto"/>
              </w:rPr>
              <w:t>2021</w:t>
            </w:r>
          </w:p>
        </w:tc>
        <w:tc>
          <w:tcPr>
            <w:tcW w:w="460" w:type="dxa"/>
            <w:vAlign w:val="bottom"/>
            <w:tcBorders>
              <w:top w:val="single" w:sz="8" w:color="auto"/>
              <w:bottom w:val="single" w:sz="8" w:color="auto"/>
            </w:tcBorders>
          </w:tcPr>
          <w:p>
            <w:pPr>
              <w:spacing w:after="0"/>
              <w:rPr>
                <w:sz w:val="13"/>
                <w:szCs w:val="13"/>
                <w:color w:val="auto"/>
              </w:rPr>
            </w:pPr>
          </w:p>
        </w:tc>
        <w:tc>
          <w:tcPr>
            <w:tcW w:w="220" w:type="dxa"/>
            <w:vAlign w:val="bottom"/>
            <w:tcBorders>
              <w:top w:val="single" w:sz="8" w:color="auto"/>
              <w:bottom w:val="single" w:sz="8" w:color="CFF0FC"/>
            </w:tcBorders>
          </w:tcPr>
          <w:p>
            <w:pPr>
              <w:spacing w:after="0"/>
              <w:rPr>
                <w:sz w:val="13"/>
                <w:szCs w:val="13"/>
                <w:color w:val="auto"/>
              </w:rPr>
            </w:pPr>
          </w:p>
        </w:tc>
        <w:tc>
          <w:tcPr>
            <w:tcW w:w="280" w:type="dxa"/>
            <w:vAlign w:val="bottom"/>
            <w:tcBorders>
              <w:top w:val="single" w:sz="8" w:color="auto"/>
              <w:bottom w:val="single" w:sz="8" w:color="auto"/>
            </w:tcBorders>
          </w:tcPr>
          <w:p>
            <w:pPr>
              <w:spacing w:after="0"/>
              <w:rPr>
                <w:sz w:val="13"/>
                <w:szCs w:val="13"/>
                <w:color w:val="auto"/>
              </w:rPr>
            </w:pPr>
          </w:p>
        </w:tc>
        <w:tc>
          <w:tcPr>
            <w:tcW w:w="940" w:type="dxa"/>
            <w:vAlign w:val="bottom"/>
            <w:tcBorders>
              <w:top w:val="single" w:sz="8" w:color="auto"/>
              <w:bottom w:val="single" w:sz="8" w:color="auto"/>
            </w:tcBorders>
          </w:tcPr>
          <w:p>
            <w:pPr>
              <w:jc w:val="right"/>
              <w:ind w:right="373"/>
              <w:spacing w:after="0" w:line="155" w:lineRule="exact"/>
              <w:rPr>
                <w:sz w:val="20"/>
                <w:szCs w:val="20"/>
                <w:color w:val="auto"/>
              </w:rPr>
            </w:pPr>
            <w:r>
              <w:rPr>
                <w:rFonts w:ascii="Arial" w:cs="Arial" w:eastAsia="Arial" w:hAnsi="Arial"/>
                <w:sz w:val="14"/>
                <w:szCs w:val="14"/>
                <w:b w:val="1"/>
                <w:bCs w:val="1"/>
                <w:color w:val="auto"/>
              </w:rPr>
              <w:t>2020</w:t>
            </w:r>
          </w:p>
        </w:tc>
        <w:tc>
          <w:tcPr>
            <w:tcW w:w="260" w:type="dxa"/>
            <w:vAlign w:val="bottom"/>
            <w:tcBorders>
              <w:bottom w:val="single" w:sz="8" w:color="CFF0FC"/>
            </w:tcBorders>
          </w:tcPr>
          <w:p>
            <w:pPr>
              <w:spacing w:after="0"/>
              <w:rPr>
                <w:sz w:val="13"/>
                <w:szCs w:val="13"/>
                <w:color w:val="auto"/>
              </w:rPr>
            </w:pPr>
          </w:p>
        </w:tc>
      </w:tr>
      <w:tr>
        <w:trPr>
          <w:trHeight w:val="223"/>
        </w:trPr>
        <w:tc>
          <w:tcPr>
            <w:tcW w:w="7000" w:type="dxa"/>
            <w:vAlign w:val="bottom"/>
            <w:shd w:val="clear" w:color="auto" w:fill="CFF0FC"/>
          </w:tcPr>
          <w:p>
            <w:pPr>
              <w:spacing w:after="0"/>
              <w:rPr>
                <w:sz w:val="20"/>
                <w:szCs w:val="20"/>
                <w:color w:val="auto"/>
              </w:rPr>
            </w:pPr>
            <w:r>
              <w:rPr>
                <w:rFonts w:ascii="Arial" w:cs="Arial" w:eastAsia="Arial" w:hAnsi="Arial"/>
                <w:sz w:val="18"/>
                <w:szCs w:val="18"/>
                <w:color w:val="auto"/>
              </w:rPr>
              <w:t>Net income</w:t>
            </w:r>
          </w:p>
        </w:tc>
        <w:tc>
          <w:tcPr>
            <w:tcW w:w="160" w:type="dxa"/>
            <w:vAlign w:val="bottom"/>
            <w:shd w:val="clear" w:color="auto" w:fill="CFF0FC"/>
          </w:tcPr>
          <w:p>
            <w:pPr>
              <w:spacing w:after="0"/>
              <w:rPr>
                <w:sz w:val="19"/>
                <w:szCs w:val="19"/>
                <w:color w:val="auto"/>
              </w:rPr>
            </w:pPr>
          </w:p>
        </w:tc>
        <w:tc>
          <w:tcPr>
            <w:tcW w:w="780" w:type="dxa"/>
            <w:vAlign w:val="bottom"/>
            <w:shd w:val="clear" w:color="auto" w:fill="CFF0FC"/>
          </w:tcPr>
          <w:p>
            <w:pPr>
              <w:jc w:val="right"/>
              <w:ind w:right="602"/>
              <w:spacing w:after="0"/>
              <w:rPr>
                <w:sz w:val="20"/>
                <w:szCs w:val="20"/>
                <w:color w:val="auto"/>
              </w:rPr>
            </w:pPr>
            <w:r>
              <w:rPr>
                <w:rFonts w:ascii="Arial" w:cs="Arial" w:eastAsia="Arial" w:hAnsi="Arial"/>
                <w:sz w:val="18"/>
                <w:szCs w:val="18"/>
                <w:color w:val="auto"/>
                <w:w w:val="79"/>
              </w:rPr>
              <w:t>$</w:t>
            </w:r>
          </w:p>
        </w:tc>
        <w:tc>
          <w:tcPr>
            <w:tcW w:w="460" w:type="dxa"/>
            <w:vAlign w:val="bottom"/>
            <w:shd w:val="clear" w:color="auto" w:fill="CFF0FC"/>
          </w:tcPr>
          <w:p>
            <w:pPr>
              <w:jc w:val="right"/>
              <w:spacing w:after="0"/>
              <w:rPr>
                <w:sz w:val="20"/>
                <w:szCs w:val="20"/>
                <w:color w:val="auto"/>
              </w:rPr>
            </w:pPr>
            <w:r>
              <w:rPr>
                <w:rFonts w:ascii="Arial" w:cs="Arial" w:eastAsia="Arial" w:hAnsi="Arial"/>
                <w:sz w:val="18"/>
                <w:szCs w:val="18"/>
                <w:color w:val="auto"/>
                <w:w w:val="93"/>
              </w:rPr>
              <w:t>174.9</w:t>
            </w:r>
          </w:p>
        </w:tc>
        <w:tc>
          <w:tcPr>
            <w:tcW w:w="220" w:type="dxa"/>
            <w:vAlign w:val="bottom"/>
            <w:shd w:val="clear" w:color="auto" w:fill="CFF0FC"/>
          </w:tcPr>
          <w:p>
            <w:pPr>
              <w:spacing w:after="0"/>
              <w:rPr>
                <w:sz w:val="19"/>
                <w:szCs w:val="19"/>
                <w:color w:val="auto"/>
              </w:rPr>
            </w:pPr>
          </w:p>
        </w:tc>
        <w:tc>
          <w:tcPr>
            <w:tcW w:w="280" w:type="dxa"/>
            <w:vAlign w:val="bottom"/>
            <w:shd w:val="clear" w:color="auto" w:fill="CFF0FC"/>
          </w:tcPr>
          <w:p>
            <w:pPr>
              <w:jc w:val="right"/>
              <w:ind w:right="90"/>
              <w:spacing w:after="0"/>
              <w:rPr>
                <w:sz w:val="20"/>
                <w:szCs w:val="20"/>
                <w:color w:val="auto"/>
              </w:rPr>
            </w:pPr>
            <w:r>
              <w:rPr>
                <w:rFonts w:ascii="Arial" w:cs="Arial" w:eastAsia="Arial" w:hAnsi="Arial"/>
                <w:sz w:val="18"/>
                <w:szCs w:val="18"/>
                <w:color w:val="auto"/>
                <w:w w:val="79"/>
              </w:rPr>
              <w:t>$</w:t>
            </w:r>
          </w:p>
        </w:tc>
        <w:tc>
          <w:tcPr>
            <w:tcW w:w="9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99.2</w:t>
            </w:r>
          </w:p>
        </w:tc>
        <w:tc>
          <w:tcPr>
            <w:tcW w:w="260" w:type="dxa"/>
            <w:vAlign w:val="bottom"/>
            <w:shd w:val="clear" w:color="auto" w:fill="CFF0FC"/>
          </w:tcPr>
          <w:p>
            <w:pPr>
              <w:spacing w:after="0"/>
              <w:rPr>
                <w:sz w:val="19"/>
                <w:szCs w:val="19"/>
                <w:color w:val="auto"/>
              </w:rPr>
            </w:pPr>
          </w:p>
        </w:tc>
      </w:tr>
      <w:tr>
        <w:trPr>
          <w:trHeight w:val="230"/>
        </w:trPr>
        <w:tc>
          <w:tcPr>
            <w:tcW w:w="70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940" w:type="dxa"/>
            <w:vAlign w:val="bottom"/>
          </w:tcPr>
          <w:p>
            <w:pPr>
              <w:spacing w:after="0"/>
              <w:rPr>
                <w:sz w:val="19"/>
                <w:szCs w:val="19"/>
                <w:color w:val="auto"/>
              </w:rPr>
            </w:pPr>
          </w:p>
        </w:tc>
        <w:tc>
          <w:tcPr>
            <w:tcW w:w="260" w:type="dxa"/>
            <w:vAlign w:val="bottom"/>
          </w:tcPr>
          <w:p>
            <w:pPr>
              <w:spacing w:after="0"/>
              <w:rPr>
                <w:sz w:val="19"/>
                <w:szCs w:val="19"/>
                <w:color w:val="auto"/>
              </w:rPr>
            </w:pPr>
          </w:p>
        </w:tc>
      </w:tr>
      <w:tr>
        <w:trPr>
          <w:trHeight w:val="229"/>
        </w:trPr>
        <w:tc>
          <w:tcPr>
            <w:tcW w:w="7000" w:type="dxa"/>
            <w:vAlign w:val="bottom"/>
            <w:shd w:val="clear" w:color="auto" w:fill="CFF0FC"/>
          </w:tcPr>
          <w:p>
            <w:pPr>
              <w:spacing w:after="0"/>
              <w:rPr>
                <w:sz w:val="20"/>
                <w:szCs w:val="20"/>
                <w:color w:val="auto"/>
              </w:rPr>
            </w:pPr>
            <w:r>
              <w:rPr>
                <w:rFonts w:ascii="Arial" w:cs="Arial" w:eastAsia="Arial" w:hAnsi="Arial"/>
                <w:sz w:val="18"/>
                <w:szCs w:val="18"/>
                <w:color w:val="auto"/>
              </w:rPr>
              <w:t>Shares:</w:t>
            </w:r>
          </w:p>
        </w:tc>
        <w:tc>
          <w:tcPr>
            <w:tcW w:w="160" w:type="dxa"/>
            <w:vAlign w:val="bottom"/>
            <w:shd w:val="clear" w:color="auto" w:fill="CFF0FC"/>
          </w:tcPr>
          <w:p>
            <w:pPr>
              <w:spacing w:after="0"/>
              <w:rPr>
                <w:sz w:val="19"/>
                <w:szCs w:val="19"/>
                <w:color w:val="auto"/>
              </w:rPr>
            </w:pPr>
          </w:p>
        </w:tc>
        <w:tc>
          <w:tcPr>
            <w:tcW w:w="780" w:type="dxa"/>
            <w:vAlign w:val="bottom"/>
            <w:shd w:val="clear" w:color="auto" w:fill="CFF0FC"/>
          </w:tcPr>
          <w:p>
            <w:pPr>
              <w:spacing w:after="0"/>
              <w:rPr>
                <w:sz w:val="19"/>
                <w:szCs w:val="19"/>
                <w:color w:val="auto"/>
              </w:rPr>
            </w:pPr>
          </w:p>
        </w:tc>
        <w:tc>
          <w:tcPr>
            <w:tcW w:w="46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280" w:type="dxa"/>
            <w:vAlign w:val="bottom"/>
            <w:shd w:val="clear" w:color="auto" w:fill="CFF0FC"/>
          </w:tcPr>
          <w:p>
            <w:pPr>
              <w:spacing w:after="0"/>
              <w:rPr>
                <w:sz w:val="19"/>
                <w:szCs w:val="19"/>
                <w:color w:val="auto"/>
              </w:rPr>
            </w:pPr>
          </w:p>
        </w:tc>
        <w:tc>
          <w:tcPr>
            <w:tcW w:w="940" w:type="dxa"/>
            <w:vAlign w:val="bottom"/>
            <w:shd w:val="clear" w:color="auto" w:fill="CFF0FC"/>
          </w:tcPr>
          <w:p>
            <w:pPr>
              <w:spacing w:after="0"/>
              <w:rPr>
                <w:sz w:val="19"/>
                <w:szCs w:val="19"/>
                <w:color w:val="auto"/>
              </w:rPr>
            </w:pPr>
          </w:p>
        </w:tc>
        <w:tc>
          <w:tcPr>
            <w:tcW w:w="260" w:type="dxa"/>
            <w:vAlign w:val="bottom"/>
            <w:shd w:val="clear" w:color="auto" w:fill="CFF0FC"/>
          </w:tcPr>
          <w:p>
            <w:pPr>
              <w:spacing w:after="0"/>
              <w:rPr>
                <w:sz w:val="19"/>
                <w:szCs w:val="19"/>
                <w:color w:val="auto"/>
              </w:rPr>
            </w:pPr>
          </w:p>
        </w:tc>
      </w:tr>
      <w:tr>
        <w:trPr>
          <w:trHeight w:val="230"/>
        </w:trPr>
        <w:tc>
          <w:tcPr>
            <w:tcW w:w="7000" w:type="dxa"/>
            <w:vAlign w:val="bottom"/>
          </w:tcPr>
          <w:p>
            <w:pPr>
              <w:spacing w:after="0"/>
              <w:rPr>
                <w:sz w:val="20"/>
                <w:szCs w:val="20"/>
                <w:color w:val="auto"/>
              </w:rPr>
            </w:pPr>
            <w:r>
              <w:rPr>
                <w:rFonts w:ascii="Arial" w:cs="Arial" w:eastAsia="Arial" w:hAnsi="Arial"/>
                <w:sz w:val="18"/>
                <w:szCs w:val="18"/>
                <w:color w:val="auto"/>
              </w:rPr>
              <w:t>Weighted-average common shares outstanding – used in calculation of basic EPS</w:t>
            </w:r>
          </w:p>
        </w:tc>
        <w:tc>
          <w:tcPr>
            <w:tcW w:w="16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460" w:type="dxa"/>
            <w:vAlign w:val="bottom"/>
          </w:tcPr>
          <w:p>
            <w:pPr>
              <w:jc w:val="right"/>
              <w:spacing w:after="0"/>
              <w:rPr>
                <w:sz w:val="20"/>
                <w:szCs w:val="20"/>
                <w:color w:val="auto"/>
              </w:rPr>
            </w:pPr>
            <w:r>
              <w:rPr>
                <w:rFonts w:ascii="Arial" w:cs="Arial" w:eastAsia="Arial" w:hAnsi="Arial"/>
                <w:sz w:val="18"/>
                <w:szCs w:val="18"/>
                <w:color w:val="auto"/>
                <w:w w:val="93"/>
              </w:rPr>
              <w:t>257.0</w:t>
            </w:r>
          </w:p>
        </w:tc>
        <w:tc>
          <w:tcPr>
            <w:tcW w:w="2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255.3</w:t>
            </w:r>
          </w:p>
        </w:tc>
        <w:tc>
          <w:tcPr>
            <w:tcW w:w="260" w:type="dxa"/>
            <w:vAlign w:val="bottom"/>
          </w:tcPr>
          <w:p>
            <w:pPr>
              <w:spacing w:after="0"/>
              <w:rPr>
                <w:sz w:val="19"/>
                <w:szCs w:val="19"/>
                <w:color w:val="auto"/>
              </w:rPr>
            </w:pPr>
          </w:p>
        </w:tc>
      </w:tr>
      <w:tr>
        <w:trPr>
          <w:trHeight w:val="230"/>
        </w:trPr>
        <w:tc>
          <w:tcPr>
            <w:tcW w:w="7000" w:type="dxa"/>
            <w:vAlign w:val="bottom"/>
            <w:shd w:val="clear" w:color="auto" w:fill="CFF0FC"/>
          </w:tcPr>
          <w:p>
            <w:pPr>
              <w:spacing w:after="0"/>
              <w:rPr>
                <w:sz w:val="20"/>
                <w:szCs w:val="20"/>
                <w:color w:val="auto"/>
              </w:rPr>
            </w:pPr>
            <w:r>
              <w:rPr>
                <w:rFonts w:ascii="Arial" w:cs="Arial" w:eastAsia="Arial" w:hAnsi="Arial"/>
                <w:sz w:val="18"/>
                <w:szCs w:val="18"/>
                <w:color w:val="auto"/>
              </w:rPr>
              <w:t>Weighted-average common stock equivalents – stock options and restricted shares</w:t>
            </w:r>
          </w:p>
        </w:tc>
        <w:tc>
          <w:tcPr>
            <w:tcW w:w="160" w:type="dxa"/>
            <w:vAlign w:val="bottom"/>
            <w:shd w:val="clear" w:color="auto" w:fill="CFF0FC"/>
          </w:tcPr>
          <w:p>
            <w:pPr>
              <w:spacing w:after="0"/>
              <w:rPr>
                <w:sz w:val="19"/>
                <w:szCs w:val="19"/>
                <w:color w:val="auto"/>
              </w:rPr>
            </w:pPr>
          </w:p>
        </w:tc>
        <w:tc>
          <w:tcPr>
            <w:tcW w:w="780" w:type="dxa"/>
            <w:vAlign w:val="bottom"/>
            <w:tcBorders>
              <w:bottom w:val="single" w:sz="8" w:color="auto"/>
            </w:tcBorders>
            <w:shd w:val="clear" w:color="auto" w:fill="CFF0FC"/>
          </w:tcPr>
          <w:p>
            <w:pPr>
              <w:spacing w:after="0"/>
              <w:rPr>
                <w:sz w:val="19"/>
                <w:szCs w:val="19"/>
                <w:color w:val="auto"/>
              </w:rPr>
            </w:pPr>
          </w:p>
        </w:tc>
        <w:tc>
          <w:tcPr>
            <w:tcW w:w="4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11.1</w:t>
            </w:r>
          </w:p>
        </w:tc>
        <w:tc>
          <w:tcPr>
            <w:tcW w:w="220" w:type="dxa"/>
            <w:vAlign w:val="bottom"/>
            <w:shd w:val="clear" w:color="auto" w:fill="CFF0FC"/>
          </w:tcPr>
          <w:p>
            <w:pPr>
              <w:spacing w:after="0"/>
              <w:rPr>
                <w:sz w:val="19"/>
                <w:szCs w:val="19"/>
                <w:color w:val="auto"/>
              </w:rPr>
            </w:pPr>
          </w:p>
        </w:tc>
        <w:tc>
          <w:tcPr>
            <w:tcW w:w="280" w:type="dxa"/>
            <w:vAlign w:val="bottom"/>
            <w:tcBorders>
              <w:bottom w:val="single" w:sz="8" w:color="auto"/>
            </w:tcBorders>
            <w:shd w:val="clear" w:color="auto" w:fill="CFF0FC"/>
          </w:tcPr>
          <w:p>
            <w:pPr>
              <w:spacing w:after="0"/>
              <w:rPr>
                <w:sz w:val="19"/>
                <w:szCs w:val="19"/>
                <w:color w:val="auto"/>
              </w:rPr>
            </w:pPr>
          </w:p>
        </w:tc>
        <w:tc>
          <w:tcPr>
            <w:tcW w:w="9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10.3</w:t>
            </w:r>
          </w:p>
        </w:tc>
        <w:tc>
          <w:tcPr>
            <w:tcW w:w="260" w:type="dxa"/>
            <w:vAlign w:val="bottom"/>
            <w:shd w:val="clear" w:color="auto" w:fill="CFF0FC"/>
          </w:tcPr>
          <w:p>
            <w:pPr>
              <w:spacing w:after="0"/>
              <w:rPr>
                <w:sz w:val="19"/>
                <w:szCs w:val="19"/>
                <w:color w:val="auto"/>
              </w:rPr>
            </w:pPr>
          </w:p>
        </w:tc>
      </w:tr>
      <w:tr>
        <w:trPr>
          <w:trHeight w:val="209"/>
        </w:trPr>
        <w:tc>
          <w:tcPr>
            <w:tcW w:w="7000" w:type="dxa"/>
            <w:vAlign w:val="bottom"/>
          </w:tcPr>
          <w:p>
            <w:pPr>
              <w:spacing w:after="0"/>
              <w:rPr>
                <w:sz w:val="20"/>
                <w:szCs w:val="20"/>
                <w:color w:val="auto"/>
              </w:rPr>
            </w:pPr>
            <w:r>
              <w:rPr>
                <w:rFonts w:ascii="Arial" w:cs="Arial" w:eastAsia="Arial" w:hAnsi="Arial"/>
                <w:sz w:val="18"/>
                <w:szCs w:val="18"/>
                <w:color w:val="auto"/>
                <w:w w:val="91"/>
              </w:rPr>
              <w:t>Weighted-average common and common equivalent shares outstanding – used in calculation of</w:t>
            </w:r>
          </w:p>
        </w:tc>
        <w:tc>
          <w:tcPr>
            <w:tcW w:w="16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260" w:type="dxa"/>
            <w:vAlign w:val="bottom"/>
          </w:tcPr>
          <w:p>
            <w:pPr>
              <w:spacing w:after="0"/>
              <w:rPr>
                <w:sz w:val="18"/>
                <w:szCs w:val="18"/>
                <w:color w:val="auto"/>
              </w:rPr>
            </w:pPr>
          </w:p>
        </w:tc>
      </w:tr>
      <w:tr>
        <w:trPr>
          <w:trHeight w:val="270"/>
        </w:trPr>
        <w:tc>
          <w:tcPr>
            <w:tcW w:w="7000" w:type="dxa"/>
            <w:vAlign w:val="bottom"/>
            <w:tcBorders>
              <w:bottom w:val="single" w:sz="8" w:color="CFF0FC"/>
            </w:tcBorders>
          </w:tcPr>
          <w:p>
            <w:pPr>
              <w:spacing w:after="0"/>
              <w:rPr>
                <w:sz w:val="20"/>
                <w:szCs w:val="20"/>
                <w:color w:val="auto"/>
              </w:rPr>
            </w:pPr>
            <w:r>
              <w:rPr>
                <w:rFonts w:ascii="Arial" w:cs="Arial" w:eastAsia="Arial" w:hAnsi="Arial"/>
                <w:sz w:val="18"/>
                <w:szCs w:val="18"/>
                <w:color w:val="auto"/>
              </w:rPr>
              <w:t>diluted EPS</w:t>
            </w:r>
          </w:p>
        </w:tc>
        <w:tc>
          <w:tcPr>
            <w:tcW w:w="160" w:type="dxa"/>
            <w:vAlign w:val="bottom"/>
            <w:tcBorders>
              <w:bottom w:val="single" w:sz="8" w:color="CFF0FC"/>
            </w:tcBorders>
          </w:tcPr>
          <w:p>
            <w:pPr>
              <w:spacing w:after="0"/>
              <w:rPr>
                <w:sz w:val="23"/>
                <w:szCs w:val="23"/>
                <w:color w:val="auto"/>
              </w:rPr>
            </w:pPr>
          </w:p>
        </w:tc>
        <w:tc>
          <w:tcPr>
            <w:tcW w:w="780" w:type="dxa"/>
            <w:vAlign w:val="bottom"/>
            <w:tcBorders>
              <w:bottom w:val="single" w:sz="8" w:color="auto"/>
            </w:tcBorders>
          </w:tcPr>
          <w:p>
            <w:pPr>
              <w:spacing w:after="0"/>
              <w:rPr>
                <w:sz w:val="23"/>
                <w:szCs w:val="23"/>
                <w:color w:val="auto"/>
              </w:rPr>
            </w:pPr>
          </w:p>
        </w:tc>
        <w:tc>
          <w:tcPr>
            <w:tcW w:w="4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3"/>
              </w:rPr>
              <w:t>268.1</w:t>
            </w:r>
          </w:p>
        </w:tc>
        <w:tc>
          <w:tcPr>
            <w:tcW w:w="220" w:type="dxa"/>
            <w:vAlign w:val="bottom"/>
            <w:tcBorders>
              <w:bottom w:val="single" w:sz="8" w:color="CFF0FC"/>
            </w:tcBorders>
          </w:tcPr>
          <w:p>
            <w:pPr>
              <w:spacing w:after="0"/>
              <w:rPr>
                <w:sz w:val="23"/>
                <w:szCs w:val="23"/>
                <w:color w:val="auto"/>
              </w:rPr>
            </w:pPr>
          </w:p>
        </w:tc>
        <w:tc>
          <w:tcPr>
            <w:tcW w:w="280" w:type="dxa"/>
            <w:vAlign w:val="bottom"/>
            <w:tcBorders>
              <w:bottom w:val="single" w:sz="8" w:color="auto"/>
            </w:tcBorders>
          </w:tcPr>
          <w:p>
            <w:pPr>
              <w:spacing w:after="0"/>
              <w:rPr>
                <w:sz w:val="23"/>
                <w:szCs w:val="23"/>
                <w:color w:val="auto"/>
              </w:rPr>
            </w:pP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265.6</w:t>
            </w:r>
          </w:p>
        </w:tc>
        <w:tc>
          <w:tcPr>
            <w:tcW w:w="260" w:type="dxa"/>
            <w:vAlign w:val="bottom"/>
            <w:tcBorders>
              <w:bottom w:val="single" w:sz="8" w:color="CFF0FC"/>
            </w:tcBorders>
          </w:tcPr>
          <w:p>
            <w:pPr>
              <w:spacing w:after="0"/>
              <w:rPr>
                <w:sz w:val="23"/>
                <w:szCs w:val="23"/>
                <w:color w:val="auto"/>
              </w:rPr>
            </w:pPr>
          </w:p>
        </w:tc>
      </w:tr>
      <w:tr>
        <w:trPr>
          <w:trHeight w:val="210"/>
        </w:trPr>
        <w:tc>
          <w:tcPr>
            <w:tcW w:w="700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780" w:type="dxa"/>
            <w:vAlign w:val="bottom"/>
            <w:shd w:val="clear" w:color="auto" w:fill="CFF0FC"/>
          </w:tcPr>
          <w:p>
            <w:pPr>
              <w:spacing w:after="0"/>
              <w:rPr>
                <w:sz w:val="18"/>
                <w:szCs w:val="18"/>
                <w:color w:val="auto"/>
              </w:rPr>
            </w:pPr>
          </w:p>
        </w:tc>
        <w:tc>
          <w:tcPr>
            <w:tcW w:w="46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280" w:type="dxa"/>
            <w:vAlign w:val="bottom"/>
            <w:shd w:val="clear" w:color="auto" w:fill="CFF0FC"/>
          </w:tcPr>
          <w:p>
            <w:pPr>
              <w:spacing w:after="0"/>
              <w:rPr>
                <w:sz w:val="18"/>
                <w:szCs w:val="18"/>
                <w:color w:val="auto"/>
              </w:rPr>
            </w:pPr>
          </w:p>
        </w:tc>
        <w:tc>
          <w:tcPr>
            <w:tcW w:w="940" w:type="dxa"/>
            <w:vAlign w:val="bottom"/>
            <w:shd w:val="clear" w:color="auto" w:fill="CFF0FC"/>
          </w:tcPr>
          <w:p>
            <w:pPr>
              <w:spacing w:after="0"/>
              <w:rPr>
                <w:sz w:val="18"/>
                <w:szCs w:val="18"/>
                <w:color w:val="auto"/>
              </w:rPr>
            </w:pPr>
          </w:p>
        </w:tc>
        <w:tc>
          <w:tcPr>
            <w:tcW w:w="260" w:type="dxa"/>
            <w:vAlign w:val="bottom"/>
            <w:shd w:val="clear" w:color="auto" w:fill="CFF0FC"/>
          </w:tcPr>
          <w:p>
            <w:pPr>
              <w:spacing w:after="0"/>
              <w:rPr>
                <w:sz w:val="18"/>
                <w:szCs w:val="18"/>
                <w:color w:val="auto"/>
              </w:rPr>
            </w:pPr>
          </w:p>
        </w:tc>
      </w:tr>
      <w:tr>
        <w:trPr>
          <w:trHeight w:val="230"/>
        </w:trPr>
        <w:tc>
          <w:tcPr>
            <w:tcW w:w="7000" w:type="dxa"/>
            <w:vAlign w:val="bottom"/>
          </w:tcPr>
          <w:p>
            <w:pPr>
              <w:spacing w:after="0"/>
              <w:rPr>
                <w:sz w:val="20"/>
                <w:szCs w:val="20"/>
                <w:color w:val="auto"/>
              </w:rPr>
            </w:pPr>
            <w:r>
              <w:rPr>
                <w:rFonts w:ascii="Arial" w:cs="Arial" w:eastAsia="Arial" w:hAnsi="Arial"/>
                <w:sz w:val="18"/>
                <w:szCs w:val="18"/>
                <w:color w:val="auto"/>
              </w:rPr>
              <w:t>Earnings per share – Basic</w:t>
            </w:r>
          </w:p>
        </w:tc>
        <w:tc>
          <w:tcPr>
            <w:tcW w:w="940" w:type="dxa"/>
            <w:vAlign w:val="bottom"/>
            <w:gridSpan w:val="2"/>
          </w:tcPr>
          <w:p>
            <w:pPr>
              <w:jc w:val="right"/>
              <w:ind w:right="602"/>
              <w:spacing w:after="0"/>
              <w:rPr>
                <w:sz w:val="20"/>
                <w:szCs w:val="20"/>
                <w:color w:val="auto"/>
              </w:rPr>
            </w:pPr>
            <w:r>
              <w:rPr>
                <w:rFonts w:ascii="Arial" w:cs="Arial" w:eastAsia="Arial" w:hAnsi="Arial"/>
                <w:sz w:val="18"/>
                <w:szCs w:val="18"/>
                <w:color w:val="auto"/>
              </w:rPr>
              <w:t>$</w:t>
            </w:r>
          </w:p>
        </w:tc>
        <w:tc>
          <w:tcPr>
            <w:tcW w:w="460" w:type="dxa"/>
            <w:vAlign w:val="bottom"/>
          </w:tcPr>
          <w:p>
            <w:pPr>
              <w:jc w:val="right"/>
              <w:spacing w:after="0"/>
              <w:rPr>
                <w:sz w:val="20"/>
                <w:szCs w:val="20"/>
                <w:color w:val="auto"/>
              </w:rPr>
            </w:pPr>
            <w:r>
              <w:rPr>
                <w:rFonts w:ascii="Arial" w:cs="Arial" w:eastAsia="Arial" w:hAnsi="Arial"/>
                <w:sz w:val="18"/>
                <w:szCs w:val="18"/>
                <w:color w:val="auto"/>
              </w:rPr>
              <w:t>0.68</w:t>
            </w:r>
          </w:p>
        </w:tc>
        <w:tc>
          <w:tcPr>
            <w:tcW w:w="500" w:type="dxa"/>
            <w:vAlign w:val="bottom"/>
            <w:gridSpan w:val="2"/>
          </w:tcPr>
          <w:p>
            <w:pPr>
              <w:jc w:val="right"/>
              <w:ind w:right="90"/>
              <w:spacing w:after="0"/>
              <w:rPr>
                <w:sz w:val="20"/>
                <w:szCs w:val="20"/>
                <w:color w:val="auto"/>
              </w:rPr>
            </w:pPr>
            <w:r>
              <w:rPr>
                <w:rFonts w:ascii="Arial" w:cs="Arial" w:eastAsia="Arial" w:hAnsi="Arial"/>
                <w:sz w:val="18"/>
                <w:szCs w:val="18"/>
                <w:color w:val="auto"/>
              </w:rPr>
              <w:t>$</w:t>
            </w:r>
          </w:p>
        </w:tc>
        <w:tc>
          <w:tcPr>
            <w:tcW w:w="940" w:type="dxa"/>
            <w:vAlign w:val="bottom"/>
          </w:tcPr>
          <w:p>
            <w:pPr>
              <w:jc w:val="right"/>
              <w:spacing w:after="0"/>
              <w:rPr>
                <w:sz w:val="20"/>
                <w:szCs w:val="20"/>
                <w:color w:val="auto"/>
              </w:rPr>
            </w:pPr>
            <w:r>
              <w:rPr>
                <w:rFonts w:ascii="Arial" w:cs="Arial" w:eastAsia="Arial" w:hAnsi="Arial"/>
                <w:sz w:val="18"/>
                <w:szCs w:val="18"/>
                <w:color w:val="auto"/>
              </w:rPr>
              <w:t>0.39</w:t>
            </w:r>
          </w:p>
        </w:tc>
        <w:tc>
          <w:tcPr>
            <w:tcW w:w="260" w:type="dxa"/>
            <w:vAlign w:val="bottom"/>
          </w:tcPr>
          <w:p>
            <w:pPr>
              <w:spacing w:after="0"/>
              <w:rPr>
                <w:sz w:val="19"/>
                <w:szCs w:val="19"/>
                <w:color w:val="auto"/>
              </w:rPr>
            </w:pPr>
          </w:p>
        </w:tc>
      </w:tr>
      <w:tr>
        <w:trPr>
          <w:trHeight w:val="230"/>
        </w:trPr>
        <w:tc>
          <w:tcPr>
            <w:tcW w:w="7000" w:type="dxa"/>
            <w:vAlign w:val="bottom"/>
            <w:shd w:val="clear" w:color="auto" w:fill="CFF0FC"/>
          </w:tcPr>
          <w:p>
            <w:pPr>
              <w:spacing w:after="0"/>
              <w:rPr>
                <w:sz w:val="20"/>
                <w:szCs w:val="20"/>
                <w:color w:val="auto"/>
              </w:rPr>
            </w:pPr>
            <w:r>
              <w:rPr>
                <w:rFonts w:ascii="Arial" w:cs="Arial" w:eastAsia="Arial" w:hAnsi="Arial"/>
                <w:sz w:val="18"/>
                <w:szCs w:val="18"/>
                <w:color w:val="auto"/>
              </w:rPr>
              <w:t>Earnings per share – Diluted</w:t>
            </w:r>
          </w:p>
        </w:tc>
        <w:tc>
          <w:tcPr>
            <w:tcW w:w="940" w:type="dxa"/>
            <w:vAlign w:val="bottom"/>
            <w:gridSpan w:val="2"/>
            <w:shd w:val="clear" w:color="auto" w:fill="CFF0FC"/>
          </w:tcPr>
          <w:p>
            <w:pPr>
              <w:jc w:val="right"/>
              <w:ind w:right="602"/>
              <w:spacing w:after="0"/>
              <w:rPr>
                <w:sz w:val="20"/>
                <w:szCs w:val="20"/>
                <w:color w:val="auto"/>
              </w:rPr>
            </w:pPr>
            <w:r>
              <w:rPr>
                <w:rFonts w:ascii="Arial" w:cs="Arial" w:eastAsia="Arial" w:hAnsi="Arial"/>
                <w:sz w:val="18"/>
                <w:szCs w:val="18"/>
                <w:color w:val="auto"/>
              </w:rPr>
              <w:t>$</w:t>
            </w:r>
          </w:p>
        </w:tc>
        <w:tc>
          <w:tcPr>
            <w:tcW w:w="4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0.65</w:t>
            </w:r>
          </w:p>
        </w:tc>
        <w:tc>
          <w:tcPr>
            <w:tcW w:w="500" w:type="dxa"/>
            <w:vAlign w:val="bottom"/>
            <w:gridSpan w:val="2"/>
            <w:shd w:val="clear" w:color="auto" w:fill="CFF0FC"/>
          </w:tcPr>
          <w:p>
            <w:pPr>
              <w:jc w:val="right"/>
              <w:ind w:right="90"/>
              <w:spacing w:after="0"/>
              <w:rPr>
                <w:sz w:val="20"/>
                <w:szCs w:val="20"/>
                <w:color w:val="auto"/>
              </w:rPr>
            </w:pPr>
            <w:r>
              <w:rPr>
                <w:rFonts w:ascii="Arial" w:cs="Arial" w:eastAsia="Arial" w:hAnsi="Arial"/>
                <w:sz w:val="18"/>
                <w:szCs w:val="18"/>
                <w:color w:val="auto"/>
              </w:rPr>
              <w:t>$</w:t>
            </w:r>
          </w:p>
        </w:tc>
        <w:tc>
          <w:tcPr>
            <w:tcW w:w="9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0.37</w:t>
            </w:r>
          </w:p>
        </w:tc>
        <w:tc>
          <w:tcPr>
            <w:tcW w:w="260" w:type="dxa"/>
            <w:vAlign w:val="bottom"/>
            <w:shd w:val="clear" w:color="auto" w:fill="CFF0FC"/>
          </w:tcPr>
          <w:p>
            <w:pPr>
              <w:spacing w:after="0"/>
              <w:rPr>
                <w:sz w:val="19"/>
                <w:szCs w:val="19"/>
                <w:color w:val="auto"/>
              </w:rPr>
            </w:pPr>
          </w:p>
        </w:tc>
      </w:tr>
    </w:tbl>
    <w:p>
      <w:pPr>
        <w:spacing w:after="0" w:line="229" w:lineRule="exact"/>
        <w:rPr>
          <w:sz w:val="20"/>
          <w:szCs w:val="20"/>
          <w:color w:val="auto"/>
        </w:rPr>
      </w:pPr>
    </w:p>
    <w:p>
      <w:pPr>
        <w:ind w:right="120" w:firstLine="510"/>
        <w:spacing w:after="0" w:line="308" w:lineRule="auto"/>
        <w:rPr>
          <w:sz w:val="20"/>
          <w:szCs w:val="20"/>
          <w:color w:val="auto"/>
        </w:rPr>
      </w:pPr>
      <w:r>
        <w:rPr>
          <w:rFonts w:ascii="Arial" w:cs="Arial" w:eastAsia="Arial" w:hAnsi="Arial"/>
          <w:sz w:val="17"/>
          <w:szCs w:val="17"/>
          <w:color w:val="auto"/>
        </w:rPr>
        <w:t>Stock options and SARs representing 16.4 million and 12.2 million shares were outstanding for the three months ended March 31, 2021 and 2020, respectively, but were not included in the computation of diluted EPS because the effect of including them would be anti-dilutive.</w:t>
      </w:r>
    </w:p>
    <w:p>
      <w:pPr>
        <w:spacing w:after="0" w:line="12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13—Commitments and Contingencies</w:t>
      </w:r>
    </w:p>
    <w:p>
      <w:pPr>
        <w:spacing w:after="0" w:line="229" w:lineRule="exact"/>
        <w:rPr>
          <w:sz w:val="20"/>
          <w:szCs w:val="20"/>
          <w:color w:val="auto"/>
        </w:rPr>
      </w:pPr>
    </w:p>
    <w:p>
      <w:pPr>
        <w:ind w:right="180" w:firstLine="510"/>
        <w:spacing w:after="0" w:line="277" w:lineRule="auto"/>
        <w:rPr>
          <w:sz w:val="20"/>
          <w:szCs w:val="20"/>
          <w:color w:val="auto"/>
        </w:rPr>
      </w:pPr>
      <w:r>
        <w:rPr>
          <w:rFonts w:ascii="Arial" w:cs="Arial" w:eastAsia="Arial" w:hAnsi="Arial"/>
          <w:sz w:val="18"/>
          <w:szCs w:val="18"/>
          <w:color w:val="auto"/>
        </w:rPr>
        <w:t>From time to time, we are subject to legal proceedings and claims. In our opinion, we are not involved in any litigation or proceedings that would have a material adverse effect on us or our business.</w:t>
      </w:r>
    </w:p>
    <w:p>
      <w:pPr>
        <w:spacing w:after="0" w:line="200" w:lineRule="exact"/>
        <w:rPr>
          <w:sz w:val="20"/>
          <w:szCs w:val="20"/>
          <w:color w:val="auto"/>
        </w:rPr>
      </w:pPr>
    </w:p>
    <w:p>
      <w:pPr>
        <w:spacing w:after="0" w:line="200" w:lineRule="exact"/>
        <w:rPr>
          <w:sz w:val="20"/>
          <w:szCs w:val="20"/>
          <w:color w:val="auto"/>
        </w:rPr>
      </w:pPr>
    </w:p>
    <w:p>
      <w:pPr>
        <w:spacing w:after="0" w:line="202"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180"/>
          </w:cols>
          <w:pgMar w:left="320" w:top="598" w:right="399" w:bottom="1440" w:gutter="0" w:footer="0" w:header="0"/>
        </w:sectPr>
      </w:pPr>
    </w:p>
    <w:bookmarkStart w:id="14" w:name="page15"/>
    <w:bookmarkEnd w:id="14"/>
    <w:p>
      <w:pPr>
        <w:spacing w:after="0"/>
        <w:rPr>
          <w:sz w:val="20"/>
          <w:szCs w:val="20"/>
          <w:color w:val="auto"/>
        </w:rPr>
      </w:pPr>
      <w:r>
        <w:rPr>
          <w:rFonts w:ascii="Arial" w:cs="Arial" w:eastAsia="Arial" w:hAnsi="Arial"/>
          <w:sz w:val="18"/>
          <w:szCs w:val="18"/>
          <w:i w:val="1"/>
          <w:iCs w:val="1"/>
          <w:color w:val="auto"/>
        </w:rPr>
        <w:t>Legal Proceedings</w:t>
      </w:r>
    </w:p>
    <w:p>
      <w:pPr>
        <w:spacing w:after="0" w:line="225" w:lineRule="exact"/>
        <w:rPr>
          <w:sz w:val="20"/>
          <w:szCs w:val="20"/>
          <w:color w:val="auto"/>
        </w:rPr>
      </w:pPr>
    </w:p>
    <w:p>
      <w:pPr>
        <w:ind w:firstLine="510"/>
        <w:spacing w:after="0" w:line="285" w:lineRule="auto"/>
        <w:rPr>
          <w:sz w:val="20"/>
          <w:szCs w:val="20"/>
          <w:color w:val="auto"/>
        </w:rPr>
      </w:pPr>
      <w:r>
        <w:rPr>
          <w:rFonts w:ascii="Arial" w:cs="Arial" w:eastAsia="Arial" w:hAnsi="Arial"/>
          <w:sz w:val="16"/>
          <w:szCs w:val="16"/>
          <w:color w:val="auto"/>
        </w:rPr>
        <w:t>A putative representative action suit was filed against DST, the Compensation Committee of DST’s Board of Directors, the Advisory Committee of DST Systems, Inc. 401(k) Profit Sharing Plan (the “Plan”) and certain of DST’s present and/or former officers and directors, alleging breach of fiduciary duties and other violations of the Employee Retirement Income Security Act (“ERISA”). On September 1, 2017, a complaint was filed purportedly on behalf of the Plan in the United States District Court for the Southern District of New York, captioned Ferguson, et al v. Ruane Cunniff &amp; Goldfarb Inc., et al., (“Ferguson”), naming as defendants DST, the Compensation Committee of DST’s Board of Directors, the Advisory Committee of the Plan and certain of DST’s present and/or former officers and directors (collectively the “DST Defendants”). On September 18, 2019, the United States District Court for the Southern District of New York granted a partial dismissal related to certain claims against the DST Defendants concerning the 401k portion of the Plan. On October 31, 2019, the DST Defendants filed an answer to the amended complaint and asserted crossclaims for contribution and/or indemnification against Ruane, Cunniff &amp; Goldfarb Inc. (“Ruane”). On January 9, 2020, Ruane filed an amended answer to the amended complaint asserting crossclaims for contribution and/or indemnification against DST. Both DST and Ruane have filed answers denying the crossclaims asserted against them. On April 10, 2020, Plaintiffs filed a motion for leave to file a third amended complaint as well as a motion to certify a class. The DST Defendants did not oppose those motions. The Court ordered supplemental briefing on Plaintiffs’ motion for class certification, which was completed on July 29, 2020. On March 8, 2021, the Court entered an order denying without prejudice Plaintiffs’ motions for leave to file a third amended complaint and for class certification, setting a new briefing schedule, and ordering that the parties address the effect, if any, on Plantiffs’ motions of the March 4, 2021 decision by the United States Court of Appeals for the Second Circuit Court in Cooper v. Ruane Cunniff &amp; Goldfarb Inc. Plaintiffs renewed their motions for leave to file a third amended complaint and for class certification on April 5, 2021. Those motions will be fully briefed on May 10, 2021.</w:t>
      </w:r>
    </w:p>
    <w:p>
      <w:pPr>
        <w:spacing w:after="0" w:line="176" w:lineRule="exact"/>
        <w:rPr>
          <w:sz w:val="20"/>
          <w:szCs w:val="20"/>
          <w:color w:val="auto"/>
        </w:rPr>
      </w:pPr>
    </w:p>
    <w:p>
      <w:pPr>
        <w:ind w:right="40" w:firstLine="510"/>
        <w:spacing w:after="0" w:line="285" w:lineRule="auto"/>
        <w:rPr>
          <w:sz w:val="20"/>
          <w:szCs w:val="20"/>
          <w:color w:val="auto"/>
        </w:rPr>
      </w:pPr>
      <w:r>
        <w:rPr>
          <w:rFonts w:ascii="Arial" w:cs="Arial" w:eastAsia="Arial" w:hAnsi="Arial"/>
          <w:sz w:val="16"/>
          <w:szCs w:val="16"/>
          <w:color w:val="auto"/>
        </w:rPr>
        <w:t>On July 10, 2020, Plaintiffs and the DST Defendants reached an agreement in principle to settle the putative class claims for $27 million, subject to the occurrence of certain conditions, including: Court certification of a “non-opt-out” class in the case that includes as class members all participants of the Plan, Court approval of the settlement in accordance with applicable law (i.e., including finding there was adequacy of class representation, fairness, adequacy of relief and equal treatment of class members) and the satisfactory resolution of claims made by certain other litigants. On September 18, 2020, the Parties submitted a letter to the Court disclosing that Plaintiffs and Ruane also had reached a settlement in principle, subject to Court approval. Plaintiffs and the DST Defendants entered into a settlement agreement dated January 8, 2021 memorializing the terms of their proposed settlement, which was filed by Plaintiffs with the Court on the same date. On January 12, 2021, Plaintiffs moved for preliminary approval of the settlement with the DST Defendants, as well as preliminary approval of a separate settlement reached between Plaintiffs and Ruane. The Arbitration Claimants, as defined below, and the U.S. Department of Labor (“DOL”) objected to various aspects of those settlements in filings dated January 15, 2021, January 27, 2021, and February 5, 2021. The objectors argue, among other things, that the proposed settlement should not be approved because they believe the settlement payment is inadequate in view of potential damages and the likelihood of success on the merits, that the certification of a “non-opt-out” class is impermissible, and that the Court cannot bar other litigants, including the DOL, from pursuing related claims against DST. On February 11, 2021, Plaintiffs and the DST Defendants filed responses in support of preliminary approval of the settlement. Plaintiffs’ motions for preliminary approval remain pending. Whether the settlement will be approved by the Court on the proposed terms or at all is uncertain, and there can be no assurance as to how the Court will rule. If a settlement by the DST Defendants concludes or becomes probable we would recognize a charge for the expected loss in the amount of the settlement. We would also expect to offset that loss in the amount of any remaining insurance covering such loss. If a settlement, including as described above, does not receive Court approval, we will continue to vigorously defend these matters. Due to the inherent uncertainties associated with the resolution of this litigation, including, in view of the objections, whether the proposed settlement receives Court approval on a preliminary or final basis, the ultimate resolution of and any potential exposure related to this matter is uncertain at this time.</w:t>
      </w:r>
    </w:p>
    <w:p>
      <w:pPr>
        <w:spacing w:after="0" w:line="169" w:lineRule="exact"/>
        <w:rPr>
          <w:sz w:val="20"/>
          <w:szCs w:val="20"/>
          <w:color w:val="auto"/>
        </w:rPr>
      </w:pPr>
    </w:p>
    <w:p>
      <w:pPr>
        <w:ind w:right="20" w:firstLine="510"/>
        <w:spacing w:after="0" w:line="269" w:lineRule="auto"/>
        <w:rPr>
          <w:sz w:val="20"/>
          <w:szCs w:val="20"/>
          <w:color w:val="auto"/>
        </w:rPr>
      </w:pPr>
      <w:r>
        <w:rPr>
          <w:rFonts w:ascii="Arial" w:cs="Arial" w:eastAsia="Arial" w:hAnsi="Arial"/>
          <w:sz w:val="17"/>
          <w:szCs w:val="17"/>
          <w:color w:val="auto"/>
        </w:rPr>
        <w:t>On September 28, 2018, a complaint was filed in the United States District Court for the Southern District of New York captioned Robert Canfield, et al. v. SS&amp;C Technologies Holdings, Inc., et al., on behalf of five individual plaintiffs. On November 5, 2018, a similar complaint was filed in the United States District Court for the Southern District of New York captioned Mark Mendon, et al. v. SS&amp;C Technologies Holdings, Inc., et al., on behalf of two individual plaintiffs. These complaints name as defendants SS&amp;C, DST, the Advisory Committee of the Plan, the Compensation Committee of DST’s Board of Directors, and Ruane. The underlying claim in each complaint is the same as in the above-described Ferguson matter, with the exception that these actions purport to be brought as individual actions and not putative class actions. On February 18, 2020, the DST Defendants moved to disqualify plaintiffs’ counsel in these actions and in nearly all of the arbitrations described below. Those motions were fully briefed on March 24, 2020. On July 6, 2020, plaintiffs filed a notice of voluntary dismissal, in which they sought to dismiss claims against Ruane with prejudice. On July 10, 2020, the Court entered an order granting the DST Defendants’ motion to disqualify plaintiffs’ counsel from the U.S. federal court cases (the “Cases”). On July 24, 2020, the parties filed memoranda of law addressing the Court’s authority to disqualify plaintiffs’ counsel from the arbitrations described below, in addition to the Cases. On July 24, 2020, plaintiffs moved for reconsideration of the Court’s July 10, 2020 order disqualifying plaintiffs’ counsel in the Cases. On March 17, 2021, the Court issued</w:t>
      </w:r>
    </w:p>
    <w:p>
      <w:pPr>
        <w:spacing w:after="0" w:line="17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773" w:right="339" w:bottom="1440" w:gutter="0" w:footer="0" w:header="0"/>
        </w:sectPr>
      </w:pPr>
    </w:p>
    <w:bookmarkStart w:id="15" w:name="page16"/>
    <w:bookmarkEnd w:id="15"/>
    <w:p>
      <w:pPr>
        <w:ind w:right="20"/>
        <w:spacing w:after="0" w:line="253" w:lineRule="auto"/>
        <w:rPr>
          <w:sz w:val="20"/>
          <w:szCs w:val="20"/>
          <w:color w:val="auto"/>
        </w:rPr>
      </w:pPr>
      <w:r>
        <w:rPr>
          <w:rFonts w:ascii="Arial" w:cs="Arial" w:eastAsia="Arial" w:hAnsi="Arial"/>
          <w:sz w:val="18"/>
          <w:szCs w:val="18"/>
          <w:color w:val="auto"/>
        </w:rPr>
        <w:t>an opinion and order denying the DST Defendants’ motion to disqualify plaintiffs’ counsel from the arbitrations described below. On March 17, 2021, the Court also issued an opinion and order denying plaintiffs’ motion for reconsideration of the July 10, 2020 order disqualifying plaintiffs’ counsel in the Cases. On April 8, 2021, the Court held a conference and directed the DST Defendants to file any motion to dismiss these actions by April 22, 2021. On April 12, 2021, plaintiffs filed a new notice of voluntary dismissal dismissing their claims against Ruane with prejudice, which was entered by the Court on April 13, 2021.</w:t>
      </w:r>
    </w:p>
    <w:p>
      <w:pPr>
        <w:spacing w:after="0" w:line="3" w:lineRule="exact"/>
        <w:rPr>
          <w:sz w:val="20"/>
          <w:szCs w:val="20"/>
          <w:color w:val="auto"/>
        </w:rPr>
      </w:pPr>
    </w:p>
    <w:p>
      <w:pPr>
        <w:ind w:right="60" w:firstLine="510"/>
        <w:spacing w:after="0" w:line="250" w:lineRule="auto"/>
        <w:rPr>
          <w:sz w:val="20"/>
          <w:szCs w:val="20"/>
          <w:color w:val="auto"/>
        </w:rPr>
      </w:pPr>
      <w:r>
        <w:rPr>
          <w:rFonts w:ascii="Arial" w:cs="Arial" w:eastAsia="Arial" w:hAnsi="Arial"/>
          <w:sz w:val="18"/>
          <w:szCs w:val="18"/>
          <w:color w:val="auto"/>
        </w:rPr>
        <w:t>DST, the Advisory Committee of the Plan, and the Compensation Committee of DST’s Board of Directors have been named in 546 substantially similar individual demands for arbitration through April 15, 2021, by former and current DST employees demanding arbitration under the DST Employee Arbitration Program and Agreement (the “Arbitration Claimants”). The underlying claim in each is the same as in the above-described Ferguson matter, with the exception that the arbitrations purport to be brought as individual actions and not putative class actions. As of April 15, 2021, the parties have jointly submitted 468 of the demands for arbitration to the American Arbitration Association (the “AAA”). The individual arbitrations are at various stages depending on the particular proceeding. Certain of the arbitrations have resulted in awards against DST and others have resulted in decisions finding no liability as against DST. Many of these decisions are subject to further appeal within the AAA. Certain of the arbitration proceedings have been resolved in whole or in part by settlement.</w:t>
      </w:r>
    </w:p>
    <w:p>
      <w:pPr>
        <w:spacing w:after="0" w:line="3" w:lineRule="exact"/>
        <w:rPr>
          <w:sz w:val="20"/>
          <w:szCs w:val="20"/>
          <w:color w:val="auto"/>
        </w:rPr>
      </w:pPr>
    </w:p>
    <w:p>
      <w:pPr>
        <w:ind w:firstLine="510"/>
        <w:spacing w:after="0" w:line="265" w:lineRule="auto"/>
        <w:rPr>
          <w:sz w:val="20"/>
          <w:szCs w:val="20"/>
          <w:color w:val="auto"/>
        </w:rPr>
      </w:pPr>
      <w:r>
        <w:rPr>
          <w:rFonts w:ascii="Arial" w:cs="Arial" w:eastAsia="Arial" w:hAnsi="Arial"/>
          <w:sz w:val="17"/>
          <w:szCs w:val="17"/>
          <w:color w:val="auto"/>
        </w:rPr>
        <w:t>On October 8, 2019, a substantially similar action to the above-described Ferguson, Canfield, Mendon and arbitration matters captioned Scalia v. Ruane, Cunniff &amp; Goldfarb Inc. was filed by the DOL in the United States District Court for the Southern District of New York naming as defendants DST, the Advisory Committee of the Plan, the Compensation Committee of DST’s Board of Directors and certain of DST’s former officers and directors (“DST DOL Defendants”), and alleging that the DST DOL Defendants breached fiduciary duties in violation of ERISA in connection with the Plan. The complaint also names as defendants Ruane and its former Chairman and Chief Executive Officer Robert D. Goldfarb. In the complaint, the DOL seeks disgorgement, damages and any other appropriate injunctive or equitable relief. The DST DOL Defendants moved to dismiss the complaint on December 4, 2020 on the ground that the DOL’s complaint is time-barred. Other defendants also filed motions to dismiss on the same and other grounds. Briefing on the motions to dismiss was completed on February 5, 2021. All defendants’ motions to dismiss remain pending.</w:t>
      </w:r>
    </w:p>
    <w:p>
      <w:pPr>
        <w:spacing w:after="0" w:line="1" w:lineRule="exact"/>
        <w:rPr>
          <w:sz w:val="20"/>
          <w:szCs w:val="20"/>
          <w:color w:val="auto"/>
        </w:rPr>
      </w:pPr>
    </w:p>
    <w:p>
      <w:pPr>
        <w:ind w:right="20" w:firstLine="510"/>
        <w:spacing w:after="0" w:line="265" w:lineRule="auto"/>
        <w:rPr>
          <w:sz w:val="20"/>
          <w:szCs w:val="20"/>
          <w:color w:val="auto"/>
        </w:rPr>
      </w:pPr>
      <w:r>
        <w:rPr>
          <w:rFonts w:ascii="Arial" w:cs="Arial" w:eastAsia="Arial" w:hAnsi="Arial"/>
          <w:sz w:val="17"/>
          <w:szCs w:val="17"/>
          <w:color w:val="auto"/>
        </w:rPr>
        <w:t>On June 25, 2020, a complaint was filed against DST in the Circuit Court of Jackson County, Missouri, captioned Ostrander et al. v. DST Systems, Inc., on behalf of five individual plaintiffs. The underlying claim is the same as in the above-described Canfield and Mendon matters. DST removed the action to the United States District Court for the Western District of Missouri on December 10, 2020. On December 28, 2020, DST moved to dismiss the case or, in the alternative, transfer it to the United States District Court for the Southern District of New York. Plaintiffs opposed that motion on January 21, 2021. DST’s motion was fully briefed on February 4, 2021, and remains pending.</w:t>
      </w:r>
    </w:p>
    <w:p>
      <w:pPr>
        <w:spacing w:after="0" w:line="1" w:lineRule="exact"/>
        <w:rPr>
          <w:sz w:val="20"/>
          <w:szCs w:val="20"/>
          <w:color w:val="auto"/>
        </w:rPr>
      </w:pPr>
    </w:p>
    <w:p>
      <w:pPr>
        <w:ind w:right="20" w:firstLine="510"/>
        <w:spacing w:after="0" w:line="250" w:lineRule="auto"/>
        <w:rPr>
          <w:sz w:val="20"/>
          <w:szCs w:val="20"/>
          <w:color w:val="auto"/>
        </w:rPr>
      </w:pPr>
      <w:r>
        <w:rPr>
          <w:rFonts w:ascii="Arial" w:cs="Arial" w:eastAsia="Arial" w:hAnsi="Arial"/>
          <w:sz w:val="18"/>
          <w:szCs w:val="18"/>
          <w:color w:val="auto"/>
        </w:rPr>
        <w:t>On November 11, 2020, DST, the Compensation Committee of DST’s Board of Directors, and the Advisory Committee of the Plan filed a complaint in the United States District Court for the Southern District of New York against Ruane, certain of its related entities, and certain of its current and former employees. The complaint asserts claims for contribution, indemnification, and breach of contract arising out of Ruane’s management of the Plan’s investments. The complaint also asserts claims for actual and constructive fraudulent conveyances. The defendants have not yet answered or otherwise responded to the complaint.</w:t>
      </w:r>
    </w:p>
    <w:p>
      <w:pPr>
        <w:spacing w:after="0" w:line="2" w:lineRule="exact"/>
        <w:rPr>
          <w:sz w:val="20"/>
          <w:szCs w:val="20"/>
          <w:color w:val="auto"/>
        </w:rPr>
      </w:pPr>
    </w:p>
    <w:p>
      <w:pPr>
        <w:ind w:right="100" w:firstLine="510"/>
        <w:spacing w:after="0" w:line="260" w:lineRule="auto"/>
        <w:rPr>
          <w:sz w:val="20"/>
          <w:szCs w:val="20"/>
          <w:color w:val="auto"/>
        </w:rPr>
      </w:pPr>
      <w:r>
        <w:rPr>
          <w:rFonts w:ascii="Arial" w:cs="Arial" w:eastAsia="Arial" w:hAnsi="Arial"/>
          <w:sz w:val="18"/>
          <w:szCs w:val="18"/>
          <w:color w:val="auto"/>
        </w:rPr>
        <w:t>We continue to vigorously defend these matters. We have not yet determined the extent to which these matters will impact our financial position or results of operations.</w:t>
      </w:r>
    </w:p>
    <w:p>
      <w:pPr>
        <w:spacing w:after="0" w:line="208" w:lineRule="exact"/>
        <w:rPr>
          <w:sz w:val="20"/>
          <w:szCs w:val="20"/>
          <w:color w:val="auto"/>
        </w:rPr>
      </w:pPr>
    </w:p>
    <w:p>
      <w:pPr>
        <w:spacing w:after="0"/>
        <w:tabs>
          <w:tab w:leader="none" w:pos="1000" w:val="left"/>
        </w:tabs>
        <w:rPr>
          <w:sz w:val="20"/>
          <w:szCs w:val="20"/>
          <w:color w:val="auto"/>
        </w:rPr>
      </w:pPr>
      <w:r>
        <w:rPr>
          <w:rFonts w:ascii="Arial" w:cs="Arial" w:eastAsia="Arial" w:hAnsi="Arial"/>
          <w:sz w:val="18"/>
          <w:szCs w:val="18"/>
          <w:b w:val="1"/>
          <w:bCs w:val="1"/>
          <w:color w:val="auto"/>
        </w:rPr>
        <w:t>Item 2.</w:t>
      </w:r>
      <w:r>
        <w:rPr>
          <w:sz w:val="20"/>
          <w:szCs w:val="20"/>
          <w:color w:val="auto"/>
        </w:rPr>
        <w:tab/>
      </w:r>
      <w:r>
        <w:rPr>
          <w:rFonts w:ascii="Arial" w:cs="Arial" w:eastAsia="Arial" w:hAnsi="Arial"/>
          <w:sz w:val="16"/>
          <w:szCs w:val="16"/>
          <w:b w:val="1"/>
          <w:bCs w:val="1"/>
          <w:color w:val="auto"/>
        </w:rPr>
        <w:t>Management’s Discussion and Analysis of Financial Condition and Results of Operations</w:t>
      </w:r>
    </w:p>
    <w:p>
      <w:pPr>
        <w:spacing w:after="0" w:line="121" w:lineRule="exact"/>
        <w:rPr>
          <w:sz w:val="20"/>
          <w:szCs w:val="20"/>
          <w:color w:val="auto"/>
        </w:rPr>
      </w:pPr>
    </w:p>
    <w:p>
      <w:pPr>
        <w:ind w:right="140" w:firstLine="510"/>
        <w:spacing w:after="0" w:line="273" w:lineRule="auto"/>
        <w:rPr>
          <w:sz w:val="20"/>
          <w:szCs w:val="20"/>
          <w:color w:val="auto"/>
        </w:rPr>
      </w:pPr>
      <w:r>
        <w:rPr>
          <w:rFonts w:ascii="Arial" w:cs="Arial" w:eastAsia="Arial" w:hAnsi="Arial"/>
          <w:sz w:val="17"/>
          <w:szCs w:val="17"/>
          <w:color w:val="auto"/>
        </w:rPr>
        <w:t>This Management’s Discussion and Analysis of Financial Condition and Results of Operations, or MD&amp;A, is intended to provide readers of our Condensed Consolidated Financial Statements with the perspectives of management. It presents, in narrative form, information regarding our financial condition, results of operations, liquidity and certain other factors that may affect our future results. It should be read in conjunction with our 2020 Form 10-K and the Condensed Consolidated Financial Statements included in this Form 10-Q. We use the term organic to refer to the businesses and operations that are included in the comparable prior year period on a constant currency basis. Organic excludes the impact of any business which we acquired for the time period which would impact the comparable prior year period.</w:t>
      </w:r>
    </w:p>
    <w:p>
      <w:pPr>
        <w:spacing w:after="0" w:line="70" w:lineRule="exact"/>
        <w:rPr>
          <w:sz w:val="20"/>
          <w:szCs w:val="20"/>
          <w:color w:val="auto"/>
        </w:rPr>
      </w:pPr>
    </w:p>
    <w:p>
      <w:pPr>
        <w:ind w:right="60" w:firstLine="510"/>
        <w:spacing w:after="0" w:line="255" w:lineRule="auto"/>
        <w:rPr>
          <w:sz w:val="20"/>
          <w:szCs w:val="20"/>
          <w:color w:val="auto"/>
        </w:rPr>
      </w:pPr>
      <w:r>
        <w:rPr>
          <w:rFonts w:ascii="Arial" w:cs="Arial" w:eastAsia="Arial" w:hAnsi="Arial"/>
          <w:sz w:val="18"/>
          <w:szCs w:val="18"/>
          <w:color w:val="auto"/>
        </w:rPr>
        <w:t>The impacts of COVID-19 and related economic conditions on our results are uncertain and, in many respects, outside our control. While we have experienced some client delays in committing to services and products, to date we have experienced no direct material negative effects on our business and results of operations as a result of the COVID-19 pandemic. The situation remains dynamic and subject to rapid and possibly material change, which ultimately could result in material negative effects on our business and results of operations. We will continue to evaluate the nature and extent of the potential impacts to our business, consolidated results of operations, liquidity and capital resources. There have been impacts on our expenses during the three months ended March</w:t>
      </w:r>
    </w:p>
    <w:p>
      <w:pPr>
        <w:spacing w:after="0" w:line="19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557" w:right="339" w:bottom="1440" w:gutter="0" w:footer="0" w:header="0"/>
        </w:sectPr>
      </w:pPr>
    </w:p>
    <w:bookmarkStart w:id="16" w:name="page17"/>
    <w:bookmarkEnd w:id="16"/>
    <w:p>
      <w:pPr>
        <w:ind w:right="380"/>
        <w:spacing w:after="0" w:line="277" w:lineRule="auto"/>
        <w:rPr>
          <w:sz w:val="20"/>
          <w:szCs w:val="20"/>
          <w:color w:val="auto"/>
        </w:rPr>
      </w:pPr>
      <w:r>
        <w:rPr>
          <w:rFonts w:ascii="Arial" w:cs="Arial" w:eastAsia="Arial" w:hAnsi="Arial"/>
          <w:sz w:val="18"/>
          <w:szCs w:val="18"/>
          <w:color w:val="auto"/>
        </w:rPr>
        <w:t>31, 2021. While certain communications and technology costs have increased to support a primarily remote working environment, overall our organic expenses decreased due to travel restrictions and other related savings associated with the current environment.</w:t>
      </w:r>
    </w:p>
    <w:p>
      <w:pPr>
        <w:spacing w:after="0" w:line="5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Critical Accounting Policies</w:t>
      </w:r>
    </w:p>
    <w:p>
      <w:pPr>
        <w:spacing w:after="0" w:line="121" w:lineRule="exact"/>
        <w:rPr>
          <w:sz w:val="20"/>
          <w:szCs w:val="20"/>
          <w:color w:val="auto"/>
        </w:rPr>
      </w:pPr>
    </w:p>
    <w:p>
      <w:pPr>
        <w:ind w:right="100" w:firstLine="510"/>
        <w:spacing w:after="0" w:line="272" w:lineRule="auto"/>
        <w:rPr>
          <w:sz w:val="20"/>
          <w:szCs w:val="20"/>
          <w:color w:val="auto"/>
        </w:rPr>
      </w:pPr>
      <w:r>
        <w:rPr>
          <w:rFonts w:ascii="Arial" w:cs="Arial" w:eastAsia="Arial" w:hAnsi="Arial"/>
          <w:sz w:val="17"/>
          <w:szCs w:val="17"/>
          <w:color w:val="auto"/>
        </w:rPr>
        <w:t>Certain of our accounting policies require the application of significant judgment by our management, and such judgments are reflected in the amounts reported in our Condensed Consolidated Financial Statements. In applying these policies, our management uses its judgment to determine the appropriate assumptions to be used in the determination of estimates. Those estimates are based on our historical experience, terms of existing contracts, management’s observation of trends in the industry, information provided by our clients and information available from other outside sources, as appropriate. Actual results may differ significantly from the estimates contained in our Condensed Consolidated Financial Statements. There have been no material changes to our critical accounting estimates and assumptions or the judgments affecting the application of those estimates and assumptions since the filing of our 2020 Form 10-K. Our critical accounting policies are described in the 2020 Form 10-K and include:</w:t>
      </w:r>
    </w:p>
    <w:p>
      <w:pPr>
        <w:spacing w:after="0" w:line="69" w:lineRule="exact"/>
        <w:rPr>
          <w:sz w:val="20"/>
          <w:szCs w:val="20"/>
          <w:color w:val="auto"/>
        </w:rPr>
      </w:pPr>
    </w:p>
    <w:p>
      <w:pPr>
        <w:ind w:left="1000" w:hanging="493"/>
        <w:spacing w:after="0"/>
        <w:tabs>
          <w:tab w:leader="none" w:pos="1000" w:val="left"/>
        </w:tabs>
        <w:numPr>
          <w:ilvl w:val="0"/>
          <w:numId w:val="4"/>
        </w:numPr>
        <w:rPr>
          <w:rFonts w:ascii="Arial" w:cs="Arial" w:eastAsia="Arial" w:hAnsi="Arial"/>
          <w:sz w:val="18"/>
          <w:szCs w:val="18"/>
          <w:color w:val="auto"/>
        </w:rPr>
      </w:pPr>
      <w:r>
        <w:rPr>
          <w:rFonts w:ascii="Arial" w:cs="Arial" w:eastAsia="Arial" w:hAnsi="Arial"/>
          <w:sz w:val="18"/>
          <w:szCs w:val="18"/>
          <w:color w:val="auto"/>
        </w:rPr>
        <w:t>Investments</w:t>
      </w:r>
    </w:p>
    <w:p>
      <w:pPr>
        <w:spacing w:after="0" w:line="23" w:lineRule="exact"/>
        <w:rPr>
          <w:rFonts w:ascii="Arial" w:cs="Arial" w:eastAsia="Arial" w:hAnsi="Arial"/>
          <w:sz w:val="18"/>
          <w:szCs w:val="18"/>
          <w:color w:val="auto"/>
        </w:rPr>
      </w:pPr>
    </w:p>
    <w:p>
      <w:pPr>
        <w:ind w:left="1000" w:hanging="493"/>
        <w:spacing w:after="0"/>
        <w:tabs>
          <w:tab w:leader="none" w:pos="1000" w:val="left"/>
        </w:tabs>
        <w:numPr>
          <w:ilvl w:val="0"/>
          <w:numId w:val="4"/>
        </w:numPr>
        <w:rPr>
          <w:rFonts w:ascii="Arial" w:cs="Arial" w:eastAsia="Arial" w:hAnsi="Arial"/>
          <w:sz w:val="18"/>
          <w:szCs w:val="18"/>
          <w:color w:val="auto"/>
        </w:rPr>
      </w:pPr>
      <w:r>
        <w:rPr>
          <w:rFonts w:ascii="Arial" w:cs="Arial" w:eastAsia="Arial" w:hAnsi="Arial"/>
          <w:sz w:val="18"/>
          <w:szCs w:val="18"/>
          <w:color w:val="auto"/>
        </w:rPr>
        <w:t>Long-Lived Assets, Intangible Assets and Goodwill</w:t>
      </w:r>
    </w:p>
    <w:p>
      <w:pPr>
        <w:spacing w:after="0" w:line="9" w:lineRule="exact"/>
        <w:rPr>
          <w:rFonts w:ascii="Arial" w:cs="Arial" w:eastAsia="Arial" w:hAnsi="Arial"/>
          <w:sz w:val="18"/>
          <w:szCs w:val="18"/>
          <w:color w:val="auto"/>
        </w:rPr>
      </w:pPr>
    </w:p>
    <w:p>
      <w:pPr>
        <w:ind w:left="1000" w:hanging="493"/>
        <w:spacing w:after="0"/>
        <w:tabs>
          <w:tab w:leader="none" w:pos="1000" w:val="left"/>
        </w:tabs>
        <w:numPr>
          <w:ilvl w:val="0"/>
          <w:numId w:val="4"/>
        </w:numPr>
        <w:rPr>
          <w:rFonts w:ascii="Arial" w:cs="Arial" w:eastAsia="Arial" w:hAnsi="Arial"/>
          <w:sz w:val="18"/>
          <w:szCs w:val="18"/>
          <w:color w:val="auto"/>
        </w:rPr>
      </w:pPr>
      <w:r>
        <w:rPr>
          <w:rFonts w:ascii="Arial" w:cs="Arial" w:eastAsia="Arial" w:hAnsi="Arial"/>
          <w:sz w:val="18"/>
          <w:szCs w:val="18"/>
          <w:color w:val="auto"/>
        </w:rPr>
        <w:t>Software Capitalization</w:t>
      </w:r>
    </w:p>
    <w:p>
      <w:pPr>
        <w:spacing w:after="0" w:line="9" w:lineRule="exact"/>
        <w:rPr>
          <w:rFonts w:ascii="Arial" w:cs="Arial" w:eastAsia="Arial" w:hAnsi="Arial"/>
          <w:sz w:val="18"/>
          <w:szCs w:val="18"/>
          <w:color w:val="auto"/>
        </w:rPr>
      </w:pPr>
    </w:p>
    <w:p>
      <w:pPr>
        <w:ind w:left="1000" w:hanging="493"/>
        <w:spacing w:after="0"/>
        <w:tabs>
          <w:tab w:leader="none" w:pos="1000" w:val="left"/>
        </w:tabs>
        <w:numPr>
          <w:ilvl w:val="0"/>
          <w:numId w:val="4"/>
        </w:numPr>
        <w:rPr>
          <w:rFonts w:ascii="Arial" w:cs="Arial" w:eastAsia="Arial" w:hAnsi="Arial"/>
          <w:sz w:val="18"/>
          <w:szCs w:val="18"/>
          <w:color w:val="auto"/>
        </w:rPr>
      </w:pPr>
      <w:r>
        <w:rPr>
          <w:rFonts w:ascii="Arial" w:cs="Arial" w:eastAsia="Arial" w:hAnsi="Arial"/>
          <w:sz w:val="18"/>
          <w:szCs w:val="18"/>
          <w:color w:val="auto"/>
        </w:rPr>
        <w:t>Acquisition Accounting</w:t>
      </w:r>
    </w:p>
    <w:p>
      <w:pPr>
        <w:spacing w:after="0" w:line="9" w:lineRule="exact"/>
        <w:rPr>
          <w:rFonts w:ascii="Arial" w:cs="Arial" w:eastAsia="Arial" w:hAnsi="Arial"/>
          <w:sz w:val="18"/>
          <w:szCs w:val="18"/>
          <w:color w:val="auto"/>
        </w:rPr>
      </w:pPr>
    </w:p>
    <w:p>
      <w:pPr>
        <w:ind w:left="1000" w:hanging="493"/>
        <w:spacing w:after="0"/>
        <w:tabs>
          <w:tab w:leader="none" w:pos="1000" w:val="left"/>
        </w:tabs>
        <w:numPr>
          <w:ilvl w:val="0"/>
          <w:numId w:val="4"/>
        </w:numPr>
        <w:rPr>
          <w:rFonts w:ascii="Arial" w:cs="Arial" w:eastAsia="Arial" w:hAnsi="Arial"/>
          <w:sz w:val="18"/>
          <w:szCs w:val="18"/>
          <w:color w:val="auto"/>
        </w:rPr>
      </w:pPr>
      <w:r>
        <w:rPr>
          <w:rFonts w:ascii="Arial" w:cs="Arial" w:eastAsia="Arial" w:hAnsi="Arial"/>
          <w:sz w:val="18"/>
          <w:szCs w:val="18"/>
          <w:color w:val="auto"/>
        </w:rPr>
        <w:t>Revenue Recognition</w:t>
      </w:r>
    </w:p>
    <w:p>
      <w:pPr>
        <w:spacing w:after="0" w:line="9" w:lineRule="exact"/>
        <w:rPr>
          <w:rFonts w:ascii="Arial" w:cs="Arial" w:eastAsia="Arial" w:hAnsi="Arial"/>
          <w:sz w:val="18"/>
          <w:szCs w:val="18"/>
          <w:color w:val="auto"/>
        </w:rPr>
      </w:pPr>
    </w:p>
    <w:p>
      <w:pPr>
        <w:ind w:left="1000" w:hanging="493"/>
        <w:spacing w:after="0"/>
        <w:tabs>
          <w:tab w:leader="none" w:pos="1000" w:val="left"/>
        </w:tabs>
        <w:numPr>
          <w:ilvl w:val="0"/>
          <w:numId w:val="4"/>
        </w:numPr>
        <w:rPr>
          <w:rFonts w:ascii="Arial" w:cs="Arial" w:eastAsia="Arial" w:hAnsi="Arial"/>
          <w:sz w:val="18"/>
          <w:szCs w:val="18"/>
          <w:color w:val="auto"/>
        </w:rPr>
      </w:pPr>
      <w:r>
        <w:rPr>
          <w:rFonts w:ascii="Arial" w:cs="Arial" w:eastAsia="Arial" w:hAnsi="Arial"/>
          <w:sz w:val="18"/>
          <w:szCs w:val="18"/>
          <w:color w:val="auto"/>
        </w:rPr>
        <w:t>Depreciation of Fixed Assets</w:t>
      </w:r>
    </w:p>
    <w:p>
      <w:pPr>
        <w:spacing w:after="0" w:line="9" w:lineRule="exact"/>
        <w:rPr>
          <w:rFonts w:ascii="Arial" w:cs="Arial" w:eastAsia="Arial" w:hAnsi="Arial"/>
          <w:sz w:val="18"/>
          <w:szCs w:val="18"/>
          <w:color w:val="auto"/>
        </w:rPr>
      </w:pPr>
    </w:p>
    <w:p>
      <w:pPr>
        <w:ind w:left="1000" w:hanging="493"/>
        <w:spacing w:after="0"/>
        <w:tabs>
          <w:tab w:leader="none" w:pos="1000" w:val="left"/>
        </w:tabs>
        <w:numPr>
          <w:ilvl w:val="0"/>
          <w:numId w:val="4"/>
        </w:numPr>
        <w:rPr>
          <w:rFonts w:ascii="Arial" w:cs="Arial" w:eastAsia="Arial" w:hAnsi="Arial"/>
          <w:sz w:val="18"/>
          <w:szCs w:val="18"/>
          <w:color w:val="auto"/>
        </w:rPr>
      </w:pPr>
      <w:r>
        <w:rPr>
          <w:rFonts w:ascii="Arial" w:cs="Arial" w:eastAsia="Arial" w:hAnsi="Arial"/>
          <w:sz w:val="18"/>
          <w:szCs w:val="18"/>
          <w:color w:val="auto"/>
        </w:rPr>
        <w:t>Stock-based Compensation</w:t>
      </w:r>
    </w:p>
    <w:p>
      <w:pPr>
        <w:spacing w:after="0" w:line="9" w:lineRule="exact"/>
        <w:rPr>
          <w:rFonts w:ascii="Arial" w:cs="Arial" w:eastAsia="Arial" w:hAnsi="Arial"/>
          <w:sz w:val="18"/>
          <w:szCs w:val="18"/>
          <w:color w:val="auto"/>
        </w:rPr>
      </w:pPr>
    </w:p>
    <w:p>
      <w:pPr>
        <w:ind w:left="1000" w:hanging="493"/>
        <w:spacing w:after="0"/>
        <w:tabs>
          <w:tab w:leader="none" w:pos="1000" w:val="left"/>
        </w:tabs>
        <w:numPr>
          <w:ilvl w:val="0"/>
          <w:numId w:val="4"/>
        </w:numPr>
        <w:rPr>
          <w:rFonts w:ascii="Arial" w:cs="Arial" w:eastAsia="Arial" w:hAnsi="Arial"/>
          <w:sz w:val="18"/>
          <w:szCs w:val="18"/>
          <w:color w:val="auto"/>
        </w:rPr>
      </w:pPr>
      <w:r>
        <w:rPr>
          <w:rFonts w:ascii="Arial" w:cs="Arial" w:eastAsia="Arial" w:hAnsi="Arial"/>
          <w:sz w:val="18"/>
          <w:szCs w:val="18"/>
          <w:color w:val="auto"/>
        </w:rPr>
        <w:t>Income Taxes</w:t>
      </w:r>
    </w:p>
    <w:p>
      <w:pPr>
        <w:spacing w:after="0" w:line="9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Results of Operations</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Revenues</w:t>
      </w:r>
    </w:p>
    <w:p>
      <w:pPr>
        <w:spacing w:after="0" w:line="117" w:lineRule="exact"/>
        <w:rPr>
          <w:sz w:val="20"/>
          <w:szCs w:val="20"/>
          <w:color w:val="auto"/>
        </w:rPr>
      </w:pPr>
    </w:p>
    <w:p>
      <w:pPr>
        <w:ind w:right="40" w:firstLine="510"/>
        <w:spacing w:after="0" w:line="269" w:lineRule="auto"/>
        <w:rPr>
          <w:sz w:val="20"/>
          <w:szCs w:val="20"/>
          <w:color w:val="auto"/>
        </w:rPr>
      </w:pPr>
      <w:r>
        <w:rPr>
          <w:rFonts w:ascii="Arial" w:cs="Arial" w:eastAsia="Arial" w:hAnsi="Arial"/>
          <w:sz w:val="17"/>
          <w:szCs w:val="17"/>
          <w:color w:val="auto"/>
        </w:rPr>
        <w:t>We derive our revenues from two sources: software-enabled services revenues and license, maintenance and related revenues. As a general matter, fluctuations in our software-enabled services revenues are attributable to the number of new software-enabled services clients as well as total assets under management in our clients’ portfolios and the number of outsourced transactions provided to our existing clients. Software-enabled services revenues also fluctuate as a result of reimbursements received for “out-of-pocket” expenses, such as postage and telecommunications charges, which are recorded as revenues on an accrual basis. Because these additional revenues are offset by the reimbursable expenses incurred, there is no impact on gross profit, operating income and net income, however the reimbursements billed and expenses incurred can lead to fluctuations in revenues, cost of revenues and gross margin percentage each period. License, maintenance and related revenues consist primarily of term and perpetual license fees, maintenance fees and professional services. Maintenance revenues vary based on customer retention and on the annual increases in fees, which are generally tied to the consumer price index. License and professional services revenues tend to fluctuate based on the number of new licensing clients, the timing and terms of contract renewals and demand for consulting services.</w:t>
      </w:r>
    </w:p>
    <w:p>
      <w:pPr>
        <w:spacing w:after="0" w:line="77" w:lineRule="exact"/>
        <w:rPr>
          <w:sz w:val="20"/>
          <w:szCs w:val="20"/>
          <w:color w:val="auto"/>
        </w:rPr>
      </w:pPr>
    </w:p>
    <w:p>
      <w:pPr>
        <w:ind w:right="100" w:firstLine="510"/>
        <w:spacing w:after="0" w:line="277" w:lineRule="auto"/>
        <w:rPr>
          <w:sz w:val="20"/>
          <w:szCs w:val="20"/>
          <w:color w:val="auto"/>
        </w:rPr>
      </w:pPr>
      <w:r>
        <w:rPr>
          <w:rFonts w:ascii="Arial" w:cs="Arial" w:eastAsia="Arial" w:hAnsi="Arial"/>
          <w:sz w:val="18"/>
          <w:szCs w:val="18"/>
          <w:color w:val="auto"/>
        </w:rPr>
        <w:t>Our results of operations below include the results of our recent acquisitions from the date which they were acquired, including Captricity in March 2020, Innovest in May 2020, Millennium in December 2020 and Capita in March 2021.</w:t>
      </w:r>
    </w:p>
    <w:p>
      <w:pPr>
        <w:spacing w:after="0" w:line="170" w:lineRule="exact"/>
        <w:rPr>
          <w:sz w:val="20"/>
          <w:szCs w:val="20"/>
          <w:color w:val="auto"/>
        </w:rPr>
      </w:pPr>
    </w:p>
    <w:p>
      <w:pPr>
        <w:ind w:right="740" w:firstLine="510"/>
        <w:spacing w:after="0" w:line="277" w:lineRule="auto"/>
        <w:rPr>
          <w:sz w:val="20"/>
          <w:szCs w:val="20"/>
          <w:color w:val="auto"/>
        </w:rPr>
      </w:pPr>
      <w:r>
        <w:rPr>
          <w:rFonts w:ascii="Arial" w:cs="Arial" w:eastAsia="Arial" w:hAnsi="Arial"/>
          <w:sz w:val="18"/>
          <w:szCs w:val="18"/>
          <w:color w:val="auto"/>
        </w:rPr>
        <w:t>The following table sets forth the percentage of our total revenues represented by each of the following sources of revenues for the periods indicated:</w:t>
      </w:r>
    </w:p>
    <w:p>
      <w:pPr>
        <w:spacing w:after="0" w:line="27" w:lineRule="exact"/>
        <w:rPr>
          <w:sz w:val="20"/>
          <w:szCs w:val="20"/>
          <w:color w:val="auto"/>
        </w:rPr>
      </w:pPr>
    </w:p>
    <w:p>
      <w:pPr>
        <w:ind w:left="7060"/>
        <w:spacing w:after="0"/>
        <w:rPr>
          <w:sz w:val="20"/>
          <w:szCs w:val="20"/>
          <w:color w:val="auto"/>
        </w:rPr>
      </w:pPr>
      <w:r>
        <w:rPr>
          <w:rFonts w:ascii="Arial" w:cs="Arial" w:eastAsia="Arial" w:hAnsi="Arial"/>
          <w:sz w:val="14"/>
          <w:szCs w:val="14"/>
          <w:b w:val="1"/>
          <w:bCs w:val="1"/>
          <w:color w:val="auto"/>
        </w:rPr>
        <w:t>Three Months Ended March 31,</w:t>
      </w:r>
    </w:p>
    <w:p>
      <w:pPr>
        <w:spacing w:after="0" w:line="10" w:lineRule="exact"/>
        <w:rPr>
          <w:sz w:val="20"/>
          <w:szCs w:val="20"/>
          <w:color w:val="auto"/>
        </w:rPr>
      </w:pPr>
    </w:p>
    <w:tbl>
      <w:tblPr>
        <w:tblLayout w:type="fixed"/>
        <w:tblInd w:w="1700" w:type="dxa"/>
        <w:tblCellMar>
          <w:top w:w="0" w:type="dxa"/>
          <w:left w:w="0" w:type="dxa"/>
          <w:bottom w:w="0" w:type="dxa"/>
          <w:right w:w="0" w:type="dxa"/>
        </w:tblCellMar>
      </w:tblPr>
      <w:tr>
        <w:trPr>
          <w:trHeight w:val="156"/>
        </w:trPr>
        <w:tc>
          <w:tcPr>
            <w:tcW w:w="5040" w:type="dxa"/>
            <w:vAlign w:val="bottom"/>
            <w:tcBorders>
              <w:bottom w:val="single" w:sz="8" w:color="CFF0FC"/>
            </w:tcBorders>
          </w:tcPr>
          <w:p>
            <w:pPr>
              <w:spacing w:after="0"/>
              <w:rPr>
                <w:sz w:val="13"/>
                <w:szCs w:val="13"/>
                <w:color w:val="auto"/>
              </w:rPr>
            </w:pPr>
          </w:p>
        </w:tc>
        <w:tc>
          <w:tcPr>
            <w:tcW w:w="740" w:type="dxa"/>
            <w:vAlign w:val="bottom"/>
            <w:tcBorders>
              <w:top w:val="single" w:sz="8" w:color="auto"/>
              <w:bottom w:val="single" w:sz="8" w:color="auto"/>
            </w:tcBorders>
          </w:tcPr>
          <w:p>
            <w:pPr>
              <w:jc w:val="right"/>
              <w:spacing w:after="0" w:line="155" w:lineRule="exact"/>
              <w:rPr>
                <w:sz w:val="20"/>
                <w:szCs w:val="20"/>
                <w:color w:val="auto"/>
              </w:rPr>
            </w:pPr>
            <w:r>
              <w:rPr>
                <w:rFonts w:ascii="Arial" w:cs="Arial" w:eastAsia="Arial" w:hAnsi="Arial"/>
                <w:sz w:val="14"/>
                <w:szCs w:val="14"/>
                <w:b w:val="1"/>
                <w:bCs w:val="1"/>
                <w:color w:val="auto"/>
              </w:rPr>
              <w:t>2021</w:t>
            </w:r>
          </w:p>
        </w:tc>
        <w:tc>
          <w:tcPr>
            <w:tcW w:w="440" w:type="dxa"/>
            <w:vAlign w:val="bottom"/>
            <w:tcBorders>
              <w:top w:val="single" w:sz="8" w:color="auto"/>
              <w:bottom w:val="single" w:sz="8" w:color="auto"/>
            </w:tcBorders>
          </w:tcPr>
          <w:p>
            <w:pPr>
              <w:spacing w:after="0"/>
              <w:rPr>
                <w:sz w:val="13"/>
                <w:szCs w:val="13"/>
                <w:color w:val="auto"/>
              </w:rPr>
            </w:pPr>
          </w:p>
        </w:tc>
        <w:tc>
          <w:tcPr>
            <w:tcW w:w="280" w:type="dxa"/>
            <w:vAlign w:val="bottom"/>
            <w:tcBorders>
              <w:top w:val="single" w:sz="8" w:color="auto"/>
              <w:bottom w:val="single" w:sz="8" w:color="CFF0FC"/>
            </w:tcBorders>
          </w:tcPr>
          <w:p>
            <w:pPr>
              <w:spacing w:after="0"/>
              <w:rPr>
                <w:sz w:val="13"/>
                <w:szCs w:val="13"/>
                <w:color w:val="auto"/>
              </w:rPr>
            </w:pPr>
          </w:p>
        </w:tc>
        <w:tc>
          <w:tcPr>
            <w:tcW w:w="1180" w:type="dxa"/>
            <w:vAlign w:val="bottom"/>
            <w:tcBorders>
              <w:top w:val="single" w:sz="8" w:color="auto"/>
              <w:bottom w:val="single" w:sz="8" w:color="auto"/>
            </w:tcBorders>
          </w:tcPr>
          <w:p>
            <w:pPr>
              <w:jc w:val="right"/>
              <w:ind w:right="375"/>
              <w:spacing w:after="0" w:line="155" w:lineRule="exact"/>
              <w:rPr>
                <w:sz w:val="20"/>
                <w:szCs w:val="20"/>
                <w:color w:val="auto"/>
              </w:rPr>
            </w:pPr>
            <w:r>
              <w:rPr>
                <w:rFonts w:ascii="Arial" w:cs="Arial" w:eastAsia="Arial" w:hAnsi="Arial"/>
                <w:sz w:val="14"/>
                <w:szCs w:val="14"/>
                <w:b w:val="1"/>
                <w:bCs w:val="1"/>
                <w:color w:val="auto"/>
              </w:rPr>
              <w:t>2020</w:t>
            </w:r>
          </w:p>
        </w:tc>
        <w:tc>
          <w:tcPr>
            <w:tcW w:w="180" w:type="dxa"/>
            <w:vAlign w:val="bottom"/>
            <w:tcBorders>
              <w:bottom w:val="single" w:sz="8" w:color="CFF0FC"/>
            </w:tcBorders>
          </w:tcPr>
          <w:p>
            <w:pPr>
              <w:spacing w:after="0"/>
              <w:rPr>
                <w:sz w:val="13"/>
                <w:szCs w:val="13"/>
                <w:color w:val="auto"/>
              </w:rPr>
            </w:pPr>
          </w:p>
        </w:tc>
      </w:tr>
      <w:tr>
        <w:trPr>
          <w:trHeight w:val="223"/>
        </w:trPr>
        <w:tc>
          <w:tcPr>
            <w:tcW w:w="5040" w:type="dxa"/>
            <w:vAlign w:val="bottom"/>
            <w:shd w:val="clear" w:color="auto" w:fill="CFF0FC"/>
          </w:tcPr>
          <w:p>
            <w:pPr>
              <w:spacing w:after="0"/>
              <w:rPr>
                <w:sz w:val="20"/>
                <w:szCs w:val="20"/>
                <w:color w:val="auto"/>
              </w:rPr>
            </w:pPr>
            <w:r>
              <w:rPr>
                <w:rFonts w:ascii="Arial" w:cs="Arial" w:eastAsia="Arial" w:hAnsi="Arial"/>
                <w:sz w:val="18"/>
                <w:szCs w:val="18"/>
                <w:color w:val="auto"/>
              </w:rPr>
              <w:t>Software-enabled services</w:t>
            </w:r>
          </w:p>
        </w:tc>
        <w:tc>
          <w:tcPr>
            <w:tcW w:w="740" w:type="dxa"/>
            <w:vAlign w:val="bottom"/>
            <w:shd w:val="clear" w:color="auto" w:fill="CFF0FC"/>
          </w:tcPr>
          <w:p>
            <w:pPr>
              <w:spacing w:after="0"/>
              <w:rPr>
                <w:sz w:val="19"/>
                <w:szCs w:val="19"/>
                <w:color w:val="auto"/>
              </w:rPr>
            </w:pPr>
          </w:p>
        </w:tc>
        <w:tc>
          <w:tcPr>
            <w:tcW w:w="720" w:type="dxa"/>
            <w:vAlign w:val="bottom"/>
            <w:gridSpan w:val="2"/>
            <w:shd w:val="clear" w:color="auto" w:fill="CFF0FC"/>
          </w:tcPr>
          <w:p>
            <w:pPr>
              <w:jc w:val="right"/>
              <w:ind w:right="140"/>
              <w:spacing w:after="0"/>
              <w:rPr>
                <w:sz w:val="20"/>
                <w:szCs w:val="20"/>
                <w:color w:val="auto"/>
              </w:rPr>
            </w:pPr>
            <w:r>
              <w:rPr>
                <w:rFonts w:ascii="Arial" w:cs="Arial" w:eastAsia="Arial" w:hAnsi="Arial"/>
                <w:sz w:val="18"/>
                <w:szCs w:val="18"/>
                <w:color w:val="auto"/>
              </w:rPr>
              <w:t>84.6%</w:t>
            </w:r>
          </w:p>
        </w:tc>
        <w:tc>
          <w:tcPr>
            <w:tcW w:w="1360" w:type="dxa"/>
            <w:vAlign w:val="bottom"/>
            <w:gridSpan w:val="2"/>
            <w:shd w:val="clear" w:color="auto" w:fill="CFF0FC"/>
          </w:tcPr>
          <w:p>
            <w:pPr>
              <w:jc w:val="right"/>
              <w:ind w:right="40"/>
              <w:spacing w:after="0"/>
              <w:rPr>
                <w:sz w:val="20"/>
                <w:szCs w:val="20"/>
                <w:color w:val="auto"/>
              </w:rPr>
            </w:pPr>
            <w:r>
              <w:rPr>
                <w:rFonts w:ascii="Arial" w:cs="Arial" w:eastAsia="Arial" w:hAnsi="Arial"/>
                <w:sz w:val="18"/>
                <w:szCs w:val="18"/>
                <w:color w:val="auto"/>
              </w:rPr>
              <w:t>84.3%</w:t>
            </w:r>
          </w:p>
        </w:tc>
      </w:tr>
      <w:tr>
        <w:trPr>
          <w:trHeight w:val="230"/>
        </w:trPr>
        <w:tc>
          <w:tcPr>
            <w:tcW w:w="5040" w:type="dxa"/>
            <w:vAlign w:val="bottom"/>
          </w:tcPr>
          <w:p>
            <w:pPr>
              <w:spacing w:after="0"/>
              <w:rPr>
                <w:sz w:val="20"/>
                <w:szCs w:val="20"/>
                <w:color w:val="auto"/>
              </w:rPr>
            </w:pPr>
            <w:r>
              <w:rPr>
                <w:rFonts w:ascii="Arial" w:cs="Arial" w:eastAsia="Arial" w:hAnsi="Arial"/>
                <w:sz w:val="18"/>
                <w:szCs w:val="18"/>
                <w:color w:val="auto"/>
              </w:rPr>
              <w:t>License, maintenance and related</w:t>
            </w:r>
          </w:p>
        </w:tc>
        <w:tc>
          <w:tcPr>
            <w:tcW w:w="740" w:type="dxa"/>
            <w:vAlign w:val="bottom"/>
          </w:tcPr>
          <w:p>
            <w:pPr>
              <w:spacing w:after="0"/>
              <w:rPr>
                <w:sz w:val="19"/>
                <w:szCs w:val="19"/>
                <w:color w:val="auto"/>
              </w:rPr>
            </w:pPr>
          </w:p>
        </w:tc>
        <w:tc>
          <w:tcPr>
            <w:tcW w:w="720" w:type="dxa"/>
            <w:vAlign w:val="bottom"/>
            <w:gridSpan w:val="2"/>
          </w:tcPr>
          <w:p>
            <w:pPr>
              <w:jc w:val="right"/>
              <w:ind w:right="140"/>
              <w:spacing w:after="0"/>
              <w:rPr>
                <w:sz w:val="20"/>
                <w:szCs w:val="20"/>
                <w:color w:val="auto"/>
              </w:rPr>
            </w:pPr>
            <w:r>
              <w:rPr>
                <w:rFonts w:ascii="Arial" w:cs="Arial" w:eastAsia="Arial" w:hAnsi="Arial"/>
                <w:sz w:val="18"/>
                <w:szCs w:val="18"/>
                <w:color w:val="auto"/>
              </w:rPr>
              <w:t>15.4%</w:t>
            </w:r>
          </w:p>
        </w:tc>
        <w:tc>
          <w:tcPr>
            <w:tcW w:w="1360" w:type="dxa"/>
            <w:vAlign w:val="bottom"/>
            <w:gridSpan w:val="2"/>
          </w:tcPr>
          <w:p>
            <w:pPr>
              <w:jc w:val="right"/>
              <w:ind w:right="40"/>
              <w:spacing w:after="0"/>
              <w:rPr>
                <w:sz w:val="20"/>
                <w:szCs w:val="20"/>
                <w:color w:val="auto"/>
              </w:rPr>
            </w:pPr>
            <w:r>
              <w:rPr>
                <w:rFonts w:ascii="Arial" w:cs="Arial" w:eastAsia="Arial" w:hAnsi="Arial"/>
                <w:sz w:val="18"/>
                <w:szCs w:val="18"/>
                <w:color w:val="auto"/>
              </w:rPr>
              <w:t>15.7%</w:t>
            </w:r>
          </w:p>
        </w:tc>
      </w:tr>
      <w:tr>
        <w:trPr>
          <w:trHeight w:val="20"/>
        </w:trPr>
        <w:tc>
          <w:tcPr>
            <w:tcW w:w="5040" w:type="dxa"/>
            <w:vAlign w:val="bottom"/>
            <w:shd w:val="clear" w:color="auto" w:fill="CFF0FC"/>
          </w:tcPr>
          <w:p>
            <w:pPr>
              <w:spacing w:after="0" w:line="20" w:lineRule="exact"/>
              <w:rPr>
                <w:sz w:val="1"/>
                <w:szCs w:val="1"/>
                <w:color w:val="auto"/>
              </w:rPr>
            </w:pPr>
          </w:p>
        </w:tc>
        <w:tc>
          <w:tcPr>
            <w:tcW w:w="740" w:type="dxa"/>
            <w:vAlign w:val="bottom"/>
            <w:shd w:val="clear" w:color="auto" w:fill="000000"/>
          </w:tcPr>
          <w:p>
            <w:pPr>
              <w:spacing w:after="0" w:line="20" w:lineRule="exact"/>
              <w:rPr>
                <w:sz w:val="1"/>
                <w:szCs w:val="1"/>
                <w:color w:val="auto"/>
              </w:rPr>
            </w:pPr>
          </w:p>
        </w:tc>
        <w:tc>
          <w:tcPr>
            <w:tcW w:w="440" w:type="dxa"/>
            <w:vAlign w:val="bottom"/>
            <w:shd w:val="clear" w:color="auto" w:fill="000000"/>
          </w:tcPr>
          <w:p>
            <w:pPr>
              <w:spacing w:after="0" w:line="20" w:lineRule="exact"/>
              <w:rPr>
                <w:sz w:val="1"/>
                <w:szCs w:val="1"/>
                <w:color w:val="auto"/>
              </w:rPr>
            </w:pPr>
          </w:p>
        </w:tc>
        <w:tc>
          <w:tcPr>
            <w:tcW w:w="280" w:type="dxa"/>
            <w:vAlign w:val="bottom"/>
            <w:shd w:val="clear" w:color="auto" w:fill="CFF0FC"/>
          </w:tcPr>
          <w:p>
            <w:pPr>
              <w:spacing w:after="0" w:line="20" w:lineRule="exact"/>
              <w:rPr>
                <w:sz w:val="1"/>
                <w:szCs w:val="1"/>
                <w:color w:val="auto"/>
              </w:rPr>
            </w:pPr>
          </w:p>
        </w:tc>
        <w:tc>
          <w:tcPr>
            <w:tcW w:w="1180" w:type="dxa"/>
            <w:vAlign w:val="bottom"/>
            <w:shd w:val="clear" w:color="auto" w:fill="000000"/>
          </w:tcPr>
          <w:p>
            <w:pPr>
              <w:spacing w:after="0" w:line="20" w:lineRule="exact"/>
              <w:rPr>
                <w:sz w:val="1"/>
                <w:szCs w:val="1"/>
                <w:color w:val="auto"/>
              </w:rPr>
            </w:pPr>
          </w:p>
        </w:tc>
        <w:tc>
          <w:tcPr>
            <w:tcW w:w="180" w:type="dxa"/>
            <w:vAlign w:val="bottom"/>
            <w:shd w:val="clear" w:color="auto" w:fill="CFF0FC"/>
          </w:tcPr>
          <w:p>
            <w:pPr>
              <w:spacing w:after="0" w:line="20" w:lineRule="exact"/>
              <w:rPr>
                <w:sz w:val="1"/>
                <w:szCs w:val="1"/>
                <w:color w:val="auto"/>
              </w:rPr>
            </w:pPr>
          </w:p>
        </w:tc>
      </w:tr>
      <w:tr>
        <w:trPr>
          <w:trHeight w:val="236"/>
        </w:trPr>
        <w:tc>
          <w:tcPr>
            <w:tcW w:w="5040" w:type="dxa"/>
            <w:vAlign w:val="bottom"/>
            <w:shd w:val="clear" w:color="auto" w:fill="CFF0FC"/>
          </w:tcPr>
          <w:p>
            <w:pPr>
              <w:ind w:left="240"/>
              <w:spacing w:after="0"/>
              <w:rPr>
                <w:sz w:val="20"/>
                <w:szCs w:val="20"/>
                <w:color w:val="auto"/>
              </w:rPr>
            </w:pPr>
            <w:r>
              <w:rPr>
                <w:rFonts w:ascii="Arial" w:cs="Arial" w:eastAsia="Arial" w:hAnsi="Arial"/>
                <w:sz w:val="18"/>
                <w:szCs w:val="18"/>
                <w:color w:val="auto"/>
              </w:rPr>
              <w:t>Total revenues</w:t>
            </w:r>
          </w:p>
        </w:tc>
        <w:tc>
          <w:tcPr>
            <w:tcW w:w="740" w:type="dxa"/>
            <w:vAlign w:val="bottom"/>
            <w:shd w:val="clear" w:color="auto" w:fill="CFF0FC"/>
          </w:tcPr>
          <w:p>
            <w:pPr>
              <w:spacing w:after="0"/>
              <w:rPr>
                <w:sz w:val="20"/>
                <w:szCs w:val="20"/>
                <w:color w:val="auto"/>
              </w:rPr>
            </w:pPr>
          </w:p>
        </w:tc>
        <w:tc>
          <w:tcPr>
            <w:tcW w:w="720" w:type="dxa"/>
            <w:vAlign w:val="bottom"/>
            <w:gridSpan w:val="2"/>
            <w:shd w:val="clear" w:color="auto" w:fill="CFF0FC"/>
          </w:tcPr>
          <w:p>
            <w:pPr>
              <w:jc w:val="right"/>
              <w:ind w:right="140"/>
              <w:spacing w:after="0"/>
              <w:rPr>
                <w:sz w:val="20"/>
                <w:szCs w:val="20"/>
                <w:color w:val="auto"/>
              </w:rPr>
            </w:pPr>
            <w:r>
              <w:rPr>
                <w:rFonts w:ascii="Arial" w:cs="Arial" w:eastAsia="Arial" w:hAnsi="Arial"/>
                <w:sz w:val="18"/>
                <w:szCs w:val="18"/>
                <w:color w:val="auto"/>
                <w:w w:val="91"/>
              </w:rPr>
              <w:t>100.0%</w:t>
            </w:r>
          </w:p>
        </w:tc>
        <w:tc>
          <w:tcPr>
            <w:tcW w:w="1360" w:type="dxa"/>
            <w:vAlign w:val="bottom"/>
            <w:gridSpan w:val="2"/>
            <w:shd w:val="clear" w:color="auto" w:fill="CFF0FC"/>
          </w:tcPr>
          <w:p>
            <w:pPr>
              <w:jc w:val="right"/>
              <w:ind w:right="40"/>
              <w:spacing w:after="0"/>
              <w:rPr>
                <w:sz w:val="20"/>
                <w:szCs w:val="20"/>
                <w:color w:val="auto"/>
              </w:rPr>
            </w:pPr>
            <w:r>
              <w:rPr>
                <w:rFonts w:ascii="Arial" w:cs="Arial" w:eastAsia="Arial" w:hAnsi="Arial"/>
                <w:sz w:val="18"/>
                <w:szCs w:val="18"/>
                <w:color w:val="auto"/>
              </w:rPr>
              <w:t>100.0%</w:t>
            </w:r>
          </w:p>
        </w:tc>
      </w:tr>
      <w:tr>
        <w:trPr>
          <w:trHeight w:val="20"/>
        </w:trPr>
        <w:tc>
          <w:tcPr>
            <w:tcW w:w="5040" w:type="dxa"/>
            <w:vAlign w:val="bottom"/>
            <w:tcBorders>
              <w:top w:val="single" w:sz="8" w:color="CFF0FC"/>
            </w:tcBorders>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44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Borders>
              <w:top w:val="single" w:sz="8" w:color="CFF0FC"/>
            </w:tcBorders>
          </w:tcPr>
          <w:p>
            <w:pPr>
              <w:spacing w:after="0" w:line="20" w:lineRule="exact"/>
              <w:rPr>
                <w:sz w:val="1"/>
                <w:szCs w:val="1"/>
                <w:color w:val="auto"/>
              </w:rPr>
            </w:pPr>
          </w:p>
        </w:tc>
        <w:tc>
          <w:tcPr>
            <w:tcW w:w="118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Borders>
              <w:top w:val="single" w:sz="8" w:color="CFF0FC"/>
            </w:tcBorders>
          </w:tcPr>
          <w:p>
            <w:pPr>
              <w:spacing w:after="0" w:line="20" w:lineRule="exact"/>
              <w:rPr>
                <w:sz w:val="1"/>
                <w:szCs w:val="1"/>
                <w:color w:val="auto"/>
              </w:rPr>
            </w:pPr>
          </w:p>
        </w:tc>
      </w:tr>
    </w:tbl>
    <w:p>
      <w:pPr>
        <w:spacing w:after="0" w:line="242" w:lineRule="exact"/>
        <w:rPr>
          <w:sz w:val="20"/>
          <w:szCs w:val="20"/>
          <w:color w:val="auto"/>
        </w:rPr>
      </w:pPr>
    </w:p>
    <w:p>
      <w:pPr>
        <w:ind w:left="520"/>
        <w:spacing w:after="0"/>
        <w:rPr>
          <w:sz w:val="20"/>
          <w:szCs w:val="20"/>
          <w:color w:val="auto"/>
        </w:rPr>
      </w:pPr>
      <w:r>
        <w:rPr>
          <w:rFonts w:ascii="Arial" w:cs="Arial" w:eastAsia="Arial" w:hAnsi="Arial"/>
          <w:sz w:val="18"/>
          <w:szCs w:val="18"/>
          <w:color w:val="auto"/>
        </w:rPr>
        <w:t>The following table sets forth revenues (dollars in millions) and percent change in revenues for the periods indicated:</w:t>
      </w:r>
    </w:p>
    <w:p>
      <w:pPr>
        <w:spacing w:after="0" w:line="245"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580" w:type="dxa"/>
            <w:vAlign w:val="bottom"/>
          </w:tcPr>
          <w:p>
            <w:pPr>
              <w:spacing w:after="0"/>
              <w:rPr>
                <w:sz w:val="14"/>
                <w:szCs w:val="14"/>
                <w:color w:val="auto"/>
              </w:rPr>
            </w:pPr>
          </w:p>
        </w:tc>
        <w:tc>
          <w:tcPr>
            <w:tcW w:w="3680" w:type="dxa"/>
            <w:vAlign w:val="bottom"/>
          </w:tcPr>
          <w:p>
            <w:pPr>
              <w:spacing w:after="0"/>
              <w:rPr>
                <w:sz w:val="14"/>
                <w:szCs w:val="14"/>
                <w:color w:val="auto"/>
              </w:rPr>
            </w:pPr>
          </w:p>
        </w:tc>
        <w:tc>
          <w:tcPr>
            <w:tcW w:w="190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06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480" w:type="dxa"/>
            <w:vAlign w:val="bottom"/>
            <w:gridSpan w:val="2"/>
          </w:tcPr>
          <w:p>
            <w:pPr>
              <w:jc w:val="center"/>
              <w:ind w:right="200"/>
              <w:spacing w:after="0"/>
              <w:rPr>
                <w:sz w:val="20"/>
                <w:szCs w:val="20"/>
                <w:color w:val="auto"/>
              </w:rPr>
            </w:pPr>
            <w:r>
              <w:rPr>
                <w:rFonts w:ascii="Arial" w:cs="Arial" w:eastAsia="Arial" w:hAnsi="Arial"/>
                <w:sz w:val="14"/>
                <w:szCs w:val="14"/>
                <w:b w:val="1"/>
                <w:bCs w:val="1"/>
                <w:color w:val="auto"/>
                <w:w w:val="93"/>
              </w:rPr>
              <w:t>Percent</w:t>
            </w:r>
          </w:p>
        </w:tc>
        <w:tc>
          <w:tcPr>
            <w:tcW w:w="5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8"/>
        </w:trPr>
        <w:tc>
          <w:tcPr>
            <w:tcW w:w="580" w:type="dxa"/>
            <w:vAlign w:val="bottom"/>
          </w:tcPr>
          <w:p>
            <w:pPr>
              <w:spacing w:after="0"/>
              <w:rPr>
                <w:sz w:val="12"/>
                <w:szCs w:val="12"/>
                <w:color w:val="auto"/>
              </w:rPr>
            </w:pPr>
          </w:p>
        </w:tc>
        <w:tc>
          <w:tcPr>
            <w:tcW w:w="3680" w:type="dxa"/>
            <w:vAlign w:val="bottom"/>
          </w:tcPr>
          <w:p>
            <w:pPr>
              <w:spacing w:after="0"/>
              <w:rPr>
                <w:sz w:val="12"/>
                <w:szCs w:val="12"/>
                <w:color w:val="auto"/>
              </w:rPr>
            </w:pPr>
          </w:p>
        </w:tc>
        <w:tc>
          <w:tcPr>
            <w:tcW w:w="190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06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100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480" w:type="dxa"/>
            <w:vAlign w:val="bottom"/>
            <w:gridSpan w:val="2"/>
          </w:tcPr>
          <w:p>
            <w:pPr>
              <w:jc w:val="center"/>
              <w:ind w:right="200"/>
              <w:spacing w:after="0" w:line="149" w:lineRule="exact"/>
              <w:rPr>
                <w:sz w:val="20"/>
                <w:szCs w:val="20"/>
                <w:color w:val="auto"/>
              </w:rPr>
            </w:pPr>
            <w:r>
              <w:rPr>
                <w:rFonts w:ascii="Arial" w:cs="Arial" w:eastAsia="Arial" w:hAnsi="Arial"/>
                <w:sz w:val="14"/>
                <w:szCs w:val="14"/>
                <w:b w:val="1"/>
                <w:bCs w:val="1"/>
                <w:color w:val="auto"/>
                <w:w w:val="92"/>
              </w:rPr>
              <w:t>Change from</w:t>
            </w:r>
          </w:p>
        </w:tc>
        <w:tc>
          <w:tcPr>
            <w:tcW w:w="5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580" w:type="dxa"/>
            <w:vAlign w:val="bottom"/>
          </w:tcPr>
          <w:p>
            <w:pPr>
              <w:spacing w:after="0"/>
              <w:rPr>
                <w:sz w:val="12"/>
                <w:szCs w:val="12"/>
                <w:color w:val="auto"/>
              </w:rPr>
            </w:pPr>
          </w:p>
        </w:tc>
        <w:tc>
          <w:tcPr>
            <w:tcW w:w="3680" w:type="dxa"/>
            <w:vAlign w:val="bottom"/>
          </w:tcPr>
          <w:p>
            <w:pPr>
              <w:spacing w:after="0"/>
              <w:rPr>
                <w:sz w:val="12"/>
                <w:szCs w:val="12"/>
                <w:color w:val="auto"/>
              </w:rPr>
            </w:pPr>
          </w:p>
        </w:tc>
        <w:tc>
          <w:tcPr>
            <w:tcW w:w="190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2580" w:type="dxa"/>
            <w:vAlign w:val="bottom"/>
            <w:gridSpan w:val="4"/>
            <w:vMerge w:val="restart"/>
          </w:tcPr>
          <w:p>
            <w:pPr>
              <w:jc w:val="right"/>
              <w:ind w:right="355"/>
              <w:spacing w:after="0"/>
              <w:rPr>
                <w:sz w:val="20"/>
                <w:szCs w:val="20"/>
                <w:color w:val="auto"/>
              </w:rPr>
            </w:pPr>
            <w:r>
              <w:rPr>
                <w:rFonts w:ascii="Arial" w:cs="Arial" w:eastAsia="Arial" w:hAnsi="Arial"/>
                <w:sz w:val="14"/>
                <w:szCs w:val="14"/>
                <w:b w:val="1"/>
                <w:bCs w:val="1"/>
                <w:color w:val="auto"/>
              </w:rPr>
              <w:t>Three Months Ended March 31,</w:t>
            </w:r>
          </w:p>
        </w:tc>
        <w:tc>
          <w:tcPr>
            <w:tcW w:w="220" w:type="dxa"/>
            <w:vAlign w:val="bottom"/>
          </w:tcPr>
          <w:p>
            <w:pPr>
              <w:spacing w:after="0"/>
              <w:rPr>
                <w:sz w:val="12"/>
                <w:szCs w:val="12"/>
                <w:color w:val="auto"/>
              </w:rPr>
            </w:pPr>
          </w:p>
        </w:tc>
        <w:tc>
          <w:tcPr>
            <w:tcW w:w="1480" w:type="dxa"/>
            <w:vAlign w:val="bottom"/>
            <w:gridSpan w:val="2"/>
          </w:tcPr>
          <w:p>
            <w:pPr>
              <w:jc w:val="center"/>
              <w:ind w:right="200"/>
              <w:spacing w:after="0" w:line="149" w:lineRule="exact"/>
              <w:rPr>
                <w:sz w:val="20"/>
                <w:szCs w:val="20"/>
                <w:color w:val="auto"/>
              </w:rPr>
            </w:pPr>
            <w:r>
              <w:rPr>
                <w:rFonts w:ascii="Arial" w:cs="Arial" w:eastAsia="Arial" w:hAnsi="Arial"/>
                <w:sz w:val="14"/>
                <w:szCs w:val="14"/>
                <w:b w:val="1"/>
                <w:bCs w:val="1"/>
                <w:color w:val="auto"/>
                <w:w w:val="97"/>
              </w:rPr>
              <w:t>Prior</w:t>
            </w:r>
          </w:p>
        </w:tc>
        <w:tc>
          <w:tcPr>
            <w:tcW w:w="5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71"/>
        </w:trPr>
        <w:tc>
          <w:tcPr>
            <w:tcW w:w="580" w:type="dxa"/>
            <w:vAlign w:val="bottom"/>
          </w:tcPr>
          <w:p>
            <w:pPr>
              <w:spacing w:after="0"/>
              <w:rPr>
                <w:sz w:val="14"/>
                <w:szCs w:val="14"/>
                <w:color w:val="auto"/>
              </w:rPr>
            </w:pPr>
          </w:p>
        </w:tc>
        <w:tc>
          <w:tcPr>
            <w:tcW w:w="3680" w:type="dxa"/>
            <w:vAlign w:val="bottom"/>
          </w:tcPr>
          <w:p>
            <w:pPr>
              <w:spacing w:after="0"/>
              <w:rPr>
                <w:sz w:val="14"/>
                <w:szCs w:val="14"/>
                <w:color w:val="auto"/>
              </w:rPr>
            </w:pPr>
          </w:p>
        </w:tc>
        <w:tc>
          <w:tcPr>
            <w:tcW w:w="1900" w:type="dxa"/>
            <w:vAlign w:val="bottom"/>
          </w:tcPr>
          <w:p>
            <w:pPr>
              <w:spacing w:after="0"/>
              <w:rPr>
                <w:sz w:val="14"/>
                <w:szCs w:val="14"/>
                <w:color w:val="auto"/>
              </w:rPr>
            </w:pPr>
          </w:p>
        </w:tc>
        <w:tc>
          <w:tcPr>
            <w:tcW w:w="240" w:type="dxa"/>
            <w:vAlign w:val="bottom"/>
            <w:tcBorders>
              <w:bottom w:val="single" w:sz="8" w:color="auto"/>
            </w:tcBorders>
          </w:tcPr>
          <w:p>
            <w:pPr>
              <w:spacing w:after="0"/>
              <w:rPr>
                <w:sz w:val="14"/>
                <w:szCs w:val="14"/>
                <w:color w:val="auto"/>
              </w:rPr>
            </w:pPr>
          </w:p>
        </w:tc>
        <w:tc>
          <w:tcPr>
            <w:tcW w:w="2580" w:type="dxa"/>
            <w:vAlign w:val="bottom"/>
            <w:tcBorders>
              <w:bottom w:val="single" w:sz="8" w:color="auto"/>
            </w:tcBorders>
            <w:gridSpan w:val="4"/>
            <w:vMerge w:val="continue"/>
          </w:tcPr>
          <w:p>
            <w:pPr>
              <w:spacing w:after="0"/>
              <w:rPr>
                <w:sz w:val="14"/>
                <w:szCs w:val="14"/>
                <w:color w:val="auto"/>
              </w:rPr>
            </w:pPr>
          </w:p>
        </w:tc>
        <w:tc>
          <w:tcPr>
            <w:tcW w:w="220" w:type="dxa"/>
            <w:vAlign w:val="bottom"/>
          </w:tcPr>
          <w:p>
            <w:pPr>
              <w:spacing w:after="0"/>
              <w:rPr>
                <w:sz w:val="14"/>
                <w:szCs w:val="14"/>
                <w:color w:val="auto"/>
              </w:rPr>
            </w:pPr>
          </w:p>
        </w:tc>
        <w:tc>
          <w:tcPr>
            <w:tcW w:w="130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1"/>
              </w:rPr>
              <w:t>Period</w:t>
            </w:r>
          </w:p>
        </w:tc>
        <w:tc>
          <w:tcPr>
            <w:tcW w:w="18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10"/>
        </w:trPr>
        <w:tc>
          <w:tcPr>
            <w:tcW w:w="580" w:type="dxa"/>
            <w:vAlign w:val="bottom"/>
          </w:tcPr>
          <w:p>
            <w:pPr>
              <w:spacing w:after="0"/>
              <w:rPr>
                <w:sz w:val="18"/>
                <w:szCs w:val="18"/>
                <w:color w:val="auto"/>
              </w:rPr>
            </w:pPr>
          </w:p>
        </w:tc>
        <w:tc>
          <w:tcPr>
            <w:tcW w:w="3680" w:type="dxa"/>
            <w:vAlign w:val="bottom"/>
            <w:vMerge w:val="restart"/>
          </w:tcPr>
          <w:p>
            <w:pPr>
              <w:spacing w:after="0"/>
              <w:rPr>
                <w:sz w:val="20"/>
                <w:szCs w:val="20"/>
                <w:color w:val="auto"/>
              </w:rPr>
            </w:pPr>
            <w:r>
              <w:rPr>
                <w:rFonts w:ascii="Arial" w:cs="Arial" w:eastAsia="Arial" w:hAnsi="Arial"/>
                <w:sz w:val="18"/>
                <w:szCs w:val="18"/>
                <w:color w:val="auto"/>
              </w:rPr>
              <w:t>Software-enabled services</w:t>
            </w:r>
          </w:p>
        </w:tc>
        <w:tc>
          <w:tcPr>
            <w:tcW w:w="1900" w:type="dxa"/>
            <w:vAlign w:val="bottom"/>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1060" w:type="dxa"/>
            <w:vAlign w:val="bottom"/>
            <w:tcBorders>
              <w:bottom w:val="single" w:sz="8" w:color="auto"/>
            </w:tcBorders>
          </w:tcPr>
          <w:p>
            <w:pPr>
              <w:jc w:val="right"/>
              <w:ind w:right="437"/>
              <w:spacing w:after="0"/>
              <w:rPr>
                <w:sz w:val="20"/>
                <w:szCs w:val="20"/>
                <w:color w:val="auto"/>
              </w:rPr>
            </w:pPr>
            <w:r>
              <w:rPr>
                <w:rFonts w:ascii="Arial" w:cs="Arial" w:eastAsia="Arial" w:hAnsi="Arial"/>
                <w:sz w:val="14"/>
                <w:szCs w:val="14"/>
                <w:b w:val="1"/>
                <w:bCs w:val="1"/>
                <w:color w:val="auto"/>
              </w:rPr>
              <w:t>2021</w:t>
            </w:r>
          </w:p>
        </w:tc>
        <w:tc>
          <w:tcPr>
            <w:tcW w:w="220" w:type="dxa"/>
            <w:vAlign w:val="bottom"/>
          </w:tcPr>
          <w:p>
            <w:pPr>
              <w:spacing w:after="0"/>
              <w:rPr>
                <w:sz w:val="18"/>
                <w:szCs w:val="18"/>
                <w:color w:val="auto"/>
              </w:rPr>
            </w:pPr>
          </w:p>
        </w:tc>
        <w:tc>
          <w:tcPr>
            <w:tcW w:w="300" w:type="dxa"/>
            <w:vAlign w:val="bottom"/>
            <w:tcBorders>
              <w:bottom w:val="single" w:sz="8" w:color="auto"/>
            </w:tcBorders>
          </w:tcPr>
          <w:p>
            <w:pPr>
              <w:spacing w:after="0"/>
              <w:rPr>
                <w:sz w:val="18"/>
                <w:szCs w:val="18"/>
                <w:color w:val="auto"/>
              </w:rPr>
            </w:pPr>
          </w:p>
        </w:tc>
        <w:tc>
          <w:tcPr>
            <w:tcW w:w="1000" w:type="dxa"/>
            <w:vAlign w:val="bottom"/>
            <w:tcBorders>
              <w:bottom w:val="single" w:sz="8" w:color="auto"/>
            </w:tcBorders>
          </w:tcPr>
          <w:p>
            <w:pPr>
              <w:jc w:val="right"/>
              <w:ind w:right="435"/>
              <w:spacing w:after="0"/>
              <w:rPr>
                <w:sz w:val="20"/>
                <w:szCs w:val="20"/>
                <w:color w:val="auto"/>
              </w:rPr>
            </w:pPr>
            <w:r>
              <w:rPr>
                <w:rFonts w:ascii="Arial" w:cs="Arial" w:eastAsia="Arial" w:hAnsi="Arial"/>
                <w:sz w:val="14"/>
                <w:szCs w:val="14"/>
                <w:b w:val="1"/>
                <w:bCs w:val="1"/>
                <w:color w:val="auto"/>
              </w:rPr>
              <w:t>2020</w:t>
            </w:r>
          </w:p>
        </w:tc>
        <w:tc>
          <w:tcPr>
            <w:tcW w:w="1700" w:type="dxa"/>
            <w:vAlign w:val="bottom"/>
            <w:gridSpan w:val="3"/>
            <w:vMerge w:val="restart"/>
          </w:tcPr>
          <w:p>
            <w:pPr>
              <w:jc w:val="right"/>
              <w:ind w:right="40"/>
              <w:spacing w:after="0"/>
              <w:rPr>
                <w:sz w:val="20"/>
                <w:szCs w:val="20"/>
                <w:color w:val="auto"/>
              </w:rPr>
            </w:pPr>
            <w:r>
              <w:rPr>
                <w:rFonts w:ascii="Arial" w:cs="Arial" w:eastAsia="Arial" w:hAnsi="Arial"/>
                <w:sz w:val="18"/>
                <w:szCs w:val="18"/>
                <w:color w:val="auto"/>
              </w:rPr>
              <w:t>5.4%</w:t>
            </w:r>
          </w:p>
        </w:tc>
        <w:tc>
          <w:tcPr>
            <w:tcW w:w="5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580" w:type="dxa"/>
            <w:vAlign w:val="bottom"/>
          </w:tcPr>
          <w:p>
            <w:pPr>
              <w:spacing w:after="0"/>
              <w:rPr>
                <w:sz w:val="19"/>
                <w:szCs w:val="19"/>
                <w:color w:val="auto"/>
              </w:rPr>
            </w:pPr>
          </w:p>
        </w:tc>
        <w:tc>
          <w:tcPr>
            <w:tcW w:w="3680" w:type="dxa"/>
            <w:vAlign w:val="bottom"/>
            <w:vMerge w:val="continue"/>
          </w:tcPr>
          <w:p>
            <w:pPr>
              <w:spacing w:after="0"/>
              <w:rPr>
                <w:sz w:val="19"/>
                <w:szCs w:val="19"/>
                <w:color w:val="auto"/>
              </w:rPr>
            </w:pPr>
          </w:p>
        </w:tc>
        <w:tc>
          <w:tcPr>
            <w:tcW w:w="1900" w:type="dxa"/>
            <w:vAlign w:val="bottom"/>
          </w:tcPr>
          <w:p>
            <w:pPr>
              <w:spacing w:after="0"/>
              <w:rPr>
                <w:sz w:val="19"/>
                <w:szCs w:val="19"/>
                <w:color w:val="auto"/>
              </w:rPr>
            </w:pPr>
          </w:p>
        </w:tc>
        <w:tc>
          <w:tcPr>
            <w:tcW w:w="240" w:type="dxa"/>
            <w:vAlign w:val="bottom"/>
          </w:tcPr>
          <w:p>
            <w:pPr>
              <w:jc w:val="right"/>
              <w:ind w:right="87"/>
              <w:spacing w:after="0"/>
              <w:rPr>
                <w:sz w:val="20"/>
                <w:szCs w:val="20"/>
                <w:color w:val="auto"/>
              </w:rPr>
            </w:pPr>
            <w:r>
              <w:rPr>
                <w:rFonts w:ascii="Arial" w:cs="Arial" w:eastAsia="Arial" w:hAnsi="Arial"/>
                <w:sz w:val="15"/>
                <w:szCs w:val="15"/>
                <w:color w:val="auto"/>
                <w:w w:val="71"/>
              </w:rPr>
              <w:t>$</w:t>
            </w:r>
          </w:p>
        </w:tc>
        <w:tc>
          <w:tcPr>
            <w:tcW w:w="1060" w:type="dxa"/>
            <w:vAlign w:val="bottom"/>
          </w:tcPr>
          <w:p>
            <w:pPr>
              <w:jc w:val="right"/>
              <w:spacing w:after="0"/>
              <w:rPr>
                <w:sz w:val="20"/>
                <w:szCs w:val="20"/>
                <w:color w:val="auto"/>
              </w:rPr>
            </w:pPr>
            <w:r>
              <w:rPr>
                <w:rFonts w:ascii="Arial" w:cs="Arial" w:eastAsia="Arial" w:hAnsi="Arial"/>
                <w:sz w:val="18"/>
                <w:szCs w:val="18"/>
                <w:color w:val="auto"/>
              </w:rPr>
              <w:t>1,043.4</w:t>
            </w:r>
          </w:p>
        </w:tc>
        <w:tc>
          <w:tcPr>
            <w:tcW w:w="220" w:type="dxa"/>
            <w:vAlign w:val="bottom"/>
          </w:tcPr>
          <w:p>
            <w:pPr>
              <w:spacing w:after="0"/>
              <w:rPr>
                <w:sz w:val="19"/>
                <w:szCs w:val="19"/>
                <w:color w:val="auto"/>
              </w:rPr>
            </w:pPr>
          </w:p>
        </w:tc>
        <w:tc>
          <w:tcPr>
            <w:tcW w:w="300" w:type="dxa"/>
            <w:vAlign w:val="bottom"/>
          </w:tcPr>
          <w:p>
            <w:pPr>
              <w:jc w:val="right"/>
              <w:ind w:right="147"/>
              <w:spacing w:after="0"/>
              <w:rPr>
                <w:sz w:val="20"/>
                <w:szCs w:val="20"/>
                <w:color w:val="auto"/>
              </w:rPr>
            </w:pPr>
            <w:r>
              <w:rPr>
                <w:rFonts w:ascii="Arial" w:cs="Arial" w:eastAsia="Arial" w:hAnsi="Arial"/>
                <w:sz w:val="15"/>
                <w:szCs w:val="15"/>
                <w:color w:val="auto"/>
                <w:w w:val="71"/>
              </w:rPr>
              <w:t>$</w:t>
            </w:r>
          </w:p>
        </w:tc>
        <w:tc>
          <w:tcPr>
            <w:tcW w:w="1000" w:type="dxa"/>
            <w:vAlign w:val="bottom"/>
          </w:tcPr>
          <w:p>
            <w:pPr>
              <w:jc w:val="right"/>
              <w:spacing w:after="0"/>
              <w:rPr>
                <w:sz w:val="20"/>
                <w:szCs w:val="20"/>
                <w:color w:val="auto"/>
              </w:rPr>
            </w:pPr>
            <w:r>
              <w:rPr>
                <w:rFonts w:ascii="Arial" w:cs="Arial" w:eastAsia="Arial" w:hAnsi="Arial"/>
                <w:sz w:val="18"/>
                <w:szCs w:val="18"/>
                <w:color w:val="auto"/>
              </w:rPr>
              <w:t>989.5</w:t>
            </w:r>
          </w:p>
        </w:tc>
        <w:tc>
          <w:tcPr>
            <w:tcW w:w="1700" w:type="dxa"/>
            <w:vAlign w:val="bottom"/>
            <w:gridSpan w:val="3"/>
            <w:vMerge w:val="continue"/>
          </w:tcPr>
          <w:p>
            <w:pPr>
              <w:spacing w:after="0"/>
              <w:rPr>
                <w:sz w:val="19"/>
                <w:szCs w:val="19"/>
                <w:color w:val="auto"/>
              </w:rPr>
            </w:pPr>
          </w:p>
        </w:tc>
        <w:tc>
          <w:tcPr>
            <w:tcW w:w="5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580" w:type="dxa"/>
            <w:vAlign w:val="bottom"/>
          </w:tcPr>
          <w:p>
            <w:pPr>
              <w:spacing w:after="0"/>
              <w:rPr>
                <w:sz w:val="19"/>
                <w:szCs w:val="19"/>
                <w:color w:val="auto"/>
              </w:rPr>
            </w:pPr>
          </w:p>
        </w:tc>
        <w:tc>
          <w:tcPr>
            <w:tcW w:w="3680" w:type="dxa"/>
            <w:vAlign w:val="bottom"/>
            <w:shd w:val="clear" w:color="auto" w:fill="CFF0FC"/>
          </w:tcPr>
          <w:p>
            <w:pPr>
              <w:spacing w:after="0"/>
              <w:rPr>
                <w:sz w:val="20"/>
                <w:szCs w:val="20"/>
                <w:color w:val="auto"/>
              </w:rPr>
            </w:pPr>
            <w:r>
              <w:rPr>
                <w:rFonts w:ascii="Arial" w:cs="Arial" w:eastAsia="Arial" w:hAnsi="Arial"/>
                <w:sz w:val="18"/>
                <w:szCs w:val="18"/>
                <w:color w:val="auto"/>
              </w:rPr>
              <w:t>License, maintenance and related</w:t>
            </w:r>
          </w:p>
        </w:tc>
        <w:tc>
          <w:tcPr>
            <w:tcW w:w="1900" w:type="dxa"/>
            <w:vAlign w:val="bottom"/>
            <w:shd w:val="clear" w:color="auto" w:fill="CFF0FC"/>
          </w:tcPr>
          <w:p>
            <w:pPr>
              <w:spacing w:after="0"/>
              <w:rPr>
                <w:sz w:val="19"/>
                <w:szCs w:val="19"/>
                <w:color w:val="auto"/>
              </w:rPr>
            </w:pPr>
          </w:p>
        </w:tc>
        <w:tc>
          <w:tcPr>
            <w:tcW w:w="240" w:type="dxa"/>
            <w:vAlign w:val="bottom"/>
            <w:tcBorders>
              <w:bottom w:val="single" w:sz="8" w:color="auto"/>
            </w:tcBorders>
            <w:shd w:val="clear" w:color="auto" w:fill="CFF0FC"/>
          </w:tcPr>
          <w:p>
            <w:pPr>
              <w:spacing w:after="0"/>
              <w:rPr>
                <w:sz w:val="19"/>
                <w:szCs w:val="19"/>
                <w:color w:val="auto"/>
              </w:rPr>
            </w:pPr>
          </w:p>
        </w:tc>
        <w:tc>
          <w:tcPr>
            <w:tcW w:w="10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190.0</w:t>
            </w:r>
          </w:p>
        </w:tc>
        <w:tc>
          <w:tcPr>
            <w:tcW w:w="220" w:type="dxa"/>
            <w:vAlign w:val="bottom"/>
            <w:shd w:val="clear" w:color="auto" w:fill="CFF0FC"/>
          </w:tcPr>
          <w:p>
            <w:pPr>
              <w:spacing w:after="0"/>
              <w:rPr>
                <w:sz w:val="19"/>
                <w:szCs w:val="19"/>
                <w:color w:val="auto"/>
              </w:rPr>
            </w:pPr>
          </w:p>
        </w:tc>
        <w:tc>
          <w:tcPr>
            <w:tcW w:w="300" w:type="dxa"/>
            <w:vAlign w:val="bottom"/>
            <w:tcBorders>
              <w:bottom w:val="single" w:sz="8" w:color="auto"/>
            </w:tcBorders>
            <w:shd w:val="clear" w:color="auto" w:fill="CFF0FC"/>
          </w:tcPr>
          <w:p>
            <w:pPr>
              <w:spacing w:after="0"/>
              <w:rPr>
                <w:sz w:val="19"/>
                <w:szCs w:val="19"/>
                <w:color w:val="auto"/>
              </w:rPr>
            </w:pPr>
          </w:p>
        </w:tc>
        <w:tc>
          <w:tcPr>
            <w:tcW w:w="10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184.1</w:t>
            </w:r>
          </w:p>
        </w:tc>
        <w:tc>
          <w:tcPr>
            <w:tcW w:w="1700" w:type="dxa"/>
            <w:vAlign w:val="bottom"/>
            <w:gridSpan w:val="3"/>
            <w:shd w:val="clear" w:color="auto" w:fill="CFF0FC"/>
          </w:tcPr>
          <w:p>
            <w:pPr>
              <w:jc w:val="right"/>
              <w:ind w:right="40"/>
              <w:spacing w:after="0"/>
              <w:rPr>
                <w:sz w:val="20"/>
                <w:szCs w:val="20"/>
                <w:color w:val="auto"/>
              </w:rPr>
            </w:pPr>
            <w:r>
              <w:rPr>
                <w:rFonts w:ascii="Arial" w:cs="Arial" w:eastAsia="Arial" w:hAnsi="Arial"/>
                <w:sz w:val="18"/>
                <w:szCs w:val="18"/>
                <w:color w:val="auto"/>
              </w:rPr>
              <w:t>3.2%</w:t>
            </w:r>
          </w:p>
        </w:tc>
        <w:tc>
          <w:tcPr>
            <w:tcW w:w="5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580" w:type="dxa"/>
            <w:vAlign w:val="bottom"/>
          </w:tcPr>
          <w:p>
            <w:pPr>
              <w:spacing w:after="0"/>
              <w:rPr>
                <w:sz w:val="19"/>
                <w:szCs w:val="19"/>
                <w:color w:val="auto"/>
              </w:rPr>
            </w:pPr>
          </w:p>
        </w:tc>
        <w:tc>
          <w:tcPr>
            <w:tcW w:w="3680" w:type="dxa"/>
            <w:vAlign w:val="bottom"/>
          </w:tcPr>
          <w:p>
            <w:pPr>
              <w:ind w:left="240"/>
              <w:spacing w:after="0"/>
              <w:rPr>
                <w:sz w:val="20"/>
                <w:szCs w:val="20"/>
                <w:color w:val="auto"/>
              </w:rPr>
            </w:pPr>
            <w:r>
              <w:rPr>
                <w:rFonts w:ascii="Arial" w:cs="Arial" w:eastAsia="Arial" w:hAnsi="Arial"/>
                <w:sz w:val="18"/>
                <w:szCs w:val="18"/>
                <w:color w:val="auto"/>
              </w:rPr>
              <w:t>Total revenues</w:t>
            </w:r>
          </w:p>
        </w:tc>
        <w:tc>
          <w:tcPr>
            <w:tcW w:w="1900" w:type="dxa"/>
            <w:vAlign w:val="bottom"/>
          </w:tcPr>
          <w:p>
            <w:pPr>
              <w:spacing w:after="0"/>
              <w:rPr>
                <w:sz w:val="19"/>
                <w:szCs w:val="19"/>
                <w:color w:val="auto"/>
              </w:rPr>
            </w:pPr>
          </w:p>
        </w:tc>
        <w:tc>
          <w:tcPr>
            <w:tcW w:w="240" w:type="dxa"/>
            <w:vAlign w:val="bottom"/>
            <w:tcBorders>
              <w:bottom w:val="single" w:sz="8" w:color="auto"/>
            </w:tcBorders>
          </w:tcPr>
          <w:p>
            <w:pPr>
              <w:jc w:val="right"/>
              <w:ind w:right="87"/>
              <w:spacing w:after="0"/>
              <w:rPr>
                <w:sz w:val="20"/>
                <w:szCs w:val="20"/>
                <w:color w:val="auto"/>
              </w:rPr>
            </w:pPr>
            <w:r>
              <w:rPr>
                <w:rFonts w:ascii="Arial" w:cs="Arial" w:eastAsia="Arial" w:hAnsi="Arial"/>
                <w:sz w:val="15"/>
                <w:szCs w:val="15"/>
                <w:color w:val="auto"/>
                <w:w w:val="71"/>
              </w:rPr>
              <w:t>$</w:t>
            </w:r>
          </w:p>
        </w:tc>
        <w:tc>
          <w:tcPr>
            <w:tcW w:w="10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1,233.4</w:t>
            </w:r>
          </w:p>
        </w:tc>
        <w:tc>
          <w:tcPr>
            <w:tcW w:w="220" w:type="dxa"/>
            <w:vAlign w:val="bottom"/>
          </w:tcPr>
          <w:p>
            <w:pPr>
              <w:spacing w:after="0"/>
              <w:rPr>
                <w:sz w:val="19"/>
                <w:szCs w:val="19"/>
                <w:color w:val="auto"/>
              </w:rPr>
            </w:pPr>
          </w:p>
        </w:tc>
        <w:tc>
          <w:tcPr>
            <w:tcW w:w="300" w:type="dxa"/>
            <w:vAlign w:val="bottom"/>
            <w:tcBorders>
              <w:bottom w:val="single" w:sz="8" w:color="auto"/>
            </w:tcBorders>
          </w:tcPr>
          <w:p>
            <w:pPr>
              <w:jc w:val="right"/>
              <w:ind w:right="147"/>
              <w:spacing w:after="0"/>
              <w:rPr>
                <w:sz w:val="20"/>
                <w:szCs w:val="20"/>
                <w:color w:val="auto"/>
              </w:rPr>
            </w:pPr>
            <w:r>
              <w:rPr>
                <w:rFonts w:ascii="Arial" w:cs="Arial" w:eastAsia="Arial" w:hAnsi="Arial"/>
                <w:sz w:val="15"/>
                <w:szCs w:val="15"/>
                <w:color w:val="auto"/>
                <w:w w:val="71"/>
              </w:rPr>
              <w:t>$</w:t>
            </w: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1,173.6</w:t>
            </w:r>
          </w:p>
        </w:tc>
        <w:tc>
          <w:tcPr>
            <w:tcW w:w="1700" w:type="dxa"/>
            <w:vAlign w:val="bottom"/>
            <w:gridSpan w:val="3"/>
          </w:tcPr>
          <w:p>
            <w:pPr>
              <w:jc w:val="right"/>
              <w:ind w:right="40"/>
              <w:spacing w:after="0"/>
              <w:rPr>
                <w:sz w:val="20"/>
                <w:szCs w:val="20"/>
                <w:color w:val="auto"/>
              </w:rPr>
            </w:pPr>
            <w:r>
              <w:rPr>
                <w:rFonts w:ascii="Arial" w:cs="Arial" w:eastAsia="Arial" w:hAnsi="Arial"/>
                <w:sz w:val="18"/>
                <w:szCs w:val="18"/>
                <w:color w:val="auto"/>
              </w:rPr>
              <w:t>5.1%</w:t>
            </w:r>
          </w:p>
        </w:tc>
        <w:tc>
          <w:tcPr>
            <w:tcW w:w="5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580" w:type="dxa"/>
            <w:vAlign w:val="bottom"/>
          </w:tcPr>
          <w:p>
            <w:pPr>
              <w:spacing w:after="0" w:line="20" w:lineRule="exact"/>
              <w:rPr>
                <w:sz w:val="1"/>
                <w:szCs w:val="1"/>
                <w:color w:val="auto"/>
              </w:rPr>
            </w:pPr>
          </w:p>
        </w:tc>
        <w:tc>
          <w:tcPr>
            <w:tcW w:w="3680" w:type="dxa"/>
            <w:vAlign w:val="bottom"/>
          </w:tcPr>
          <w:p>
            <w:pPr>
              <w:spacing w:after="0" w:line="20" w:lineRule="exact"/>
              <w:rPr>
                <w:sz w:val="1"/>
                <w:szCs w:val="1"/>
                <w:color w:val="auto"/>
              </w:rPr>
            </w:pPr>
          </w:p>
        </w:tc>
        <w:tc>
          <w:tcPr>
            <w:tcW w:w="1900" w:type="dxa"/>
            <w:vAlign w:val="bottom"/>
            <w:vMerge w:val="restart"/>
          </w:tcPr>
          <w:p>
            <w:pPr>
              <w:jc w:val="right"/>
              <w:ind w:right="350"/>
              <w:spacing w:after="0"/>
              <w:rPr>
                <w:sz w:val="20"/>
                <w:szCs w:val="20"/>
                <w:color w:val="auto"/>
              </w:rPr>
            </w:pPr>
            <w:r>
              <w:rPr>
                <w:rFonts w:ascii="Arial" w:cs="Arial" w:eastAsia="Arial" w:hAnsi="Arial"/>
                <w:sz w:val="18"/>
                <w:szCs w:val="18"/>
                <w:color w:val="auto"/>
              </w:rPr>
              <w:t>17</w:t>
            </w:r>
          </w:p>
        </w:tc>
        <w:tc>
          <w:tcPr>
            <w:tcW w:w="24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3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629"/>
        </w:trPr>
        <w:tc>
          <w:tcPr>
            <w:tcW w:w="580" w:type="dxa"/>
            <w:vAlign w:val="bottom"/>
          </w:tcPr>
          <w:p>
            <w:pPr>
              <w:spacing w:after="0"/>
              <w:rPr>
                <w:sz w:val="24"/>
                <w:szCs w:val="24"/>
                <w:color w:val="auto"/>
              </w:rPr>
            </w:pPr>
          </w:p>
        </w:tc>
        <w:tc>
          <w:tcPr>
            <w:tcW w:w="3680" w:type="dxa"/>
            <w:vAlign w:val="bottom"/>
          </w:tcPr>
          <w:p>
            <w:pPr>
              <w:spacing w:after="0"/>
              <w:rPr>
                <w:sz w:val="24"/>
                <w:szCs w:val="24"/>
                <w:color w:val="auto"/>
              </w:rPr>
            </w:pPr>
          </w:p>
        </w:tc>
        <w:tc>
          <w:tcPr>
            <w:tcW w:w="1900" w:type="dxa"/>
            <w:vAlign w:val="bottom"/>
            <w:vMerge w:val="continue"/>
          </w:tcPr>
          <w:p>
            <w:pPr>
              <w:spacing w:after="0"/>
              <w:rPr>
                <w:sz w:val="24"/>
                <w:szCs w:val="24"/>
                <w:color w:val="auto"/>
              </w:rPr>
            </w:pPr>
          </w:p>
        </w:tc>
        <w:tc>
          <w:tcPr>
            <w:tcW w:w="24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3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15"/>
        </w:trPr>
        <w:tc>
          <w:tcPr>
            <w:tcW w:w="580" w:type="dxa"/>
            <w:vAlign w:val="bottom"/>
            <w:tcBorders>
              <w:bottom w:val="single" w:sz="8" w:color="9A9A9A"/>
            </w:tcBorders>
          </w:tcPr>
          <w:p>
            <w:pPr>
              <w:spacing w:after="0"/>
              <w:rPr>
                <w:sz w:val="10"/>
                <w:szCs w:val="10"/>
                <w:color w:val="auto"/>
              </w:rPr>
            </w:pPr>
          </w:p>
        </w:tc>
        <w:tc>
          <w:tcPr>
            <w:tcW w:w="3680" w:type="dxa"/>
            <w:vAlign w:val="bottom"/>
            <w:tcBorders>
              <w:bottom w:val="single" w:sz="8" w:color="9A9A9A"/>
            </w:tcBorders>
          </w:tcPr>
          <w:p>
            <w:pPr>
              <w:spacing w:after="0"/>
              <w:rPr>
                <w:sz w:val="10"/>
                <w:szCs w:val="10"/>
                <w:color w:val="auto"/>
              </w:rPr>
            </w:pPr>
          </w:p>
        </w:tc>
        <w:tc>
          <w:tcPr>
            <w:tcW w:w="1900" w:type="dxa"/>
            <w:vAlign w:val="bottom"/>
            <w:tcBorders>
              <w:bottom w:val="single" w:sz="8" w:color="9A9A9A"/>
            </w:tcBorders>
          </w:tcPr>
          <w:p>
            <w:pPr>
              <w:spacing w:after="0"/>
              <w:rPr>
                <w:sz w:val="10"/>
                <w:szCs w:val="10"/>
                <w:color w:val="auto"/>
              </w:rPr>
            </w:pPr>
          </w:p>
        </w:tc>
        <w:tc>
          <w:tcPr>
            <w:tcW w:w="240" w:type="dxa"/>
            <w:vAlign w:val="bottom"/>
            <w:tcBorders>
              <w:bottom w:val="single" w:sz="8" w:color="9A9A9A"/>
            </w:tcBorders>
          </w:tcPr>
          <w:p>
            <w:pPr>
              <w:spacing w:after="0"/>
              <w:rPr>
                <w:sz w:val="10"/>
                <w:szCs w:val="10"/>
                <w:color w:val="auto"/>
              </w:rPr>
            </w:pPr>
          </w:p>
        </w:tc>
        <w:tc>
          <w:tcPr>
            <w:tcW w:w="1060" w:type="dxa"/>
            <w:vAlign w:val="bottom"/>
            <w:tcBorders>
              <w:bottom w:val="single" w:sz="8" w:color="9A9A9A"/>
            </w:tcBorders>
          </w:tcPr>
          <w:p>
            <w:pPr>
              <w:spacing w:after="0"/>
              <w:rPr>
                <w:sz w:val="10"/>
                <w:szCs w:val="10"/>
                <w:color w:val="auto"/>
              </w:rPr>
            </w:pPr>
          </w:p>
        </w:tc>
        <w:tc>
          <w:tcPr>
            <w:tcW w:w="220" w:type="dxa"/>
            <w:vAlign w:val="bottom"/>
            <w:tcBorders>
              <w:bottom w:val="single" w:sz="8" w:color="9A9A9A"/>
            </w:tcBorders>
          </w:tcPr>
          <w:p>
            <w:pPr>
              <w:spacing w:after="0"/>
              <w:rPr>
                <w:sz w:val="10"/>
                <w:szCs w:val="10"/>
                <w:color w:val="auto"/>
              </w:rPr>
            </w:pPr>
          </w:p>
        </w:tc>
        <w:tc>
          <w:tcPr>
            <w:tcW w:w="300" w:type="dxa"/>
            <w:vAlign w:val="bottom"/>
            <w:tcBorders>
              <w:bottom w:val="single" w:sz="8" w:color="9A9A9A"/>
            </w:tcBorders>
          </w:tcPr>
          <w:p>
            <w:pPr>
              <w:spacing w:after="0"/>
              <w:rPr>
                <w:sz w:val="10"/>
                <w:szCs w:val="10"/>
                <w:color w:val="auto"/>
              </w:rPr>
            </w:pPr>
          </w:p>
        </w:tc>
        <w:tc>
          <w:tcPr>
            <w:tcW w:w="1000" w:type="dxa"/>
            <w:vAlign w:val="bottom"/>
            <w:tcBorders>
              <w:bottom w:val="single" w:sz="8" w:color="9A9A9A"/>
            </w:tcBorders>
          </w:tcPr>
          <w:p>
            <w:pPr>
              <w:spacing w:after="0"/>
              <w:rPr>
                <w:sz w:val="10"/>
                <w:szCs w:val="10"/>
                <w:color w:val="auto"/>
              </w:rPr>
            </w:pPr>
          </w:p>
        </w:tc>
        <w:tc>
          <w:tcPr>
            <w:tcW w:w="220" w:type="dxa"/>
            <w:vAlign w:val="bottom"/>
            <w:tcBorders>
              <w:bottom w:val="single" w:sz="8" w:color="9A9A9A"/>
            </w:tcBorders>
          </w:tcPr>
          <w:p>
            <w:pPr>
              <w:spacing w:after="0"/>
              <w:rPr>
                <w:sz w:val="10"/>
                <w:szCs w:val="10"/>
                <w:color w:val="auto"/>
              </w:rPr>
            </w:pPr>
          </w:p>
        </w:tc>
        <w:tc>
          <w:tcPr>
            <w:tcW w:w="1300" w:type="dxa"/>
            <w:vAlign w:val="bottom"/>
            <w:tcBorders>
              <w:bottom w:val="single" w:sz="8" w:color="9A9A9A"/>
            </w:tcBorders>
          </w:tcPr>
          <w:p>
            <w:pPr>
              <w:spacing w:after="0"/>
              <w:rPr>
                <w:sz w:val="10"/>
                <w:szCs w:val="10"/>
                <w:color w:val="auto"/>
              </w:rPr>
            </w:pPr>
          </w:p>
        </w:tc>
        <w:tc>
          <w:tcPr>
            <w:tcW w:w="180" w:type="dxa"/>
            <w:vAlign w:val="bottom"/>
            <w:tcBorders>
              <w:bottom w:val="single" w:sz="8" w:color="9A9A9A"/>
            </w:tcBorders>
          </w:tcPr>
          <w:p>
            <w:pPr>
              <w:spacing w:after="0"/>
              <w:rPr>
                <w:sz w:val="10"/>
                <w:szCs w:val="10"/>
                <w:color w:val="auto"/>
              </w:rPr>
            </w:pPr>
          </w:p>
        </w:tc>
        <w:tc>
          <w:tcPr>
            <w:tcW w:w="560" w:type="dxa"/>
            <w:vAlign w:val="bottom"/>
            <w:tcBorders>
              <w:bottom w:val="single" w:sz="8" w:color="9A9A9A"/>
            </w:tcBorders>
          </w:tcPr>
          <w:p>
            <w:pPr>
              <w:spacing w:after="0"/>
              <w:rPr>
                <w:sz w:val="10"/>
                <w:szCs w:val="10"/>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449" w:right="339" w:bottom="1440" w:gutter="0" w:footer="0" w:header="0"/>
        </w:sectPr>
      </w:pPr>
    </w:p>
    <w:bookmarkStart w:id="17" w:name="page18"/>
    <w:bookmarkEnd w:id="17"/>
    <w:p>
      <w:pPr>
        <w:ind w:firstLine="510"/>
        <w:spacing w:after="0" w:line="254" w:lineRule="auto"/>
        <w:rPr>
          <w:sz w:val="20"/>
          <w:szCs w:val="20"/>
          <w:color w:val="auto"/>
        </w:rPr>
      </w:pPr>
      <w:r>
        <w:rPr>
          <w:rFonts w:ascii="Arial" w:cs="Arial" w:eastAsia="Arial" w:hAnsi="Arial"/>
          <w:sz w:val="18"/>
          <w:szCs w:val="18"/>
          <w:i w:val="1"/>
          <w:iCs w:val="1"/>
          <w:color w:val="auto"/>
        </w:rPr>
        <w:t>Three Months Ended March 31, 2021 and 2020</w:t>
      </w:r>
      <w:r>
        <w:rPr>
          <w:rFonts w:ascii="Arial" w:cs="Arial" w:eastAsia="Arial" w:hAnsi="Arial"/>
          <w:sz w:val="18"/>
          <w:szCs w:val="18"/>
          <w:color w:val="auto"/>
        </w:rPr>
        <w:t>. Our revenues increased $59.8 million, or 5.1%, primarily due an increase of $25.1 million in</w:t>
      </w:r>
      <w:r>
        <w:rPr>
          <w:rFonts w:ascii="Arial" w:cs="Arial" w:eastAsia="Arial" w:hAnsi="Arial"/>
          <w:sz w:val="18"/>
          <w:szCs w:val="18"/>
          <w:i w:val="1"/>
          <w:iCs w:val="1"/>
          <w:color w:val="auto"/>
        </w:rPr>
        <w:t xml:space="preserve"> </w:t>
      </w:r>
      <w:r>
        <w:rPr>
          <w:rFonts w:ascii="Arial" w:cs="Arial" w:eastAsia="Arial" w:hAnsi="Arial"/>
          <w:sz w:val="18"/>
          <w:szCs w:val="18"/>
          <w:color w:val="auto"/>
        </w:rPr>
        <w:t>organic revenues driven by strength in the SS&amp;C GlobeOp fund administration, virtual data room services and portfolio investment products. Our revenues also increased due to acquisitions, which contributed $18.6 million in revenues as well as the favorable impact from foreign currency translation of $16.1 million. Software-enabled services revenues increased $53.9 million, or 5.4%, primarily due to an increase in organic revenues of $22.2 million, and acquisitions, which added $18.6 million in revenues, as well as the favorable impact from foreign currency translation of $13.1 million. License, maintenance and related revenues increased $5.9 million, or 3.2%, due to an increase in organic revenues of $2.9 million and the favorable impact from foreign currency translation of $3.0 million.</w:t>
      </w:r>
    </w:p>
    <w:p>
      <w:pPr>
        <w:spacing w:after="0" w:line="262"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Cost of Revenues</w:t>
      </w:r>
    </w:p>
    <w:p>
      <w:pPr>
        <w:spacing w:after="0" w:line="117" w:lineRule="exact"/>
        <w:rPr>
          <w:sz w:val="20"/>
          <w:szCs w:val="20"/>
          <w:color w:val="auto"/>
        </w:rPr>
      </w:pPr>
    </w:p>
    <w:p>
      <w:pPr>
        <w:ind w:right="200" w:firstLine="510"/>
        <w:spacing w:after="0" w:line="279" w:lineRule="auto"/>
        <w:rPr>
          <w:sz w:val="20"/>
          <w:szCs w:val="20"/>
          <w:color w:val="auto"/>
        </w:rPr>
      </w:pPr>
      <w:r>
        <w:rPr>
          <w:rFonts w:ascii="Arial" w:cs="Arial" w:eastAsia="Arial" w:hAnsi="Arial"/>
          <w:sz w:val="17"/>
          <w:szCs w:val="17"/>
          <w:color w:val="auto"/>
        </w:rPr>
        <w:t>Cost of software-enabled services revenues consists primarily of costs related to personnel utilized in providing our software-enabled services and amortization of intangible assets. Cost of license, maintenance and other related revenues consists primarily of the costs related to personnel utilized in servicing our maintenance contracts and to provide implementation, conversion and training services to our software licensees, as well as system integration and custom programming consulting services and amortization of intangible assets.</w:t>
      </w:r>
    </w:p>
    <w:p>
      <w:pPr>
        <w:spacing w:after="0" w:line="279" w:lineRule="exact"/>
        <w:rPr>
          <w:sz w:val="20"/>
          <w:szCs w:val="20"/>
          <w:color w:val="auto"/>
        </w:rPr>
      </w:pPr>
    </w:p>
    <w:p>
      <w:pPr>
        <w:ind w:left="520"/>
        <w:spacing w:after="0"/>
        <w:rPr>
          <w:sz w:val="20"/>
          <w:szCs w:val="20"/>
          <w:color w:val="auto"/>
        </w:rPr>
      </w:pPr>
      <w:r>
        <w:rPr>
          <w:rFonts w:ascii="Arial" w:cs="Arial" w:eastAsia="Arial" w:hAnsi="Arial"/>
          <w:sz w:val="16"/>
          <w:szCs w:val="16"/>
          <w:color w:val="auto"/>
        </w:rPr>
        <w:t>The following tables set forth each of the following cost of revenues as a percentage of their respective revenue source for the periods indicated:</w:t>
      </w:r>
    </w:p>
    <w:p>
      <w:pPr>
        <w:spacing w:after="0" w:line="105" w:lineRule="exact"/>
        <w:rPr>
          <w:sz w:val="20"/>
          <w:szCs w:val="20"/>
          <w:color w:val="auto"/>
        </w:rPr>
      </w:pPr>
    </w:p>
    <w:p>
      <w:pPr>
        <w:ind w:left="7060"/>
        <w:spacing w:after="0"/>
        <w:rPr>
          <w:sz w:val="20"/>
          <w:szCs w:val="20"/>
          <w:color w:val="auto"/>
        </w:rPr>
      </w:pPr>
      <w:r>
        <w:rPr>
          <w:rFonts w:ascii="Arial" w:cs="Arial" w:eastAsia="Arial" w:hAnsi="Arial"/>
          <w:sz w:val="14"/>
          <w:szCs w:val="14"/>
          <w:b w:val="1"/>
          <w:bCs w:val="1"/>
          <w:color w:val="auto"/>
        </w:rPr>
        <w:t>Three Months Ended March 31,</w:t>
      </w:r>
    </w:p>
    <w:p>
      <w:pPr>
        <w:spacing w:after="0" w:line="10" w:lineRule="exact"/>
        <w:rPr>
          <w:sz w:val="20"/>
          <w:szCs w:val="20"/>
          <w:color w:val="auto"/>
        </w:rPr>
      </w:pPr>
    </w:p>
    <w:tbl>
      <w:tblPr>
        <w:tblLayout w:type="fixed"/>
        <w:tblInd w:w="1700" w:type="dxa"/>
        <w:tblCellMar>
          <w:top w:w="0" w:type="dxa"/>
          <w:left w:w="0" w:type="dxa"/>
          <w:bottom w:w="0" w:type="dxa"/>
          <w:right w:w="0" w:type="dxa"/>
        </w:tblCellMar>
      </w:tblPr>
      <w:tr>
        <w:trPr>
          <w:trHeight w:val="155"/>
        </w:trPr>
        <w:tc>
          <w:tcPr>
            <w:tcW w:w="5040" w:type="dxa"/>
            <w:vAlign w:val="bottom"/>
            <w:tcBorders>
              <w:bottom w:val="single" w:sz="8" w:color="CFF0FC"/>
            </w:tcBorders>
          </w:tcPr>
          <w:p>
            <w:pPr>
              <w:spacing w:after="0"/>
              <w:rPr>
                <w:sz w:val="13"/>
                <w:szCs w:val="13"/>
                <w:color w:val="auto"/>
              </w:rPr>
            </w:pPr>
          </w:p>
        </w:tc>
        <w:tc>
          <w:tcPr>
            <w:tcW w:w="780" w:type="dxa"/>
            <w:vAlign w:val="bottom"/>
            <w:tcBorders>
              <w:top w:val="single" w:sz="8" w:color="auto"/>
              <w:bottom w:val="single" w:sz="8" w:color="auto"/>
            </w:tcBorders>
          </w:tcPr>
          <w:p>
            <w:pPr>
              <w:jc w:val="right"/>
              <w:spacing w:after="0" w:line="155" w:lineRule="exact"/>
              <w:rPr>
                <w:sz w:val="20"/>
                <w:szCs w:val="20"/>
                <w:color w:val="auto"/>
              </w:rPr>
            </w:pPr>
            <w:r>
              <w:rPr>
                <w:rFonts w:ascii="Arial" w:cs="Arial" w:eastAsia="Arial" w:hAnsi="Arial"/>
                <w:sz w:val="14"/>
                <w:szCs w:val="14"/>
                <w:b w:val="1"/>
                <w:bCs w:val="1"/>
                <w:color w:val="auto"/>
              </w:rPr>
              <w:t>2021</w:t>
            </w:r>
          </w:p>
        </w:tc>
        <w:tc>
          <w:tcPr>
            <w:tcW w:w="400" w:type="dxa"/>
            <w:vAlign w:val="bottom"/>
            <w:tcBorders>
              <w:top w:val="single" w:sz="8" w:color="auto"/>
              <w:bottom w:val="single" w:sz="8" w:color="auto"/>
            </w:tcBorders>
          </w:tcPr>
          <w:p>
            <w:pPr>
              <w:spacing w:after="0"/>
              <w:rPr>
                <w:sz w:val="13"/>
                <w:szCs w:val="13"/>
                <w:color w:val="auto"/>
              </w:rPr>
            </w:pPr>
          </w:p>
        </w:tc>
        <w:tc>
          <w:tcPr>
            <w:tcW w:w="280" w:type="dxa"/>
            <w:vAlign w:val="bottom"/>
            <w:tcBorders>
              <w:top w:val="single" w:sz="8" w:color="auto"/>
              <w:bottom w:val="single" w:sz="8" w:color="CFF0FC"/>
            </w:tcBorders>
          </w:tcPr>
          <w:p>
            <w:pPr>
              <w:spacing w:after="0"/>
              <w:rPr>
                <w:sz w:val="13"/>
                <w:szCs w:val="13"/>
                <w:color w:val="auto"/>
              </w:rPr>
            </w:pPr>
          </w:p>
        </w:tc>
        <w:tc>
          <w:tcPr>
            <w:tcW w:w="1180" w:type="dxa"/>
            <w:vAlign w:val="bottom"/>
            <w:tcBorders>
              <w:top w:val="single" w:sz="8" w:color="auto"/>
              <w:bottom w:val="single" w:sz="8" w:color="auto"/>
            </w:tcBorders>
          </w:tcPr>
          <w:p>
            <w:pPr>
              <w:jc w:val="right"/>
              <w:ind w:right="374"/>
              <w:spacing w:after="0" w:line="155" w:lineRule="exact"/>
              <w:rPr>
                <w:sz w:val="20"/>
                <w:szCs w:val="20"/>
                <w:color w:val="auto"/>
              </w:rPr>
            </w:pPr>
            <w:r>
              <w:rPr>
                <w:rFonts w:ascii="Arial" w:cs="Arial" w:eastAsia="Arial" w:hAnsi="Arial"/>
                <w:sz w:val="14"/>
                <w:szCs w:val="14"/>
                <w:b w:val="1"/>
                <w:bCs w:val="1"/>
                <w:color w:val="auto"/>
              </w:rPr>
              <w:t>2020</w:t>
            </w:r>
          </w:p>
        </w:tc>
        <w:tc>
          <w:tcPr>
            <w:tcW w:w="180" w:type="dxa"/>
            <w:vAlign w:val="bottom"/>
            <w:tcBorders>
              <w:bottom w:val="single" w:sz="8" w:color="CFF0FC"/>
            </w:tcBorders>
          </w:tcPr>
          <w:p>
            <w:pPr>
              <w:spacing w:after="0"/>
              <w:rPr>
                <w:sz w:val="13"/>
                <w:szCs w:val="13"/>
                <w:color w:val="auto"/>
              </w:rPr>
            </w:pPr>
          </w:p>
        </w:tc>
      </w:tr>
      <w:tr>
        <w:trPr>
          <w:trHeight w:val="223"/>
        </w:trPr>
        <w:tc>
          <w:tcPr>
            <w:tcW w:w="5040" w:type="dxa"/>
            <w:vAlign w:val="bottom"/>
            <w:shd w:val="clear" w:color="auto" w:fill="CFF0FC"/>
          </w:tcPr>
          <w:p>
            <w:pPr>
              <w:spacing w:after="0"/>
              <w:rPr>
                <w:sz w:val="20"/>
                <w:szCs w:val="20"/>
                <w:color w:val="auto"/>
              </w:rPr>
            </w:pPr>
            <w:r>
              <w:rPr>
                <w:rFonts w:ascii="Arial" w:cs="Arial" w:eastAsia="Arial" w:hAnsi="Arial"/>
                <w:sz w:val="18"/>
                <w:szCs w:val="18"/>
                <w:color w:val="auto"/>
              </w:rPr>
              <w:t>Cost of software-enabled services</w:t>
            </w:r>
          </w:p>
        </w:tc>
        <w:tc>
          <w:tcPr>
            <w:tcW w:w="780" w:type="dxa"/>
            <w:vAlign w:val="bottom"/>
            <w:shd w:val="clear" w:color="auto" w:fill="CFF0FC"/>
          </w:tcPr>
          <w:p>
            <w:pPr>
              <w:spacing w:after="0"/>
              <w:rPr>
                <w:sz w:val="19"/>
                <w:szCs w:val="19"/>
                <w:color w:val="auto"/>
              </w:rPr>
            </w:pPr>
          </w:p>
        </w:tc>
        <w:tc>
          <w:tcPr>
            <w:tcW w:w="680" w:type="dxa"/>
            <w:vAlign w:val="bottom"/>
            <w:gridSpan w:val="2"/>
            <w:shd w:val="clear" w:color="auto" w:fill="CFF0FC"/>
          </w:tcPr>
          <w:p>
            <w:pPr>
              <w:jc w:val="right"/>
              <w:ind w:right="140"/>
              <w:spacing w:after="0"/>
              <w:rPr>
                <w:sz w:val="20"/>
                <w:szCs w:val="20"/>
                <w:color w:val="auto"/>
              </w:rPr>
            </w:pPr>
            <w:r>
              <w:rPr>
                <w:rFonts w:ascii="Arial" w:cs="Arial" w:eastAsia="Arial" w:hAnsi="Arial"/>
                <w:sz w:val="18"/>
                <w:szCs w:val="18"/>
                <w:color w:val="auto"/>
              </w:rPr>
              <w:t>57.1%</w:t>
            </w:r>
          </w:p>
        </w:tc>
        <w:tc>
          <w:tcPr>
            <w:tcW w:w="1360" w:type="dxa"/>
            <w:vAlign w:val="bottom"/>
            <w:gridSpan w:val="2"/>
            <w:shd w:val="clear" w:color="auto" w:fill="CFF0FC"/>
          </w:tcPr>
          <w:p>
            <w:pPr>
              <w:jc w:val="right"/>
              <w:ind w:right="40"/>
              <w:spacing w:after="0"/>
              <w:rPr>
                <w:sz w:val="20"/>
                <w:szCs w:val="20"/>
                <w:color w:val="auto"/>
              </w:rPr>
            </w:pPr>
            <w:r>
              <w:rPr>
                <w:rFonts w:ascii="Arial" w:cs="Arial" w:eastAsia="Arial" w:hAnsi="Arial"/>
                <w:sz w:val="18"/>
                <w:szCs w:val="18"/>
                <w:color w:val="auto"/>
              </w:rPr>
              <w:t>59.0%</w:t>
            </w:r>
          </w:p>
        </w:tc>
      </w:tr>
      <w:tr>
        <w:trPr>
          <w:trHeight w:val="229"/>
        </w:trPr>
        <w:tc>
          <w:tcPr>
            <w:tcW w:w="5820" w:type="dxa"/>
            <w:vAlign w:val="bottom"/>
            <w:gridSpan w:val="2"/>
          </w:tcPr>
          <w:p>
            <w:pPr>
              <w:spacing w:after="0"/>
              <w:rPr>
                <w:sz w:val="20"/>
                <w:szCs w:val="20"/>
                <w:color w:val="auto"/>
              </w:rPr>
            </w:pPr>
            <w:r>
              <w:rPr>
                <w:rFonts w:ascii="Arial" w:cs="Arial" w:eastAsia="Arial" w:hAnsi="Arial"/>
                <w:sz w:val="18"/>
                <w:szCs w:val="18"/>
                <w:color w:val="auto"/>
              </w:rPr>
              <w:t>Cost of license, maintenance and related</w:t>
            </w:r>
          </w:p>
        </w:tc>
        <w:tc>
          <w:tcPr>
            <w:tcW w:w="680" w:type="dxa"/>
            <w:vAlign w:val="bottom"/>
            <w:gridSpan w:val="2"/>
          </w:tcPr>
          <w:p>
            <w:pPr>
              <w:jc w:val="right"/>
              <w:ind w:right="140"/>
              <w:spacing w:after="0"/>
              <w:rPr>
                <w:sz w:val="20"/>
                <w:szCs w:val="20"/>
                <w:color w:val="auto"/>
              </w:rPr>
            </w:pPr>
            <w:r>
              <w:rPr>
                <w:rFonts w:ascii="Arial" w:cs="Arial" w:eastAsia="Arial" w:hAnsi="Arial"/>
                <w:sz w:val="18"/>
                <w:szCs w:val="18"/>
                <w:color w:val="auto"/>
              </w:rPr>
              <w:t>41.5%</w:t>
            </w:r>
          </w:p>
        </w:tc>
        <w:tc>
          <w:tcPr>
            <w:tcW w:w="1360" w:type="dxa"/>
            <w:vAlign w:val="bottom"/>
            <w:gridSpan w:val="2"/>
          </w:tcPr>
          <w:p>
            <w:pPr>
              <w:jc w:val="right"/>
              <w:ind w:right="40"/>
              <w:spacing w:after="0"/>
              <w:rPr>
                <w:sz w:val="20"/>
                <w:szCs w:val="20"/>
                <w:color w:val="auto"/>
              </w:rPr>
            </w:pPr>
            <w:r>
              <w:rPr>
                <w:rFonts w:ascii="Arial" w:cs="Arial" w:eastAsia="Arial" w:hAnsi="Arial"/>
                <w:sz w:val="18"/>
                <w:szCs w:val="18"/>
                <w:color w:val="auto"/>
              </w:rPr>
              <w:t>44.6%</w:t>
            </w:r>
          </w:p>
        </w:tc>
      </w:tr>
      <w:tr>
        <w:trPr>
          <w:trHeight w:val="230"/>
        </w:trPr>
        <w:tc>
          <w:tcPr>
            <w:tcW w:w="5820" w:type="dxa"/>
            <w:vAlign w:val="bottom"/>
            <w:gridSpan w:val="2"/>
            <w:shd w:val="clear" w:color="auto" w:fill="CFF0FC"/>
          </w:tcPr>
          <w:p>
            <w:pPr>
              <w:ind w:left="240"/>
              <w:spacing w:after="0"/>
              <w:rPr>
                <w:sz w:val="20"/>
                <w:szCs w:val="20"/>
                <w:color w:val="auto"/>
              </w:rPr>
            </w:pPr>
            <w:r>
              <w:rPr>
                <w:rFonts w:ascii="Arial" w:cs="Arial" w:eastAsia="Arial" w:hAnsi="Arial"/>
                <w:sz w:val="18"/>
                <w:szCs w:val="18"/>
                <w:color w:val="auto"/>
              </w:rPr>
              <w:t>Total cost of revenues</w:t>
            </w:r>
          </w:p>
        </w:tc>
        <w:tc>
          <w:tcPr>
            <w:tcW w:w="680" w:type="dxa"/>
            <w:vAlign w:val="bottom"/>
            <w:gridSpan w:val="2"/>
            <w:shd w:val="clear" w:color="auto" w:fill="CFF0FC"/>
          </w:tcPr>
          <w:p>
            <w:pPr>
              <w:jc w:val="right"/>
              <w:ind w:right="140"/>
              <w:spacing w:after="0"/>
              <w:rPr>
                <w:sz w:val="20"/>
                <w:szCs w:val="20"/>
                <w:color w:val="auto"/>
              </w:rPr>
            </w:pPr>
            <w:r>
              <w:rPr>
                <w:rFonts w:ascii="Arial" w:cs="Arial" w:eastAsia="Arial" w:hAnsi="Arial"/>
                <w:sz w:val="18"/>
                <w:szCs w:val="18"/>
                <w:color w:val="auto"/>
              </w:rPr>
              <w:t>54.7%</w:t>
            </w:r>
          </w:p>
        </w:tc>
        <w:tc>
          <w:tcPr>
            <w:tcW w:w="1360" w:type="dxa"/>
            <w:vAlign w:val="bottom"/>
            <w:gridSpan w:val="2"/>
            <w:shd w:val="clear" w:color="auto" w:fill="CFF0FC"/>
          </w:tcPr>
          <w:p>
            <w:pPr>
              <w:jc w:val="right"/>
              <w:ind w:right="40"/>
              <w:spacing w:after="0"/>
              <w:rPr>
                <w:sz w:val="20"/>
                <w:szCs w:val="20"/>
                <w:color w:val="auto"/>
              </w:rPr>
            </w:pPr>
            <w:r>
              <w:rPr>
                <w:rFonts w:ascii="Arial" w:cs="Arial" w:eastAsia="Arial" w:hAnsi="Arial"/>
                <w:sz w:val="18"/>
                <w:szCs w:val="18"/>
                <w:color w:val="auto"/>
              </w:rPr>
              <w:t>56.7%</w:t>
            </w:r>
          </w:p>
        </w:tc>
      </w:tr>
      <w:tr>
        <w:trPr>
          <w:trHeight w:val="230"/>
        </w:trPr>
        <w:tc>
          <w:tcPr>
            <w:tcW w:w="5820" w:type="dxa"/>
            <w:vAlign w:val="bottom"/>
            <w:gridSpan w:val="2"/>
          </w:tcPr>
          <w:p>
            <w:pPr>
              <w:spacing w:after="0"/>
              <w:rPr>
                <w:sz w:val="20"/>
                <w:szCs w:val="20"/>
                <w:color w:val="auto"/>
              </w:rPr>
            </w:pPr>
            <w:r>
              <w:rPr>
                <w:rFonts w:ascii="Arial" w:cs="Arial" w:eastAsia="Arial" w:hAnsi="Arial"/>
                <w:sz w:val="18"/>
                <w:szCs w:val="18"/>
                <w:color w:val="auto"/>
              </w:rPr>
              <w:t>Gross margin percentage</w:t>
            </w:r>
          </w:p>
        </w:tc>
        <w:tc>
          <w:tcPr>
            <w:tcW w:w="680" w:type="dxa"/>
            <w:vAlign w:val="bottom"/>
            <w:gridSpan w:val="2"/>
          </w:tcPr>
          <w:p>
            <w:pPr>
              <w:jc w:val="right"/>
              <w:ind w:right="140"/>
              <w:spacing w:after="0"/>
              <w:rPr>
                <w:sz w:val="20"/>
                <w:szCs w:val="20"/>
                <w:color w:val="auto"/>
              </w:rPr>
            </w:pPr>
            <w:r>
              <w:rPr>
                <w:rFonts w:ascii="Arial" w:cs="Arial" w:eastAsia="Arial" w:hAnsi="Arial"/>
                <w:sz w:val="18"/>
                <w:szCs w:val="18"/>
                <w:color w:val="auto"/>
              </w:rPr>
              <w:t>45.3%</w:t>
            </w:r>
          </w:p>
        </w:tc>
        <w:tc>
          <w:tcPr>
            <w:tcW w:w="1360" w:type="dxa"/>
            <w:vAlign w:val="bottom"/>
            <w:gridSpan w:val="2"/>
          </w:tcPr>
          <w:p>
            <w:pPr>
              <w:jc w:val="right"/>
              <w:ind w:right="40"/>
              <w:spacing w:after="0"/>
              <w:rPr>
                <w:sz w:val="20"/>
                <w:szCs w:val="20"/>
                <w:color w:val="auto"/>
              </w:rPr>
            </w:pPr>
            <w:r>
              <w:rPr>
                <w:rFonts w:ascii="Arial" w:cs="Arial" w:eastAsia="Arial" w:hAnsi="Arial"/>
                <w:sz w:val="18"/>
                <w:szCs w:val="18"/>
                <w:color w:val="auto"/>
              </w:rPr>
              <w:t>43.3%</w:t>
            </w:r>
          </w:p>
        </w:tc>
      </w:tr>
    </w:tbl>
    <w:p>
      <w:pPr>
        <w:spacing w:after="0" w:line="241" w:lineRule="exact"/>
        <w:rPr>
          <w:sz w:val="20"/>
          <w:szCs w:val="20"/>
          <w:color w:val="auto"/>
        </w:rPr>
      </w:pPr>
    </w:p>
    <w:p>
      <w:pPr>
        <w:ind w:left="520"/>
        <w:spacing w:after="0"/>
        <w:rPr>
          <w:sz w:val="20"/>
          <w:szCs w:val="20"/>
          <w:color w:val="auto"/>
        </w:rPr>
      </w:pPr>
      <w:r>
        <w:rPr>
          <w:rFonts w:ascii="Arial" w:cs="Arial" w:eastAsia="Arial" w:hAnsi="Arial"/>
          <w:sz w:val="18"/>
          <w:szCs w:val="18"/>
          <w:color w:val="auto"/>
        </w:rPr>
        <w:t>The following table sets forth cost of revenues (dollars in millions) and percent change in cost of revenues for the periods indicated:</w:t>
      </w:r>
    </w:p>
    <w:p>
      <w:pPr>
        <w:spacing w:after="0" w:line="2" w:lineRule="exact"/>
        <w:rPr>
          <w:sz w:val="20"/>
          <w:szCs w:val="20"/>
          <w:color w:val="auto"/>
        </w:rPr>
      </w:pPr>
    </w:p>
    <w:tbl>
      <w:tblPr>
        <w:tblLayout w:type="fixed"/>
        <w:tblInd w:w="580" w:type="dxa"/>
        <w:tblCellMar>
          <w:top w:w="0" w:type="dxa"/>
          <w:left w:w="0" w:type="dxa"/>
          <w:bottom w:w="0" w:type="dxa"/>
          <w:right w:w="0" w:type="dxa"/>
        </w:tblCellMar>
      </w:tblPr>
      <w:tr>
        <w:trPr>
          <w:trHeight w:val="161"/>
        </w:trPr>
        <w:tc>
          <w:tcPr>
            <w:tcW w:w="4200" w:type="dxa"/>
            <w:vAlign w:val="bottom"/>
          </w:tcPr>
          <w:p>
            <w:pPr>
              <w:spacing w:after="0"/>
              <w:rPr>
                <w:sz w:val="14"/>
                <w:szCs w:val="14"/>
                <w:color w:val="auto"/>
              </w:rPr>
            </w:pPr>
          </w:p>
        </w:tc>
        <w:tc>
          <w:tcPr>
            <w:tcW w:w="132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540" w:type="dxa"/>
            <w:vAlign w:val="bottom"/>
            <w:gridSpan w:val="2"/>
          </w:tcPr>
          <w:p>
            <w:pPr>
              <w:jc w:val="center"/>
              <w:ind w:right="240"/>
              <w:spacing w:after="0"/>
              <w:rPr>
                <w:sz w:val="20"/>
                <w:szCs w:val="20"/>
                <w:color w:val="auto"/>
              </w:rPr>
            </w:pPr>
            <w:r>
              <w:rPr>
                <w:rFonts w:ascii="Arial" w:cs="Arial" w:eastAsia="Arial" w:hAnsi="Arial"/>
                <w:sz w:val="14"/>
                <w:szCs w:val="14"/>
                <w:b w:val="1"/>
                <w:bCs w:val="1"/>
                <w:color w:val="auto"/>
                <w:w w:val="89"/>
              </w:rPr>
              <w:t>Percent</w:t>
            </w:r>
          </w:p>
        </w:tc>
        <w:tc>
          <w:tcPr>
            <w:tcW w:w="0" w:type="dxa"/>
            <w:vAlign w:val="bottom"/>
          </w:tcPr>
          <w:p>
            <w:pPr>
              <w:spacing w:after="0"/>
              <w:rPr>
                <w:sz w:val="1"/>
                <w:szCs w:val="1"/>
                <w:color w:val="auto"/>
              </w:rPr>
            </w:pPr>
          </w:p>
        </w:tc>
      </w:tr>
      <w:tr>
        <w:trPr>
          <w:trHeight w:val="148"/>
        </w:trPr>
        <w:tc>
          <w:tcPr>
            <w:tcW w:w="4200" w:type="dxa"/>
            <w:vAlign w:val="bottom"/>
          </w:tcPr>
          <w:p>
            <w:pPr>
              <w:spacing w:after="0"/>
              <w:rPr>
                <w:sz w:val="12"/>
                <w:szCs w:val="12"/>
                <w:color w:val="auto"/>
              </w:rPr>
            </w:pPr>
          </w:p>
        </w:tc>
        <w:tc>
          <w:tcPr>
            <w:tcW w:w="1320" w:type="dxa"/>
            <w:vAlign w:val="bottom"/>
          </w:tcPr>
          <w:p>
            <w:pPr>
              <w:spacing w:after="0"/>
              <w:rPr>
                <w:sz w:val="12"/>
                <w:szCs w:val="12"/>
                <w:color w:val="auto"/>
              </w:rPr>
            </w:pPr>
          </w:p>
        </w:tc>
        <w:tc>
          <w:tcPr>
            <w:tcW w:w="84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540" w:type="dxa"/>
            <w:vAlign w:val="bottom"/>
            <w:gridSpan w:val="2"/>
          </w:tcPr>
          <w:p>
            <w:pPr>
              <w:jc w:val="center"/>
              <w:ind w:right="240"/>
              <w:spacing w:after="0" w:line="149" w:lineRule="exact"/>
              <w:rPr>
                <w:sz w:val="20"/>
                <w:szCs w:val="20"/>
                <w:color w:val="auto"/>
              </w:rPr>
            </w:pPr>
            <w:r>
              <w:rPr>
                <w:rFonts w:ascii="Arial" w:cs="Arial" w:eastAsia="Arial" w:hAnsi="Arial"/>
                <w:sz w:val="14"/>
                <w:szCs w:val="14"/>
                <w:b w:val="1"/>
                <w:bCs w:val="1"/>
                <w:color w:val="auto"/>
                <w:w w:val="94"/>
              </w:rPr>
              <w:t>Change from</w:t>
            </w:r>
          </w:p>
        </w:tc>
        <w:tc>
          <w:tcPr>
            <w:tcW w:w="0" w:type="dxa"/>
            <w:vAlign w:val="bottom"/>
          </w:tcPr>
          <w:p>
            <w:pPr>
              <w:spacing w:after="0"/>
              <w:rPr>
                <w:sz w:val="1"/>
                <w:szCs w:val="1"/>
                <w:color w:val="auto"/>
              </w:rPr>
            </w:pPr>
          </w:p>
        </w:tc>
      </w:tr>
      <w:tr>
        <w:trPr>
          <w:trHeight w:val="149"/>
        </w:trPr>
        <w:tc>
          <w:tcPr>
            <w:tcW w:w="4200" w:type="dxa"/>
            <w:vAlign w:val="bottom"/>
          </w:tcPr>
          <w:p>
            <w:pPr>
              <w:spacing w:after="0"/>
              <w:rPr>
                <w:sz w:val="12"/>
                <w:szCs w:val="12"/>
                <w:color w:val="auto"/>
              </w:rPr>
            </w:pPr>
          </w:p>
        </w:tc>
        <w:tc>
          <w:tcPr>
            <w:tcW w:w="1320" w:type="dxa"/>
            <w:vAlign w:val="bottom"/>
          </w:tcPr>
          <w:p>
            <w:pPr>
              <w:spacing w:after="0"/>
              <w:rPr>
                <w:sz w:val="12"/>
                <w:szCs w:val="12"/>
                <w:color w:val="auto"/>
              </w:rPr>
            </w:pPr>
          </w:p>
        </w:tc>
        <w:tc>
          <w:tcPr>
            <w:tcW w:w="2400" w:type="dxa"/>
            <w:vAlign w:val="bottom"/>
            <w:gridSpan w:val="4"/>
            <w:vMerge w:val="restart"/>
          </w:tcPr>
          <w:p>
            <w:pPr>
              <w:jc w:val="right"/>
              <w:spacing w:after="0"/>
              <w:rPr>
                <w:sz w:val="20"/>
                <w:szCs w:val="20"/>
                <w:color w:val="auto"/>
              </w:rPr>
            </w:pPr>
            <w:r>
              <w:rPr>
                <w:rFonts w:ascii="Arial" w:cs="Arial" w:eastAsia="Arial" w:hAnsi="Arial"/>
                <w:sz w:val="14"/>
                <w:szCs w:val="14"/>
                <w:b w:val="1"/>
                <w:bCs w:val="1"/>
                <w:color w:val="auto"/>
              </w:rPr>
              <w:t>Three Months Ended March 31,</w:t>
            </w:r>
          </w:p>
        </w:tc>
        <w:tc>
          <w:tcPr>
            <w:tcW w:w="44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540" w:type="dxa"/>
            <w:vAlign w:val="bottom"/>
            <w:gridSpan w:val="2"/>
          </w:tcPr>
          <w:p>
            <w:pPr>
              <w:jc w:val="center"/>
              <w:ind w:right="240"/>
              <w:spacing w:after="0" w:line="149" w:lineRule="exact"/>
              <w:rPr>
                <w:sz w:val="20"/>
                <w:szCs w:val="20"/>
                <w:color w:val="auto"/>
              </w:rPr>
            </w:pPr>
            <w:r>
              <w:rPr>
                <w:rFonts w:ascii="Arial" w:cs="Arial" w:eastAsia="Arial" w:hAnsi="Arial"/>
                <w:sz w:val="14"/>
                <w:szCs w:val="14"/>
                <w:b w:val="1"/>
                <w:bCs w:val="1"/>
                <w:color w:val="auto"/>
              </w:rPr>
              <w:t>Prior</w:t>
            </w:r>
          </w:p>
        </w:tc>
        <w:tc>
          <w:tcPr>
            <w:tcW w:w="0" w:type="dxa"/>
            <w:vAlign w:val="bottom"/>
          </w:tcPr>
          <w:p>
            <w:pPr>
              <w:spacing w:after="0"/>
              <w:rPr>
                <w:sz w:val="1"/>
                <w:szCs w:val="1"/>
                <w:color w:val="auto"/>
              </w:rPr>
            </w:pPr>
          </w:p>
        </w:tc>
      </w:tr>
      <w:tr>
        <w:trPr>
          <w:trHeight w:val="171"/>
        </w:trPr>
        <w:tc>
          <w:tcPr>
            <w:tcW w:w="4200" w:type="dxa"/>
            <w:vAlign w:val="bottom"/>
          </w:tcPr>
          <w:p>
            <w:pPr>
              <w:spacing w:after="0"/>
              <w:rPr>
                <w:sz w:val="14"/>
                <w:szCs w:val="14"/>
                <w:color w:val="auto"/>
              </w:rPr>
            </w:pPr>
          </w:p>
        </w:tc>
        <w:tc>
          <w:tcPr>
            <w:tcW w:w="1320" w:type="dxa"/>
            <w:vAlign w:val="bottom"/>
          </w:tcPr>
          <w:p>
            <w:pPr>
              <w:spacing w:after="0"/>
              <w:rPr>
                <w:sz w:val="14"/>
                <w:szCs w:val="14"/>
                <w:color w:val="auto"/>
              </w:rPr>
            </w:pPr>
          </w:p>
        </w:tc>
        <w:tc>
          <w:tcPr>
            <w:tcW w:w="2400" w:type="dxa"/>
            <w:vAlign w:val="bottom"/>
            <w:tcBorders>
              <w:bottom w:val="single" w:sz="8" w:color="auto"/>
            </w:tcBorders>
            <w:gridSpan w:val="4"/>
            <w:vMerge w:val="continue"/>
          </w:tcPr>
          <w:p>
            <w:pPr>
              <w:spacing w:after="0"/>
              <w:rPr>
                <w:sz w:val="14"/>
                <w:szCs w:val="14"/>
                <w:color w:val="auto"/>
              </w:rPr>
            </w:pPr>
          </w:p>
        </w:tc>
        <w:tc>
          <w:tcPr>
            <w:tcW w:w="440" w:type="dxa"/>
            <w:vAlign w:val="bottom"/>
            <w:tcBorders>
              <w:bottom w:val="single" w:sz="8" w:color="auto"/>
            </w:tcBorders>
          </w:tcPr>
          <w:p>
            <w:pPr>
              <w:spacing w:after="0"/>
              <w:rPr>
                <w:sz w:val="14"/>
                <w:szCs w:val="14"/>
                <w:color w:val="auto"/>
              </w:rPr>
            </w:pPr>
          </w:p>
        </w:tc>
        <w:tc>
          <w:tcPr>
            <w:tcW w:w="200" w:type="dxa"/>
            <w:vAlign w:val="bottom"/>
          </w:tcPr>
          <w:p>
            <w:pPr>
              <w:spacing w:after="0"/>
              <w:rPr>
                <w:sz w:val="14"/>
                <w:szCs w:val="14"/>
                <w:color w:val="auto"/>
              </w:rPr>
            </w:pPr>
          </w:p>
        </w:tc>
        <w:tc>
          <w:tcPr>
            <w:tcW w:w="130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6"/>
              </w:rPr>
              <w:t>Period</w:t>
            </w:r>
          </w:p>
        </w:tc>
        <w:tc>
          <w:tcPr>
            <w:tcW w:w="2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10"/>
        </w:trPr>
        <w:tc>
          <w:tcPr>
            <w:tcW w:w="4200" w:type="dxa"/>
            <w:vAlign w:val="bottom"/>
            <w:vMerge w:val="restart"/>
          </w:tcPr>
          <w:p>
            <w:pPr>
              <w:spacing w:after="0"/>
              <w:rPr>
                <w:sz w:val="20"/>
                <w:szCs w:val="20"/>
                <w:color w:val="auto"/>
              </w:rPr>
            </w:pPr>
            <w:r>
              <w:rPr>
                <w:rFonts w:ascii="Arial" w:cs="Arial" w:eastAsia="Arial" w:hAnsi="Arial"/>
                <w:sz w:val="18"/>
                <w:szCs w:val="18"/>
                <w:color w:val="auto"/>
              </w:rPr>
              <w:t>Cost of software-enabled services</w:t>
            </w:r>
          </w:p>
        </w:tc>
        <w:tc>
          <w:tcPr>
            <w:tcW w:w="2160" w:type="dxa"/>
            <w:vAlign w:val="bottom"/>
            <w:gridSpan w:val="2"/>
          </w:tcPr>
          <w:p>
            <w:pPr>
              <w:jc w:val="right"/>
              <w:spacing w:after="0"/>
              <w:rPr>
                <w:sz w:val="20"/>
                <w:szCs w:val="20"/>
                <w:color w:val="auto"/>
              </w:rPr>
            </w:pPr>
            <w:r>
              <w:rPr>
                <w:rFonts w:ascii="Arial" w:cs="Arial" w:eastAsia="Arial" w:hAnsi="Arial"/>
                <w:sz w:val="14"/>
                <w:szCs w:val="14"/>
                <w:b w:val="1"/>
                <w:bCs w:val="1"/>
                <w:color w:val="auto"/>
              </w:rPr>
              <w:t>2021</w:t>
            </w:r>
          </w:p>
        </w:tc>
        <w:tc>
          <w:tcPr>
            <w:tcW w:w="4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Arial" w:cs="Arial" w:eastAsia="Arial" w:hAnsi="Arial"/>
                <w:sz w:val="14"/>
                <w:szCs w:val="14"/>
                <w:b w:val="1"/>
                <w:bCs w:val="1"/>
                <w:color w:val="auto"/>
              </w:rPr>
              <w:t>2020</w:t>
            </w:r>
          </w:p>
        </w:tc>
        <w:tc>
          <w:tcPr>
            <w:tcW w:w="440" w:type="dxa"/>
            <w:vAlign w:val="bottom"/>
          </w:tcPr>
          <w:p>
            <w:pPr>
              <w:spacing w:after="0"/>
              <w:rPr>
                <w:sz w:val="18"/>
                <w:szCs w:val="18"/>
                <w:color w:val="auto"/>
              </w:rPr>
            </w:pPr>
          </w:p>
        </w:tc>
        <w:tc>
          <w:tcPr>
            <w:tcW w:w="1740" w:type="dxa"/>
            <w:vAlign w:val="bottom"/>
            <w:gridSpan w:val="3"/>
            <w:vMerge w:val="restart"/>
          </w:tcPr>
          <w:p>
            <w:pPr>
              <w:jc w:val="right"/>
              <w:ind w:right="80"/>
              <w:spacing w:after="0"/>
              <w:rPr>
                <w:sz w:val="20"/>
                <w:szCs w:val="20"/>
                <w:color w:val="auto"/>
              </w:rPr>
            </w:pPr>
            <w:r>
              <w:rPr>
                <w:rFonts w:ascii="Arial" w:cs="Arial" w:eastAsia="Arial" w:hAnsi="Arial"/>
                <w:sz w:val="18"/>
                <w:szCs w:val="18"/>
                <w:color w:val="auto"/>
              </w:rPr>
              <w:t>2.1%</w:t>
            </w:r>
          </w:p>
        </w:tc>
        <w:tc>
          <w:tcPr>
            <w:tcW w:w="0" w:type="dxa"/>
            <w:vAlign w:val="bottom"/>
          </w:tcPr>
          <w:p>
            <w:pPr>
              <w:spacing w:after="0"/>
              <w:rPr>
                <w:sz w:val="1"/>
                <w:szCs w:val="1"/>
                <w:color w:val="auto"/>
              </w:rPr>
            </w:pPr>
          </w:p>
        </w:tc>
      </w:tr>
      <w:tr>
        <w:trPr>
          <w:trHeight w:val="223"/>
        </w:trPr>
        <w:tc>
          <w:tcPr>
            <w:tcW w:w="4200" w:type="dxa"/>
            <w:vAlign w:val="bottom"/>
            <w:vMerge w:val="continue"/>
          </w:tcPr>
          <w:p>
            <w:pPr>
              <w:spacing w:after="0"/>
              <w:rPr>
                <w:sz w:val="19"/>
                <w:szCs w:val="19"/>
                <w:color w:val="auto"/>
              </w:rPr>
            </w:pPr>
          </w:p>
        </w:tc>
        <w:tc>
          <w:tcPr>
            <w:tcW w:w="1320" w:type="dxa"/>
            <w:vAlign w:val="bottom"/>
          </w:tcPr>
          <w:p>
            <w:pPr>
              <w:spacing w:after="0"/>
              <w:rPr>
                <w:sz w:val="19"/>
                <w:szCs w:val="19"/>
                <w:color w:val="auto"/>
              </w:rPr>
            </w:pPr>
          </w:p>
        </w:tc>
        <w:tc>
          <w:tcPr>
            <w:tcW w:w="840" w:type="dxa"/>
            <w:vAlign w:val="bottom"/>
            <w:tcBorders>
              <w:top w:val="single" w:sz="8" w:color="auto"/>
            </w:tcBorders>
          </w:tcPr>
          <w:p>
            <w:pPr>
              <w:jc w:val="right"/>
              <w:ind w:right="687"/>
              <w:spacing w:after="0"/>
              <w:rPr>
                <w:sz w:val="20"/>
                <w:szCs w:val="20"/>
                <w:color w:val="auto"/>
              </w:rPr>
            </w:pPr>
            <w:r>
              <w:rPr>
                <w:rFonts w:ascii="Arial" w:cs="Arial" w:eastAsia="Arial" w:hAnsi="Arial"/>
                <w:sz w:val="15"/>
                <w:szCs w:val="15"/>
                <w:color w:val="auto"/>
                <w:w w:val="71"/>
              </w:rPr>
              <w:t>$</w:t>
            </w:r>
          </w:p>
        </w:tc>
        <w:tc>
          <w:tcPr>
            <w:tcW w:w="4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97"/>
              </w:rPr>
              <w:t>595.5</w:t>
            </w:r>
          </w:p>
        </w:tc>
        <w:tc>
          <w:tcPr>
            <w:tcW w:w="220" w:type="dxa"/>
            <w:vAlign w:val="bottom"/>
          </w:tcPr>
          <w:p>
            <w:pPr>
              <w:spacing w:after="0"/>
              <w:rPr>
                <w:sz w:val="19"/>
                <w:szCs w:val="19"/>
                <w:color w:val="auto"/>
              </w:rPr>
            </w:pPr>
          </w:p>
        </w:tc>
        <w:tc>
          <w:tcPr>
            <w:tcW w:w="880" w:type="dxa"/>
            <w:vAlign w:val="bottom"/>
            <w:tcBorders>
              <w:top w:val="single" w:sz="8" w:color="auto"/>
            </w:tcBorders>
          </w:tcPr>
          <w:p>
            <w:pPr>
              <w:jc w:val="right"/>
              <w:ind w:right="696"/>
              <w:spacing w:after="0"/>
              <w:rPr>
                <w:sz w:val="20"/>
                <w:szCs w:val="20"/>
                <w:color w:val="auto"/>
              </w:rPr>
            </w:pPr>
            <w:r>
              <w:rPr>
                <w:rFonts w:ascii="Arial" w:cs="Arial" w:eastAsia="Arial" w:hAnsi="Arial"/>
                <w:sz w:val="18"/>
                <w:szCs w:val="18"/>
                <w:color w:val="auto"/>
                <w:w w:val="79"/>
              </w:rPr>
              <w:t>$</w:t>
            </w:r>
          </w:p>
        </w:tc>
        <w:tc>
          <w:tcPr>
            <w:tcW w:w="4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88"/>
              </w:rPr>
              <w:t>583.5</w:t>
            </w:r>
          </w:p>
        </w:tc>
        <w:tc>
          <w:tcPr>
            <w:tcW w:w="1740" w:type="dxa"/>
            <w:vAlign w:val="bottom"/>
            <w:gridSpan w:val="3"/>
            <w:vMerge w:val="continue"/>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4200" w:type="dxa"/>
            <w:vAlign w:val="bottom"/>
            <w:shd w:val="clear" w:color="auto" w:fill="CFF0FC"/>
          </w:tcPr>
          <w:p>
            <w:pPr>
              <w:spacing w:after="0"/>
              <w:rPr>
                <w:sz w:val="20"/>
                <w:szCs w:val="20"/>
                <w:color w:val="auto"/>
              </w:rPr>
            </w:pPr>
            <w:r>
              <w:rPr>
                <w:rFonts w:ascii="Arial" w:cs="Arial" w:eastAsia="Arial" w:hAnsi="Arial"/>
                <w:sz w:val="18"/>
                <w:szCs w:val="18"/>
                <w:color w:val="auto"/>
              </w:rPr>
              <w:t>Cost of license, maintenance and related</w:t>
            </w:r>
          </w:p>
        </w:tc>
        <w:tc>
          <w:tcPr>
            <w:tcW w:w="1320" w:type="dxa"/>
            <w:vAlign w:val="bottom"/>
            <w:shd w:val="clear" w:color="auto" w:fill="CFF0FC"/>
          </w:tcPr>
          <w:p>
            <w:pPr>
              <w:spacing w:after="0"/>
              <w:rPr>
                <w:sz w:val="19"/>
                <w:szCs w:val="19"/>
                <w:color w:val="auto"/>
              </w:rPr>
            </w:pPr>
          </w:p>
        </w:tc>
        <w:tc>
          <w:tcPr>
            <w:tcW w:w="840" w:type="dxa"/>
            <w:vAlign w:val="bottom"/>
            <w:tcBorders>
              <w:bottom w:val="single" w:sz="8" w:color="auto"/>
            </w:tcBorders>
            <w:shd w:val="clear" w:color="auto" w:fill="CFF0FC"/>
          </w:tcPr>
          <w:p>
            <w:pPr>
              <w:spacing w:after="0"/>
              <w:rPr>
                <w:sz w:val="19"/>
                <w:szCs w:val="19"/>
                <w:color w:val="auto"/>
              </w:rPr>
            </w:pPr>
          </w:p>
        </w:tc>
        <w:tc>
          <w:tcPr>
            <w:tcW w:w="4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78.8</w:t>
            </w:r>
          </w:p>
        </w:tc>
        <w:tc>
          <w:tcPr>
            <w:tcW w:w="220" w:type="dxa"/>
            <w:vAlign w:val="bottom"/>
            <w:shd w:val="clear" w:color="auto" w:fill="CFF0FC"/>
          </w:tcPr>
          <w:p>
            <w:pPr>
              <w:spacing w:after="0"/>
              <w:rPr>
                <w:sz w:val="19"/>
                <w:szCs w:val="19"/>
                <w:color w:val="auto"/>
              </w:rPr>
            </w:pPr>
          </w:p>
        </w:tc>
        <w:tc>
          <w:tcPr>
            <w:tcW w:w="880" w:type="dxa"/>
            <w:vAlign w:val="bottom"/>
            <w:tcBorders>
              <w:bottom w:val="single" w:sz="8" w:color="auto"/>
            </w:tcBorders>
            <w:shd w:val="clear" w:color="auto" w:fill="CFF0FC"/>
          </w:tcPr>
          <w:p>
            <w:pPr>
              <w:spacing w:after="0"/>
              <w:rPr>
                <w:sz w:val="19"/>
                <w:szCs w:val="19"/>
                <w:color w:val="auto"/>
              </w:rPr>
            </w:pPr>
          </w:p>
        </w:tc>
        <w:tc>
          <w:tcPr>
            <w:tcW w:w="4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82.1</w:t>
            </w:r>
          </w:p>
        </w:tc>
        <w:tc>
          <w:tcPr>
            <w:tcW w:w="1740" w:type="dxa"/>
            <w:vAlign w:val="bottom"/>
            <w:gridSpan w:val="3"/>
            <w:shd w:val="clear" w:color="auto" w:fill="CFF0FC"/>
          </w:tcPr>
          <w:p>
            <w:pPr>
              <w:jc w:val="right"/>
              <w:ind w:right="20"/>
              <w:spacing w:after="0"/>
              <w:rPr>
                <w:sz w:val="20"/>
                <w:szCs w:val="20"/>
                <w:color w:val="auto"/>
              </w:rPr>
            </w:pPr>
            <w:r>
              <w:rPr>
                <w:rFonts w:ascii="Arial" w:cs="Arial" w:eastAsia="Arial" w:hAnsi="Arial"/>
                <w:sz w:val="18"/>
                <w:szCs w:val="18"/>
                <w:color w:val="auto"/>
              </w:rPr>
              <w:t>(4.0)%</w:t>
            </w:r>
          </w:p>
        </w:tc>
        <w:tc>
          <w:tcPr>
            <w:tcW w:w="0" w:type="dxa"/>
            <w:vAlign w:val="bottom"/>
          </w:tcPr>
          <w:p>
            <w:pPr>
              <w:spacing w:after="0"/>
              <w:rPr>
                <w:sz w:val="1"/>
                <w:szCs w:val="1"/>
                <w:color w:val="auto"/>
              </w:rPr>
            </w:pPr>
          </w:p>
        </w:tc>
      </w:tr>
      <w:tr>
        <w:trPr>
          <w:trHeight w:val="236"/>
        </w:trPr>
        <w:tc>
          <w:tcPr>
            <w:tcW w:w="4200" w:type="dxa"/>
            <w:vAlign w:val="bottom"/>
          </w:tcPr>
          <w:p>
            <w:pPr>
              <w:ind w:left="240"/>
              <w:spacing w:after="0"/>
              <w:rPr>
                <w:sz w:val="20"/>
                <w:szCs w:val="20"/>
                <w:color w:val="auto"/>
              </w:rPr>
            </w:pPr>
            <w:r>
              <w:rPr>
                <w:rFonts w:ascii="Arial" w:cs="Arial" w:eastAsia="Arial" w:hAnsi="Arial"/>
                <w:sz w:val="18"/>
                <w:szCs w:val="18"/>
                <w:color w:val="auto"/>
              </w:rPr>
              <w:t>Total cost of revenues</w:t>
            </w:r>
          </w:p>
        </w:tc>
        <w:tc>
          <w:tcPr>
            <w:tcW w:w="2160" w:type="dxa"/>
            <w:vAlign w:val="bottom"/>
            <w:gridSpan w:val="2"/>
          </w:tcPr>
          <w:p>
            <w:pPr>
              <w:jc w:val="right"/>
              <w:ind w:right="687"/>
              <w:spacing w:after="0"/>
              <w:rPr>
                <w:sz w:val="20"/>
                <w:szCs w:val="20"/>
                <w:color w:val="auto"/>
              </w:rPr>
            </w:pPr>
            <w:r>
              <w:rPr>
                <w:rFonts w:ascii="Arial" w:cs="Arial" w:eastAsia="Arial" w:hAnsi="Arial"/>
                <w:sz w:val="18"/>
                <w:szCs w:val="18"/>
                <w:color w:val="auto"/>
              </w:rPr>
              <w:t>$</w:t>
            </w:r>
          </w:p>
        </w:tc>
        <w:tc>
          <w:tcPr>
            <w:tcW w:w="460" w:type="dxa"/>
            <w:vAlign w:val="bottom"/>
          </w:tcPr>
          <w:p>
            <w:pPr>
              <w:jc w:val="right"/>
              <w:spacing w:after="0"/>
              <w:rPr>
                <w:sz w:val="20"/>
                <w:szCs w:val="20"/>
                <w:color w:val="auto"/>
              </w:rPr>
            </w:pPr>
            <w:r>
              <w:rPr>
                <w:rFonts w:ascii="Arial" w:cs="Arial" w:eastAsia="Arial" w:hAnsi="Arial"/>
                <w:sz w:val="18"/>
                <w:szCs w:val="18"/>
                <w:color w:val="auto"/>
                <w:w w:val="97"/>
              </w:rPr>
              <w:t>674.3</w:t>
            </w:r>
          </w:p>
        </w:tc>
        <w:tc>
          <w:tcPr>
            <w:tcW w:w="220" w:type="dxa"/>
            <w:vAlign w:val="bottom"/>
          </w:tcPr>
          <w:p>
            <w:pPr>
              <w:spacing w:after="0"/>
              <w:rPr>
                <w:sz w:val="20"/>
                <w:szCs w:val="20"/>
                <w:color w:val="auto"/>
              </w:rPr>
            </w:pPr>
          </w:p>
        </w:tc>
        <w:tc>
          <w:tcPr>
            <w:tcW w:w="880" w:type="dxa"/>
            <w:vAlign w:val="bottom"/>
          </w:tcPr>
          <w:p>
            <w:pPr>
              <w:jc w:val="right"/>
              <w:ind w:right="696"/>
              <w:spacing w:after="0"/>
              <w:rPr>
                <w:sz w:val="20"/>
                <w:szCs w:val="20"/>
                <w:color w:val="auto"/>
              </w:rPr>
            </w:pPr>
            <w:r>
              <w:rPr>
                <w:rFonts w:ascii="Arial" w:cs="Arial" w:eastAsia="Arial" w:hAnsi="Arial"/>
                <w:sz w:val="18"/>
                <w:szCs w:val="18"/>
                <w:color w:val="auto"/>
                <w:w w:val="79"/>
              </w:rPr>
              <w:t>$</w:t>
            </w:r>
          </w:p>
        </w:tc>
        <w:tc>
          <w:tcPr>
            <w:tcW w:w="440" w:type="dxa"/>
            <w:vAlign w:val="bottom"/>
          </w:tcPr>
          <w:p>
            <w:pPr>
              <w:jc w:val="right"/>
              <w:spacing w:after="0"/>
              <w:rPr>
                <w:sz w:val="20"/>
                <w:szCs w:val="20"/>
                <w:color w:val="auto"/>
              </w:rPr>
            </w:pPr>
            <w:r>
              <w:rPr>
                <w:rFonts w:ascii="Arial" w:cs="Arial" w:eastAsia="Arial" w:hAnsi="Arial"/>
                <w:sz w:val="18"/>
                <w:szCs w:val="18"/>
                <w:color w:val="auto"/>
                <w:w w:val="88"/>
              </w:rPr>
              <w:t>665.6</w:t>
            </w:r>
          </w:p>
        </w:tc>
        <w:tc>
          <w:tcPr>
            <w:tcW w:w="1740" w:type="dxa"/>
            <w:vAlign w:val="bottom"/>
            <w:gridSpan w:val="3"/>
          </w:tcPr>
          <w:p>
            <w:pPr>
              <w:jc w:val="right"/>
              <w:ind w:right="80"/>
              <w:spacing w:after="0"/>
              <w:rPr>
                <w:sz w:val="20"/>
                <w:szCs w:val="20"/>
                <w:color w:val="auto"/>
              </w:rPr>
            </w:pPr>
            <w:r>
              <w:rPr>
                <w:rFonts w:ascii="Arial" w:cs="Arial" w:eastAsia="Arial" w:hAnsi="Arial"/>
                <w:sz w:val="18"/>
                <w:szCs w:val="18"/>
                <w:color w:val="auto"/>
              </w:rPr>
              <w:t>1.3%</w:t>
            </w:r>
          </w:p>
        </w:tc>
        <w:tc>
          <w:tcPr>
            <w:tcW w:w="0" w:type="dxa"/>
            <w:vAlign w:val="bottom"/>
          </w:tcPr>
          <w:p>
            <w:pPr>
              <w:spacing w:after="0"/>
              <w:rPr>
                <w:sz w:val="1"/>
                <w:szCs w:val="1"/>
                <w:color w:val="auto"/>
              </w:rPr>
            </w:pPr>
          </w:p>
        </w:tc>
      </w:tr>
      <w:tr>
        <w:trPr>
          <w:trHeight w:val="20"/>
        </w:trPr>
        <w:tc>
          <w:tcPr>
            <w:tcW w:w="4200" w:type="dxa"/>
            <w:vAlign w:val="bottom"/>
          </w:tcPr>
          <w:p>
            <w:pPr>
              <w:spacing w:after="0" w:line="20" w:lineRule="exact"/>
              <w:rPr>
                <w:sz w:val="1"/>
                <w:szCs w:val="1"/>
                <w:color w:val="auto"/>
              </w:rPr>
            </w:pPr>
          </w:p>
        </w:tc>
        <w:tc>
          <w:tcPr>
            <w:tcW w:w="1320" w:type="dxa"/>
            <w:vAlign w:val="bottom"/>
          </w:tcPr>
          <w:p>
            <w:pPr>
              <w:spacing w:after="0" w:line="20" w:lineRule="exact"/>
              <w:rPr>
                <w:sz w:val="1"/>
                <w:szCs w:val="1"/>
                <w:color w:val="auto"/>
              </w:rPr>
            </w:pPr>
          </w:p>
        </w:tc>
        <w:tc>
          <w:tcPr>
            <w:tcW w:w="840" w:type="dxa"/>
            <w:vAlign w:val="bottom"/>
            <w:tcBorders>
              <w:top w:val="single" w:sz="8" w:color="auto"/>
              <w:bottom w:val="single" w:sz="8" w:color="auto"/>
            </w:tcBorders>
          </w:tcPr>
          <w:p>
            <w:pPr>
              <w:spacing w:after="0" w:line="20" w:lineRule="exact"/>
              <w:rPr>
                <w:sz w:val="1"/>
                <w:szCs w:val="1"/>
                <w:color w:val="auto"/>
              </w:rPr>
            </w:pPr>
          </w:p>
        </w:tc>
        <w:tc>
          <w:tcPr>
            <w:tcW w:w="46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44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30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2" w:lineRule="exact"/>
        <w:rPr>
          <w:sz w:val="20"/>
          <w:szCs w:val="20"/>
          <w:color w:val="auto"/>
        </w:rPr>
      </w:pPr>
    </w:p>
    <w:p>
      <w:pPr>
        <w:ind w:right="140" w:firstLine="510"/>
        <w:spacing w:after="0" w:line="270" w:lineRule="auto"/>
        <w:rPr>
          <w:sz w:val="20"/>
          <w:szCs w:val="20"/>
          <w:color w:val="auto"/>
        </w:rPr>
      </w:pPr>
      <w:r>
        <w:rPr>
          <w:rFonts w:ascii="Arial" w:cs="Arial" w:eastAsia="Arial" w:hAnsi="Arial"/>
          <w:sz w:val="17"/>
          <w:szCs w:val="17"/>
          <w:i w:val="1"/>
          <w:iCs w:val="1"/>
          <w:color w:val="auto"/>
        </w:rPr>
        <w:t>Three Months Ended March 31, 2021 and 2020</w:t>
      </w:r>
      <w:r>
        <w:rPr>
          <w:rFonts w:ascii="Arial" w:cs="Arial" w:eastAsia="Arial" w:hAnsi="Arial"/>
          <w:sz w:val="17"/>
          <w:szCs w:val="17"/>
          <w:color w:val="auto"/>
        </w:rPr>
        <w:t>. Our total cost of revenues increased by $8.7 million, or 1.3%, primarily due to acquisitions, which</w:t>
      </w:r>
      <w:r>
        <w:rPr>
          <w:rFonts w:ascii="Arial" w:cs="Arial" w:eastAsia="Arial" w:hAnsi="Arial"/>
          <w:sz w:val="17"/>
          <w:szCs w:val="17"/>
          <w:i w:val="1"/>
          <w:iCs w:val="1"/>
          <w:color w:val="auto"/>
        </w:rPr>
        <w:t xml:space="preserve"> </w:t>
      </w:r>
      <w:r>
        <w:rPr>
          <w:rFonts w:ascii="Arial" w:cs="Arial" w:eastAsia="Arial" w:hAnsi="Arial"/>
          <w:sz w:val="17"/>
          <w:szCs w:val="17"/>
          <w:color w:val="auto"/>
        </w:rPr>
        <w:t>added $13.3 million in costs, as well as the unfavorable impact from foreign currency translation of $10.4 million. Total costs of revenue, excluding the impact of acquisitions and foreign currency translation, decreased by $15.0 million, primarily due to a decrease in organic cost of revenues such as travel, entertainment, out-of-pocket expenses and depreciation and amortization, partially offset by an increase in severance expense related to personnel reductions in connection with continued integration efforts within our recently acquired businesses. Cost of software-enabled services revenues increased $12.0 million, or 2.1%, primarily due to acquisitions, which added $13.3 million in costs, as well as the unfavorable impact from foreign currency translation of $8.7 million. Organic cost of software-enabled services revenue decreased $10.0 million. Cost of license, maintenance and related revenues decreased $3.3 million, or 4.0%, primarily due to a decrease of $5.0 million in organic cost of revenue, partially offset by the unfavorable impact from foreign currency translation, which increased costs by $1.7 million.</w:t>
      </w:r>
    </w:p>
    <w:p>
      <w:pPr>
        <w:spacing w:after="0" w:line="181"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Operating Expenses</w:t>
      </w:r>
    </w:p>
    <w:p>
      <w:pPr>
        <w:spacing w:after="0" w:line="117" w:lineRule="exact"/>
        <w:rPr>
          <w:sz w:val="20"/>
          <w:szCs w:val="20"/>
          <w:color w:val="auto"/>
        </w:rPr>
      </w:pPr>
    </w:p>
    <w:p>
      <w:pPr>
        <w:ind w:firstLine="510"/>
        <w:spacing w:after="0" w:line="255" w:lineRule="auto"/>
        <w:rPr>
          <w:sz w:val="20"/>
          <w:szCs w:val="20"/>
          <w:color w:val="auto"/>
        </w:rPr>
      </w:pPr>
      <w:r>
        <w:rPr>
          <w:rFonts w:ascii="Arial" w:cs="Arial" w:eastAsia="Arial" w:hAnsi="Arial"/>
          <w:sz w:val="18"/>
          <w:szCs w:val="18"/>
          <w:color w:val="auto"/>
        </w:rPr>
        <w:t>Selling and marketing expenses consist primarily of the personnel costs associated with the selling and marketing of our products, including salaries, commissions and travel and entertainment. Such expenses also include amortization of intangible assets, the cost of branch sales offices, trade shows and marketing and promotional materials. Research and development expenses consist primarily of personnel costs attributable to the enhancement of existing products and the development of new software products. General and administrative expenses consist primarily of personnel costs related to management, accounting and finance, information management, human resources and administration and associated overhead costs, as well as fees for professional services.</w:t>
      </w:r>
    </w:p>
    <w:p>
      <w:pPr>
        <w:spacing w:after="0" w:line="200" w:lineRule="exact"/>
        <w:rPr>
          <w:sz w:val="20"/>
          <w:szCs w:val="20"/>
          <w:color w:val="auto"/>
        </w:rPr>
      </w:pPr>
    </w:p>
    <w:p>
      <w:pPr>
        <w:spacing w:after="0" w:line="200" w:lineRule="exact"/>
        <w:rPr>
          <w:sz w:val="20"/>
          <w:szCs w:val="20"/>
          <w:color w:val="auto"/>
        </w:rPr>
      </w:pPr>
    </w:p>
    <w:p>
      <w:pPr>
        <w:spacing w:after="0" w:line="22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598" w:right="339" w:bottom="1440" w:gutter="0" w:footer="0" w:header="0"/>
        </w:sectPr>
      </w:pPr>
    </w:p>
    <w:bookmarkStart w:id="18" w:name="page19"/>
    <w:bookmarkEnd w:id="18"/>
    <w:p>
      <w:pPr>
        <w:ind w:left="520"/>
        <w:spacing w:after="0"/>
        <w:rPr>
          <w:sz w:val="20"/>
          <w:szCs w:val="20"/>
          <w:color w:val="auto"/>
        </w:rPr>
      </w:pPr>
      <w:r>
        <w:rPr>
          <w:rFonts w:ascii="Arial" w:cs="Arial" w:eastAsia="Arial" w:hAnsi="Arial"/>
          <w:sz w:val="16"/>
          <w:szCs w:val="16"/>
          <w:color w:val="auto"/>
        </w:rPr>
        <w:t>The following table sets forth the percentage of our total revenues represented by each of the following operating expenses for the periods indicated:</w:t>
      </w:r>
    </w:p>
    <w:p>
      <w:pPr>
        <w:spacing w:after="0" w:line="105" w:lineRule="exact"/>
        <w:rPr>
          <w:sz w:val="20"/>
          <w:szCs w:val="20"/>
          <w:color w:val="auto"/>
        </w:rPr>
      </w:pPr>
    </w:p>
    <w:p>
      <w:pPr>
        <w:ind w:left="7060"/>
        <w:spacing w:after="0"/>
        <w:rPr>
          <w:sz w:val="20"/>
          <w:szCs w:val="20"/>
          <w:color w:val="auto"/>
        </w:rPr>
      </w:pPr>
      <w:r>
        <w:rPr>
          <w:rFonts w:ascii="Arial" w:cs="Arial" w:eastAsia="Arial" w:hAnsi="Arial"/>
          <w:sz w:val="14"/>
          <w:szCs w:val="14"/>
          <w:b w:val="1"/>
          <w:bCs w:val="1"/>
          <w:color w:val="auto"/>
        </w:rPr>
        <w:t>Three Months Ended March 31,</w:t>
      </w:r>
    </w:p>
    <w:p>
      <w:pPr>
        <w:spacing w:after="0" w:line="10" w:lineRule="exact"/>
        <w:rPr>
          <w:sz w:val="20"/>
          <w:szCs w:val="20"/>
          <w:color w:val="auto"/>
        </w:rPr>
      </w:pPr>
    </w:p>
    <w:tbl>
      <w:tblPr>
        <w:tblLayout w:type="fixed"/>
        <w:tblInd w:w="1700" w:type="dxa"/>
        <w:tblCellMar>
          <w:top w:w="0" w:type="dxa"/>
          <w:left w:w="0" w:type="dxa"/>
          <w:bottom w:w="0" w:type="dxa"/>
          <w:right w:w="0" w:type="dxa"/>
        </w:tblCellMar>
      </w:tblPr>
      <w:tr>
        <w:trPr>
          <w:trHeight w:val="155"/>
        </w:trPr>
        <w:tc>
          <w:tcPr>
            <w:tcW w:w="5040" w:type="dxa"/>
            <w:vAlign w:val="bottom"/>
            <w:tcBorders>
              <w:bottom w:val="single" w:sz="8" w:color="CFF0FC"/>
            </w:tcBorders>
          </w:tcPr>
          <w:p>
            <w:pPr>
              <w:spacing w:after="0"/>
              <w:rPr>
                <w:sz w:val="13"/>
                <w:szCs w:val="13"/>
                <w:color w:val="auto"/>
              </w:rPr>
            </w:pPr>
          </w:p>
        </w:tc>
        <w:tc>
          <w:tcPr>
            <w:tcW w:w="780" w:type="dxa"/>
            <w:vAlign w:val="bottom"/>
            <w:tcBorders>
              <w:top w:val="single" w:sz="8" w:color="auto"/>
              <w:bottom w:val="single" w:sz="8" w:color="auto"/>
            </w:tcBorders>
          </w:tcPr>
          <w:p>
            <w:pPr>
              <w:jc w:val="right"/>
              <w:spacing w:after="0" w:line="155" w:lineRule="exact"/>
              <w:rPr>
                <w:sz w:val="20"/>
                <w:szCs w:val="20"/>
                <w:color w:val="auto"/>
              </w:rPr>
            </w:pPr>
            <w:r>
              <w:rPr>
                <w:rFonts w:ascii="Arial" w:cs="Arial" w:eastAsia="Arial" w:hAnsi="Arial"/>
                <w:sz w:val="14"/>
                <w:szCs w:val="14"/>
                <w:b w:val="1"/>
                <w:bCs w:val="1"/>
                <w:color w:val="auto"/>
              </w:rPr>
              <w:t>2021</w:t>
            </w:r>
          </w:p>
        </w:tc>
        <w:tc>
          <w:tcPr>
            <w:tcW w:w="400" w:type="dxa"/>
            <w:vAlign w:val="bottom"/>
            <w:tcBorders>
              <w:top w:val="single" w:sz="8" w:color="auto"/>
              <w:bottom w:val="single" w:sz="8" w:color="auto"/>
            </w:tcBorders>
          </w:tcPr>
          <w:p>
            <w:pPr>
              <w:spacing w:after="0"/>
              <w:rPr>
                <w:sz w:val="13"/>
                <w:szCs w:val="13"/>
                <w:color w:val="auto"/>
              </w:rPr>
            </w:pPr>
          </w:p>
        </w:tc>
        <w:tc>
          <w:tcPr>
            <w:tcW w:w="280" w:type="dxa"/>
            <w:vAlign w:val="bottom"/>
            <w:tcBorders>
              <w:top w:val="single" w:sz="8" w:color="auto"/>
              <w:bottom w:val="single" w:sz="8" w:color="CFF0FC"/>
            </w:tcBorders>
          </w:tcPr>
          <w:p>
            <w:pPr>
              <w:spacing w:after="0"/>
              <w:rPr>
                <w:sz w:val="13"/>
                <w:szCs w:val="13"/>
                <w:color w:val="auto"/>
              </w:rPr>
            </w:pPr>
          </w:p>
        </w:tc>
        <w:tc>
          <w:tcPr>
            <w:tcW w:w="1180" w:type="dxa"/>
            <w:vAlign w:val="bottom"/>
            <w:tcBorders>
              <w:top w:val="single" w:sz="8" w:color="auto"/>
              <w:bottom w:val="single" w:sz="8" w:color="auto"/>
            </w:tcBorders>
          </w:tcPr>
          <w:p>
            <w:pPr>
              <w:jc w:val="right"/>
              <w:ind w:right="374"/>
              <w:spacing w:after="0" w:line="155" w:lineRule="exact"/>
              <w:rPr>
                <w:sz w:val="20"/>
                <w:szCs w:val="20"/>
                <w:color w:val="auto"/>
              </w:rPr>
            </w:pPr>
            <w:r>
              <w:rPr>
                <w:rFonts w:ascii="Arial" w:cs="Arial" w:eastAsia="Arial" w:hAnsi="Arial"/>
                <w:sz w:val="14"/>
                <w:szCs w:val="14"/>
                <w:b w:val="1"/>
                <w:bCs w:val="1"/>
                <w:color w:val="auto"/>
              </w:rPr>
              <w:t>2020</w:t>
            </w:r>
          </w:p>
        </w:tc>
        <w:tc>
          <w:tcPr>
            <w:tcW w:w="180" w:type="dxa"/>
            <w:vAlign w:val="bottom"/>
            <w:tcBorders>
              <w:bottom w:val="single" w:sz="8" w:color="CFF0FC"/>
            </w:tcBorders>
          </w:tcPr>
          <w:p>
            <w:pPr>
              <w:spacing w:after="0"/>
              <w:rPr>
                <w:sz w:val="13"/>
                <w:szCs w:val="13"/>
                <w:color w:val="auto"/>
              </w:rPr>
            </w:pPr>
          </w:p>
        </w:tc>
        <w:tc>
          <w:tcPr>
            <w:tcW w:w="0" w:type="dxa"/>
            <w:vAlign w:val="bottom"/>
          </w:tcPr>
          <w:p>
            <w:pPr>
              <w:spacing w:after="0"/>
              <w:rPr>
                <w:sz w:val="1"/>
                <w:szCs w:val="1"/>
                <w:color w:val="auto"/>
              </w:rPr>
            </w:pPr>
          </w:p>
        </w:tc>
      </w:tr>
      <w:tr>
        <w:trPr>
          <w:trHeight w:val="223"/>
        </w:trPr>
        <w:tc>
          <w:tcPr>
            <w:tcW w:w="5040" w:type="dxa"/>
            <w:vAlign w:val="bottom"/>
            <w:shd w:val="clear" w:color="auto" w:fill="CFF0FC"/>
          </w:tcPr>
          <w:p>
            <w:pPr>
              <w:spacing w:after="0"/>
              <w:rPr>
                <w:sz w:val="20"/>
                <w:szCs w:val="20"/>
                <w:color w:val="auto"/>
              </w:rPr>
            </w:pPr>
            <w:r>
              <w:rPr>
                <w:rFonts w:ascii="Arial" w:cs="Arial" w:eastAsia="Arial" w:hAnsi="Arial"/>
                <w:sz w:val="18"/>
                <w:szCs w:val="18"/>
                <w:color w:val="auto"/>
              </w:rPr>
              <w:t>Selling and marketing</w:t>
            </w:r>
          </w:p>
        </w:tc>
        <w:tc>
          <w:tcPr>
            <w:tcW w:w="780" w:type="dxa"/>
            <w:vAlign w:val="bottom"/>
            <w:shd w:val="clear" w:color="auto" w:fill="CFF0FC"/>
          </w:tcPr>
          <w:p>
            <w:pPr>
              <w:spacing w:after="0"/>
              <w:rPr>
                <w:sz w:val="19"/>
                <w:szCs w:val="19"/>
                <w:color w:val="auto"/>
              </w:rPr>
            </w:pPr>
          </w:p>
        </w:tc>
        <w:tc>
          <w:tcPr>
            <w:tcW w:w="680" w:type="dxa"/>
            <w:vAlign w:val="bottom"/>
            <w:gridSpan w:val="2"/>
            <w:shd w:val="clear" w:color="auto" w:fill="CFF0FC"/>
          </w:tcPr>
          <w:p>
            <w:pPr>
              <w:jc w:val="right"/>
              <w:ind w:right="140"/>
              <w:spacing w:after="0"/>
              <w:rPr>
                <w:sz w:val="20"/>
                <w:szCs w:val="20"/>
                <w:color w:val="auto"/>
              </w:rPr>
            </w:pPr>
            <w:r>
              <w:rPr>
                <w:rFonts w:ascii="Arial" w:cs="Arial" w:eastAsia="Arial" w:hAnsi="Arial"/>
                <w:sz w:val="18"/>
                <w:szCs w:val="18"/>
                <w:color w:val="auto"/>
              </w:rPr>
              <w:t>7.5%</w:t>
            </w:r>
          </w:p>
        </w:tc>
        <w:tc>
          <w:tcPr>
            <w:tcW w:w="1360" w:type="dxa"/>
            <w:vAlign w:val="bottom"/>
            <w:gridSpan w:val="2"/>
            <w:shd w:val="clear" w:color="auto" w:fill="CFF0FC"/>
          </w:tcPr>
          <w:p>
            <w:pPr>
              <w:jc w:val="right"/>
              <w:ind w:right="40"/>
              <w:spacing w:after="0"/>
              <w:rPr>
                <w:sz w:val="20"/>
                <w:szCs w:val="20"/>
                <w:color w:val="auto"/>
              </w:rPr>
            </w:pPr>
            <w:r>
              <w:rPr>
                <w:rFonts w:ascii="Arial" w:cs="Arial" w:eastAsia="Arial" w:hAnsi="Arial"/>
                <w:sz w:val="18"/>
                <w:szCs w:val="18"/>
                <w:color w:val="auto"/>
              </w:rPr>
              <w:t>7.8%</w:t>
            </w:r>
          </w:p>
        </w:tc>
        <w:tc>
          <w:tcPr>
            <w:tcW w:w="0" w:type="dxa"/>
            <w:vAlign w:val="bottom"/>
          </w:tcPr>
          <w:p>
            <w:pPr>
              <w:spacing w:after="0"/>
              <w:rPr>
                <w:sz w:val="1"/>
                <w:szCs w:val="1"/>
                <w:color w:val="auto"/>
              </w:rPr>
            </w:pPr>
          </w:p>
        </w:tc>
      </w:tr>
      <w:tr>
        <w:trPr>
          <w:trHeight w:val="229"/>
        </w:trPr>
        <w:tc>
          <w:tcPr>
            <w:tcW w:w="5820" w:type="dxa"/>
            <w:vAlign w:val="bottom"/>
            <w:gridSpan w:val="2"/>
          </w:tcPr>
          <w:p>
            <w:pPr>
              <w:spacing w:after="0"/>
              <w:rPr>
                <w:sz w:val="20"/>
                <w:szCs w:val="20"/>
                <w:color w:val="auto"/>
              </w:rPr>
            </w:pPr>
            <w:r>
              <w:rPr>
                <w:rFonts w:ascii="Arial" w:cs="Arial" w:eastAsia="Arial" w:hAnsi="Arial"/>
                <w:sz w:val="18"/>
                <w:szCs w:val="18"/>
                <w:color w:val="auto"/>
              </w:rPr>
              <w:t>Research and development</w:t>
            </w:r>
          </w:p>
        </w:tc>
        <w:tc>
          <w:tcPr>
            <w:tcW w:w="680" w:type="dxa"/>
            <w:vAlign w:val="bottom"/>
            <w:gridSpan w:val="2"/>
          </w:tcPr>
          <w:p>
            <w:pPr>
              <w:jc w:val="right"/>
              <w:ind w:right="140"/>
              <w:spacing w:after="0"/>
              <w:rPr>
                <w:sz w:val="20"/>
                <w:szCs w:val="20"/>
                <w:color w:val="auto"/>
              </w:rPr>
            </w:pPr>
            <w:r>
              <w:rPr>
                <w:rFonts w:ascii="Arial" w:cs="Arial" w:eastAsia="Arial" w:hAnsi="Arial"/>
                <w:sz w:val="18"/>
                <w:szCs w:val="18"/>
                <w:color w:val="auto"/>
              </w:rPr>
              <w:t>8.7%</w:t>
            </w:r>
          </w:p>
        </w:tc>
        <w:tc>
          <w:tcPr>
            <w:tcW w:w="1360" w:type="dxa"/>
            <w:vAlign w:val="bottom"/>
            <w:gridSpan w:val="2"/>
          </w:tcPr>
          <w:p>
            <w:pPr>
              <w:jc w:val="right"/>
              <w:ind w:right="40"/>
              <w:spacing w:after="0"/>
              <w:rPr>
                <w:sz w:val="20"/>
                <w:szCs w:val="20"/>
                <w:color w:val="auto"/>
              </w:rPr>
            </w:pPr>
            <w:r>
              <w:rPr>
                <w:rFonts w:ascii="Arial" w:cs="Arial" w:eastAsia="Arial" w:hAnsi="Arial"/>
                <w:sz w:val="18"/>
                <w:szCs w:val="18"/>
                <w:color w:val="auto"/>
              </w:rPr>
              <w:t>8.9%</w:t>
            </w:r>
          </w:p>
        </w:tc>
        <w:tc>
          <w:tcPr>
            <w:tcW w:w="0" w:type="dxa"/>
            <w:vAlign w:val="bottom"/>
          </w:tcPr>
          <w:p>
            <w:pPr>
              <w:spacing w:after="0"/>
              <w:rPr>
                <w:sz w:val="1"/>
                <w:szCs w:val="1"/>
                <w:color w:val="auto"/>
              </w:rPr>
            </w:pPr>
          </w:p>
        </w:tc>
      </w:tr>
      <w:tr>
        <w:trPr>
          <w:trHeight w:val="230"/>
        </w:trPr>
        <w:tc>
          <w:tcPr>
            <w:tcW w:w="5040" w:type="dxa"/>
            <w:vAlign w:val="bottom"/>
            <w:shd w:val="clear" w:color="auto" w:fill="CFF0FC"/>
          </w:tcPr>
          <w:p>
            <w:pPr>
              <w:spacing w:after="0"/>
              <w:rPr>
                <w:sz w:val="20"/>
                <w:szCs w:val="20"/>
                <w:color w:val="auto"/>
              </w:rPr>
            </w:pPr>
            <w:r>
              <w:rPr>
                <w:rFonts w:ascii="Arial" w:cs="Arial" w:eastAsia="Arial" w:hAnsi="Arial"/>
                <w:sz w:val="18"/>
                <w:szCs w:val="18"/>
                <w:color w:val="auto"/>
              </w:rPr>
              <w:t>General and administrative</w:t>
            </w:r>
          </w:p>
        </w:tc>
        <w:tc>
          <w:tcPr>
            <w:tcW w:w="780" w:type="dxa"/>
            <w:vAlign w:val="bottom"/>
            <w:shd w:val="clear" w:color="auto" w:fill="CFF0FC"/>
          </w:tcPr>
          <w:p>
            <w:pPr>
              <w:spacing w:after="0"/>
              <w:rPr>
                <w:sz w:val="19"/>
                <w:szCs w:val="19"/>
                <w:color w:val="auto"/>
              </w:rPr>
            </w:pPr>
          </w:p>
        </w:tc>
        <w:tc>
          <w:tcPr>
            <w:tcW w:w="680" w:type="dxa"/>
            <w:vAlign w:val="bottom"/>
            <w:gridSpan w:val="2"/>
            <w:shd w:val="clear" w:color="auto" w:fill="CFF0FC"/>
          </w:tcPr>
          <w:p>
            <w:pPr>
              <w:jc w:val="right"/>
              <w:ind w:right="140"/>
              <w:spacing w:after="0"/>
              <w:rPr>
                <w:sz w:val="20"/>
                <w:szCs w:val="20"/>
                <w:color w:val="auto"/>
              </w:rPr>
            </w:pPr>
            <w:r>
              <w:rPr>
                <w:rFonts w:ascii="Arial" w:cs="Arial" w:eastAsia="Arial" w:hAnsi="Arial"/>
                <w:sz w:val="18"/>
                <w:szCs w:val="18"/>
                <w:color w:val="auto"/>
              </w:rPr>
              <w:t>7.3%</w:t>
            </w:r>
          </w:p>
        </w:tc>
        <w:tc>
          <w:tcPr>
            <w:tcW w:w="1360" w:type="dxa"/>
            <w:vAlign w:val="bottom"/>
            <w:gridSpan w:val="2"/>
            <w:shd w:val="clear" w:color="auto" w:fill="CFF0FC"/>
          </w:tcPr>
          <w:p>
            <w:pPr>
              <w:jc w:val="right"/>
              <w:ind w:right="40"/>
              <w:spacing w:after="0"/>
              <w:rPr>
                <w:sz w:val="20"/>
                <w:szCs w:val="20"/>
                <w:color w:val="auto"/>
              </w:rPr>
            </w:pPr>
            <w:r>
              <w:rPr>
                <w:rFonts w:ascii="Arial" w:cs="Arial" w:eastAsia="Arial" w:hAnsi="Arial"/>
                <w:sz w:val="18"/>
                <w:szCs w:val="18"/>
                <w:color w:val="auto"/>
              </w:rPr>
              <w:t>7.9%</w:t>
            </w:r>
          </w:p>
        </w:tc>
        <w:tc>
          <w:tcPr>
            <w:tcW w:w="0" w:type="dxa"/>
            <w:vAlign w:val="bottom"/>
          </w:tcPr>
          <w:p>
            <w:pPr>
              <w:spacing w:after="0"/>
              <w:rPr>
                <w:sz w:val="1"/>
                <w:szCs w:val="1"/>
                <w:color w:val="auto"/>
              </w:rPr>
            </w:pPr>
          </w:p>
        </w:tc>
      </w:tr>
      <w:tr>
        <w:trPr>
          <w:trHeight w:val="20"/>
        </w:trPr>
        <w:tc>
          <w:tcPr>
            <w:tcW w:w="5040" w:type="dxa"/>
            <w:vAlign w:val="bottom"/>
            <w:vMerge w:val="restart"/>
          </w:tcPr>
          <w:p>
            <w:pPr>
              <w:ind w:left="240"/>
              <w:spacing w:after="0"/>
              <w:rPr>
                <w:sz w:val="20"/>
                <w:szCs w:val="20"/>
                <w:color w:val="auto"/>
              </w:rPr>
            </w:pPr>
            <w:r>
              <w:rPr>
                <w:rFonts w:ascii="Arial" w:cs="Arial" w:eastAsia="Arial" w:hAnsi="Arial"/>
                <w:sz w:val="18"/>
                <w:szCs w:val="18"/>
                <w:color w:val="auto"/>
              </w:rPr>
              <w:t>Total operating expenses</w:t>
            </w:r>
          </w:p>
        </w:tc>
        <w:tc>
          <w:tcPr>
            <w:tcW w:w="780" w:type="dxa"/>
            <w:vAlign w:val="bottom"/>
            <w:shd w:val="clear" w:color="auto" w:fill="000000"/>
          </w:tcPr>
          <w:p>
            <w:pPr>
              <w:spacing w:after="0" w:line="20" w:lineRule="exact"/>
              <w:rPr>
                <w:sz w:val="1"/>
                <w:szCs w:val="1"/>
                <w:color w:val="auto"/>
              </w:rPr>
            </w:pPr>
          </w:p>
        </w:tc>
        <w:tc>
          <w:tcPr>
            <w:tcW w:w="400" w:type="dxa"/>
            <w:vAlign w:val="bottom"/>
            <w:shd w:val="clear" w:color="auto" w:fill="000000"/>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180" w:type="dxa"/>
            <w:vAlign w:val="bottom"/>
            <w:shd w:val="clear" w:color="auto" w:fill="000000"/>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3"/>
        </w:trPr>
        <w:tc>
          <w:tcPr>
            <w:tcW w:w="5040" w:type="dxa"/>
            <w:vAlign w:val="bottom"/>
            <w:vMerge w:val="continue"/>
          </w:tcPr>
          <w:p>
            <w:pPr>
              <w:spacing w:after="0"/>
              <w:rPr>
                <w:sz w:val="19"/>
                <w:szCs w:val="19"/>
                <w:color w:val="auto"/>
              </w:rPr>
            </w:pPr>
          </w:p>
        </w:tc>
        <w:tc>
          <w:tcPr>
            <w:tcW w:w="780" w:type="dxa"/>
            <w:vAlign w:val="bottom"/>
          </w:tcPr>
          <w:p>
            <w:pPr>
              <w:spacing w:after="0"/>
              <w:rPr>
                <w:sz w:val="19"/>
                <w:szCs w:val="19"/>
                <w:color w:val="auto"/>
              </w:rPr>
            </w:pPr>
          </w:p>
        </w:tc>
        <w:tc>
          <w:tcPr>
            <w:tcW w:w="680" w:type="dxa"/>
            <w:vAlign w:val="bottom"/>
            <w:gridSpan w:val="2"/>
          </w:tcPr>
          <w:p>
            <w:pPr>
              <w:jc w:val="right"/>
              <w:ind w:right="140"/>
              <w:spacing w:after="0"/>
              <w:rPr>
                <w:sz w:val="20"/>
                <w:szCs w:val="20"/>
                <w:color w:val="auto"/>
              </w:rPr>
            </w:pPr>
            <w:r>
              <w:rPr>
                <w:rFonts w:ascii="Arial" w:cs="Arial" w:eastAsia="Arial" w:hAnsi="Arial"/>
                <w:sz w:val="18"/>
                <w:szCs w:val="18"/>
                <w:color w:val="auto"/>
              </w:rPr>
              <w:t>23.5%</w:t>
            </w:r>
          </w:p>
        </w:tc>
        <w:tc>
          <w:tcPr>
            <w:tcW w:w="1360" w:type="dxa"/>
            <w:vAlign w:val="bottom"/>
            <w:gridSpan w:val="2"/>
          </w:tcPr>
          <w:p>
            <w:pPr>
              <w:jc w:val="right"/>
              <w:ind w:right="40"/>
              <w:spacing w:after="0"/>
              <w:rPr>
                <w:sz w:val="20"/>
                <w:szCs w:val="20"/>
                <w:color w:val="auto"/>
              </w:rPr>
            </w:pPr>
            <w:r>
              <w:rPr>
                <w:rFonts w:ascii="Arial" w:cs="Arial" w:eastAsia="Arial" w:hAnsi="Arial"/>
                <w:sz w:val="18"/>
                <w:szCs w:val="18"/>
                <w:color w:val="auto"/>
              </w:rPr>
              <w:t>24.6%</w:t>
            </w:r>
          </w:p>
        </w:tc>
        <w:tc>
          <w:tcPr>
            <w:tcW w:w="0" w:type="dxa"/>
            <w:vAlign w:val="bottom"/>
          </w:tcPr>
          <w:p>
            <w:pPr>
              <w:spacing w:after="0"/>
              <w:rPr>
                <w:sz w:val="1"/>
                <w:szCs w:val="1"/>
                <w:color w:val="auto"/>
              </w:rPr>
            </w:pPr>
          </w:p>
        </w:tc>
      </w:tr>
      <w:tr>
        <w:trPr>
          <w:trHeight w:val="20"/>
        </w:trPr>
        <w:tc>
          <w:tcPr>
            <w:tcW w:w="5040" w:type="dxa"/>
            <w:vAlign w:val="bottom"/>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40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18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2" w:lineRule="exact"/>
        <w:rPr>
          <w:sz w:val="20"/>
          <w:szCs w:val="20"/>
          <w:color w:val="auto"/>
        </w:rPr>
      </w:pPr>
    </w:p>
    <w:p>
      <w:pPr>
        <w:ind w:left="520"/>
        <w:spacing w:after="0"/>
        <w:rPr>
          <w:sz w:val="20"/>
          <w:szCs w:val="20"/>
          <w:color w:val="auto"/>
        </w:rPr>
      </w:pPr>
      <w:r>
        <w:rPr>
          <w:rFonts w:ascii="Arial" w:cs="Arial" w:eastAsia="Arial" w:hAnsi="Arial"/>
          <w:sz w:val="17"/>
          <w:szCs w:val="17"/>
          <w:color w:val="222222"/>
        </w:rPr>
        <w:t>The following table sets forth operating expenses (dollars in millions) and percent change in operating expenses for the periods indicated:</w:t>
      </w:r>
    </w:p>
    <w:p>
      <w:pPr>
        <w:spacing w:after="0" w:line="13" w:lineRule="exact"/>
        <w:rPr>
          <w:sz w:val="20"/>
          <w:szCs w:val="20"/>
          <w:color w:val="auto"/>
        </w:rPr>
      </w:pPr>
    </w:p>
    <w:tbl>
      <w:tblPr>
        <w:tblLayout w:type="fixed"/>
        <w:tblInd w:w="580" w:type="dxa"/>
        <w:tblCellMar>
          <w:top w:w="0" w:type="dxa"/>
          <w:left w:w="0" w:type="dxa"/>
          <w:bottom w:w="0" w:type="dxa"/>
          <w:right w:w="0" w:type="dxa"/>
        </w:tblCellMar>
      </w:tblPr>
      <w:tr>
        <w:trPr>
          <w:trHeight w:val="161"/>
        </w:trPr>
        <w:tc>
          <w:tcPr>
            <w:tcW w:w="3780" w:type="dxa"/>
            <w:vAlign w:val="bottom"/>
          </w:tcPr>
          <w:p>
            <w:pPr>
              <w:spacing w:after="0"/>
              <w:rPr>
                <w:sz w:val="14"/>
                <w:szCs w:val="14"/>
                <w:color w:val="auto"/>
              </w:rPr>
            </w:pPr>
          </w:p>
        </w:tc>
        <w:tc>
          <w:tcPr>
            <w:tcW w:w="174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540" w:type="dxa"/>
            <w:vAlign w:val="bottom"/>
            <w:gridSpan w:val="2"/>
          </w:tcPr>
          <w:p>
            <w:pPr>
              <w:jc w:val="center"/>
              <w:ind w:right="240"/>
              <w:spacing w:after="0"/>
              <w:rPr>
                <w:sz w:val="20"/>
                <w:szCs w:val="20"/>
                <w:color w:val="auto"/>
              </w:rPr>
            </w:pPr>
            <w:r>
              <w:rPr>
                <w:rFonts w:ascii="Arial" w:cs="Arial" w:eastAsia="Arial" w:hAnsi="Arial"/>
                <w:sz w:val="14"/>
                <w:szCs w:val="14"/>
                <w:b w:val="1"/>
                <w:bCs w:val="1"/>
                <w:color w:val="auto"/>
                <w:w w:val="89"/>
              </w:rPr>
              <w:t>Percent</w:t>
            </w:r>
          </w:p>
        </w:tc>
        <w:tc>
          <w:tcPr>
            <w:tcW w:w="0" w:type="dxa"/>
            <w:vAlign w:val="bottom"/>
          </w:tcPr>
          <w:p>
            <w:pPr>
              <w:spacing w:after="0"/>
              <w:rPr>
                <w:sz w:val="1"/>
                <w:szCs w:val="1"/>
                <w:color w:val="auto"/>
              </w:rPr>
            </w:pPr>
          </w:p>
        </w:tc>
      </w:tr>
      <w:tr>
        <w:trPr>
          <w:trHeight w:val="149"/>
        </w:trPr>
        <w:tc>
          <w:tcPr>
            <w:tcW w:w="3780" w:type="dxa"/>
            <w:vAlign w:val="bottom"/>
          </w:tcPr>
          <w:p>
            <w:pPr>
              <w:spacing w:after="0"/>
              <w:rPr>
                <w:sz w:val="12"/>
                <w:szCs w:val="12"/>
                <w:color w:val="auto"/>
              </w:rPr>
            </w:pPr>
          </w:p>
        </w:tc>
        <w:tc>
          <w:tcPr>
            <w:tcW w:w="1740" w:type="dxa"/>
            <w:vAlign w:val="bottom"/>
          </w:tcPr>
          <w:p>
            <w:pPr>
              <w:spacing w:after="0"/>
              <w:rPr>
                <w:sz w:val="12"/>
                <w:szCs w:val="12"/>
                <w:color w:val="auto"/>
              </w:rPr>
            </w:pPr>
          </w:p>
        </w:tc>
        <w:tc>
          <w:tcPr>
            <w:tcW w:w="84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540" w:type="dxa"/>
            <w:vAlign w:val="bottom"/>
            <w:gridSpan w:val="2"/>
          </w:tcPr>
          <w:p>
            <w:pPr>
              <w:jc w:val="center"/>
              <w:ind w:right="240"/>
              <w:spacing w:after="0" w:line="149" w:lineRule="exact"/>
              <w:rPr>
                <w:sz w:val="20"/>
                <w:szCs w:val="20"/>
                <w:color w:val="auto"/>
              </w:rPr>
            </w:pPr>
            <w:r>
              <w:rPr>
                <w:rFonts w:ascii="Arial" w:cs="Arial" w:eastAsia="Arial" w:hAnsi="Arial"/>
                <w:sz w:val="14"/>
                <w:szCs w:val="14"/>
                <w:b w:val="1"/>
                <w:bCs w:val="1"/>
                <w:color w:val="auto"/>
                <w:w w:val="94"/>
              </w:rPr>
              <w:t>Change from</w:t>
            </w:r>
          </w:p>
        </w:tc>
        <w:tc>
          <w:tcPr>
            <w:tcW w:w="0" w:type="dxa"/>
            <w:vAlign w:val="bottom"/>
          </w:tcPr>
          <w:p>
            <w:pPr>
              <w:spacing w:after="0"/>
              <w:rPr>
                <w:sz w:val="1"/>
                <w:szCs w:val="1"/>
                <w:color w:val="auto"/>
              </w:rPr>
            </w:pPr>
          </w:p>
        </w:tc>
      </w:tr>
      <w:tr>
        <w:trPr>
          <w:trHeight w:val="148"/>
        </w:trPr>
        <w:tc>
          <w:tcPr>
            <w:tcW w:w="3780" w:type="dxa"/>
            <w:vAlign w:val="bottom"/>
          </w:tcPr>
          <w:p>
            <w:pPr>
              <w:spacing w:after="0"/>
              <w:rPr>
                <w:sz w:val="12"/>
                <w:szCs w:val="12"/>
                <w:color w:val="auto"/>
              </w:rPr>
            </w:pPr>
          </w:p>
        </w:tc>
        <w:tc>
          <w:tcPr>
            <w:tcW w:w="1740" w:type="dxa"/>
            <w:vAlign w:val="bottom"/>
          </w:tcPr>
          <w:p>
            <w:pPr>
              <w:spacing w:after="0"/>
              <w:rPr>
                <w:sz w:val="12"/>
                <w:szCs w:val="12"/>
                <w:color w:val="auto"/>
              </w:rPr>
            </w:pPr>
          </w:p>
        </w:tc>
        <w:tc>
          <w:tcPr>
            <w:tcW w:w="2400" w:type="dxa"/>
            <w:vAlign w:val="bottom"/>
            <w:gridSpan w:val="4"/>
            <w:vMerge w:val="restart"/>
          </w:tcPr>
          <w:p>
            <w:pPr>
              <w:jc w:val="right"/>
              <w:spacing w:after="0"/>
              <w:rPr>
                <w:sz w:val="20"/>
                <w:szCs w:val="20"/>
                <w:color w:val="auto"/>
              </w:rPr>
            </w:pPr>
            <w:r>
              <w:rPr>
                <w:rFonts w:ascii="Arial" w:cs="Arial" w:eastAsia="Arial" w:hAnsi="Arial"/>
                <w:sz w:val="14"/>
                <w:szCs w:val="14"/>
                <w:b w:val="1"/>
                <w:bCs w:val="1"/>
                <w:color w:val="auto"/>
              </w:rPr>
              <w:t>Three Months Ended March 31,</w:t>
            </w:r>
          </w:p>
        </w:tc>
        <w:tc>
          <w:tcPr>
            <w:tcW w:w="44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540" w:type="dxa"/>
            <w:vAlign w:val="bottom"/>
            <w:gridSpan w:val="2"/>
          </w:tcPr>
          <w:p>
            <w:pPr>
              <w:jc w:val="center"/>
              <w:ind w:right="240"/>
              <w:spacing w:after="0" w:line="149" w:lineRule="exact"/>
              <w:rPr>
                <w:sz w:val="20"/>
                <w:szCs w:val="20"/>
                <w:color w:val="auto"/>
              </w:rPr>
            </w:pPr>
            <w:r>
              <w:rPr>
                <w:rFonts w:ascii="Arial" w:cs="Arial" w:eastAsia="Arial" w:hAnsi="Arial"/>
                <w:sz w:val="14"/>
                <w:szCs w:val="14"/>
                <w:b w:val="1"/>
                <w:bCs w:val="1"/>
                <w:color w:val="auto"/>
              </w:rPr>
              <w:t>Prior</w:t>
            </w:r>
          </w:p>
        </w:tc>
        <w:tc>
          <w:tcPr>
            <w:tcW w:w="0" w:type="dxa"/>
            <w:vAlign w:val="bottom"/>
          </w:tcPr>
          <w:p>
            <w:pPr>
              <w:spacing w:after="0"/>
              <w:rPr>
                <w:sz w:val="1"/>
                <w:szCs w:val="1"/>
                <w:color w:val="auto"/>
              </w:rPr>
            </w:pPr>
          </w:p>
        </w:tc>
      </w:tr>
      <w:tr>
        <w:trPr>
          <w:trHeight w:val="171"/>
        </w:trPr>
        <w:tc>
          <w:tcPr>
            <w:tcW w:w="3780" w:type="dxa"/>
            <w:vAlign w:val="bottom"/>
          </w:tcPr>
          <w:p>
            <w:pPr>
              <w:spacing w:after="0"/>
              <w:rPr>
                <w:sz w:val="14"/>
                <w:szCs w:val="14"/>
                <w:color w:val="auto"/>
              </w:rPr>
            </w:pPr>
          </w:p>
        </w:tc>
        <w:tc>
          <w:tcPr>
            <w:tcW w:w="1740" w:type="dxa"/>
            <w:vAlign w:val="bottom"/>
          </w:tcPr>
          <w:p>
            <w:pPr>
              <w:spacing w:after="0"/>
              <w:rPr>
                <w:sz w:val="14"/>
                <w:szCs w:val="14"/>
                <w:color w:val="auto"/>
              </w:rPr>
            </w:pPr>
          </w:p>
        </w:tc>
        <w:tc>
          <w:tcPr>
            <w:tcW w:w="2400" w:type="dxa"/>
            <w:vAlign w:val="bottom"/>
            <w:tcBorders>
              <w:bottom w:val="single" w:sz="8" w:color="auto"/>
            </w:tcBorders>
            <w:gridSpan w:val="4"/>
            <w:vMerge w:val="continue"/>
          </w:tcPr>
          <w:p>
            <w:pPr>
              <w:spacing w:after="0"/>
              <w:rPr>
                <w:sz w:val="14"/>
                <w:szCs w:val="14"/>
                <w:color w:val="auto"/>
              </w:rPr>
            </w:pPr>
          </w:p>
        </w:tc>
        <w:tc>
          <w:tcPr>
            <w:tcW w:w="440" w:type="dxa"/>
            <w:vAlign w:val="bottom"/>
            <w:tcBorders>
              <w:bottom w:val="single" w:sz="8" w:color="auto"/>
            </w:tcBorders>
          </w:tcPr>
          <w:p>
            <w:pPr>
              <w:spacing w:after="0"/>
              <w:rPr>
                <w:sz w:val="14"/>
                <w:szCs w:val="14"/>
                <w:color w:val="auto"/>
              </w:rPr>
            </w:pPr>
          </w:p>
        </w:tc>
        <w:tc>
          <w:tcPr>
            <w:tcW w:w="200" w:type="dxa"/>
            <w:vAlign w:val="bottom"/>
          </w:tcPr>
          <w:p>
            <w:pPr>
              <w:spacing w:after="0"/>
              <w:rPr>
                <w:sz w:val="14"/>
                <w:szCs w:val="14"/>
                <w:color w:val="auto"/>
              </w:rPr>
            </w:pPr>
          </w:p>
        </w:tc>
        <w:tc>
          <w:tcPr>
            <w:tcW w:w="130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6"/>
              </w:rPr>
              <w:t>Period</w:t>
            </w:r>
          </w:p>
        </w:tc>
        <w:tc>
          <w:tcPr>
            <w:tcW w:w="2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10"/>
        </w:trPr>
        <w:tc>
          <w:tcPr>
            <w:tcW w:w="3780" w:type="dxa"/>
            <w:vAlign w:val="bottom"/>
            <w:vMerge w:val="restart"/>
          </w:tcPr>
          <w:p>
            <w:pPr>
              <w:spacing w:after="0"/>
              <w:rPr>
                <w:sz w:val="20"/>
                <w:szCs w:val="20"/>
                <w:color w:val="auto"/>
              </w:rPr>
            </w:pPr>
            <w:r>
              <w:rPr>
                <w:rFonts w:ascii="Arial" w:cs="Arial" w:eastAsia="Arial" w:hAnsi="Arial"/>
                <w:sz w:val="18"/>
                <w:szCs w:val="18"/>
                <w:color w:val="auto"/>
              </w:rPr>
              <w:t>Selling and marketing</w:t>
            </w:r>
          </w:p>
        </w:tc>
        <w:tc>
          <w:tcPr>
            <w:tcW w:w="2580" w:type="dxa"/>
            <w:vAlign w:val="bottom"/>
            <w:gridSpan w:val="2"/>
          </w:tcPr>
          <w:p>
            <w:pPr>
              <w:jc w:val="right"/>
              <w:spacing w:after="0"/>
              <w:rPr>
                <w:sz w:val="20"/>
                <w:szCs w:val="20"/>
                <w:color w:val="auto"/>
              </w:rPr>
            </w:pPr>
            <w:r>
              <w:rPr>
                <w:rFonts w:ascii="Arial" w:cs="Arial" w:eastAsia="Arial" w:hAnsi="Arial"/>
                <w:sz w:val="14"/>
                <w:szCs w:val="14"/>
                <w:b w:val="1"/>
                <w:bCs w:val="1"/>
                <w:color w:val="auto"/>
              </w:rPr>
              <w:t>2021</w:t>
            </w:r>
          </w:p>
        </w:tc>
        <w:tc>
          <w:tcPr>
            <w:tcW w:w="4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Arial" w:cs="Arial" w:eastAsia="Arial" w:hAnsi="Arial"/>
                <w:sz w:val="14"/>
                <w:szCs w:val="14"/>
                <w:b w:val="1"/>
                <w:bCs w:val="1"/>
                <w:color w:val="auto"/>
              </w:rPr>
              <w:t>2020</w:t>
            </w:r>
          </w:p>
        </w:tc>
        <w:tc>
          <w:tcPr>
            <w:tcW w:w="440" w:type="dxa"/>
            <w:vAlign w:val="bottom"/>
          </w:tcPr>
          <w:p>
            <w:pPr>
              <w:spacing w:after="0"/>
              <w:rPr>
                <w:sz w:val="18"/>
                <w:szCs w:val="18"/>
                <w:color w:val="auto"/>
              </w:rPr>
            </w:pPr>
          </w:p>
        </w:tc>
        <w:tc>
          <w:tcPr>
            <w:tcW w:w="1740" w:type="dxa"/>
            <w:vAlign w:val="bottom"/>
            <w:gridSpan w:val="3"/>
            <w:vMerge w:val="restart"/>
          </w:tcPr>
          <w:p>
            <w:pPr>
              <w:jc w:val="right"/>
              <w:ind w:right="80"/>
              <w:spacing w:after="0"/>
              <w:rPr>
                <w:sz w:val="20"/>
                <w:szCs w:val="20"/>
                <w:color w:val="auto"/>
              </w:rPr>
            </w:pPr>
            <w:r>
              <w:rPr>
                <w:rFonts w:ascii="Arial" w:cs="Arial" w:eastAsia="Arial" w:hAnsi="Arial"/>
                <w:sz w:val="18"/>
                <w:szCs w:val="18"/>
                <w:color w:val="auto"/>
              </w:rPr>
              <w:t>0.7%</w:t>
            </w:r>
          </w:p>
        </w:tc>
        <w:tc>
          <w:tcPr>
            <w:tcW w:w="0" w:type="dxa"/>
            <w:vAlign w:val="bottom"/>
          </w:tcPr>
          <w:p>
            <w:pPr>
              <w:spacing w:after="0"/>
              <w:rPr>
                <w:sz w:val="1"/>
                <w:szCs w:val="1"/>
                <w:color w:val="auto"/>
              </w:rPr>
            </w:pPr>
          </w:p>
        </w:tc>
      </w:tr>
      <w:tr>
        <w:trPr>
          <w:trHeight w:val="223"/>
        </w:trPr>
        <w:tc>
          <w:tcPr>
            <w:tcW w:w="3780" w:type="dxa"/>
            <w:vAlign w:val="bottom"/>
            <w:vMerge w:val="continue"/>
          </w:tcPr>
          <w:p>
            <w:pPr>
              <w:spacing w:after="0"/>
              <w:rPr>
                <w:sz w:val="19"/>
                <w:szCs w:val="19"/>
                <w:color w:val="auto"/>
              </w:rPr>
            </w:pPr>
          </w:p>
        </w:tc>
        <w:tc>
          <w:tcPr>
            <w:tcW w:w="1740" w:type="dxa"/>
            <w:vAlign w:val="bottom"/>
          </w:tcPr>
          <w:p>
            <w:pPr>
              <w:spacing w:after="0"/>
              <w:rPr>
                <w:sz w:val="19"/>
                <w:szCs w:val="19"/>
                <w:color w:val="auto"/>
              </w:rPr>
            </w:pPr>
          </w:p>
        </w:tc>
        <w:tc>
          <w:tcPr>
            <w:tcW w:w="840" w:type="dxa"/>
            <w:vAlign w:val="bottom"/>
            <w:tcBorders>
              <w:top w:val="single" w:sz="8" w:color="auto"/>
            </w:tcBorders>
          </w:tcPr>
          <w:p>
            <w:pPr>
              <w:jc w:val="right"/>
              <w:ind w:right="687"/>
              <w:spacing w:after="0"/>
              <w:rPr>
                <w:sz w:val="20"/>
                <w:szCs w:val="20"/>
                <w:color w:val="auto"/>
              </w:rPr>
            </w:pPr>
            <w:r>
              <w:rPr>
                <w:rFonts w:ascii="Arial" w:cs="Arial" w:eastAsia="Arial" w:hAnsi="Arial"/>
                <w:sz w:val="15"/>
                <w:szCs w:val="15"/>
                <w:color w:val="auto"/>
                <w:w w:val="71"/>
              </w:rPr>
              <w:t>$</w:t>
            </w:r>
          </w:p>
        </w:tc>
        <w:tc>
          <w:tcPr>
            <w:tcW w:w="4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92.0</w:t>
            </w:r>
          </w:p>
        </w:tc>
        <w:tc>
          <w:tcPr>
            <w:tcW w:w="220" w:type="dxa"/>
            <w:vAlign w:val="bottom"/>
          </w:tcPr>
          <w:p>
            <w:pPr>
              <w:spacing w:after="0"/>
              <w:rPr>
                <w:sz w:val="19"/>
                <w:szCs w:val="19"/>
                <w:color w:val="auto"/>
              </w:rPr>
            </w:pPr>
          </w:p>
        </w:tc>
        <w:tc>
          <w:tcPr>
            <w:tcW w:w="880" w:type="dxa"/>
            <w:vAlign w:val="bottom"/>
            <w:tcBorders>
              <w:top w:val="single" w:sz="8" w:color="auto"/>
            </w:tcBorders>
          </w:tcPr>
          <w:p>
            <w:pPr>
              <w:jc w:val="right"/>
              <w:ind w:right="696"/>
              <w:spacing w:after="0"/>
              <w:rPr>
                <w:sz w:val="20"/>
                <w:szCs w:val="20"/>
                <w:color w:val="auto"/>
              </w:rPr>
            </w:pPr>
            <w:r>
              <w:rPr>
                <w:rFonts w:ascii="Arial" w:cs="Arial" w:eastAsia="Arial" w:hAnsi="Arial"/>
                <w:sz w:val="18"/>
                <w:szCs w:val="18"/>
                <w:color w:val="auto"/>
                <w:w w:val="79"/>
              </w:rPr>
              <w:t>$</w:t>
            </w:r>
          </w:p>
        </w:tc>
        <w:tc>
          <w:tcPr>
            <w:tcW w:w="4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91.4</w:t>
            </w:r>
          </w:p>
        </w:tc>
        <w:tc>
          <w:tcPr>
            <w:tcW w:w="1740" w:type="dxa"/>
            <w:vAlign w:val="bottom"/>
            <w:gridSpan w:val="3"/>
            <w:vMerge w:val="continue"/>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3780" w:type="dxa"/>
            <w:vAlign w:val="bottom"/>
            <w:shd w:val="clear" w:color="auto" w:fill="CFF0FC"/>
          </w:tcPr>
          <w:p>
            <w:pPr>
              <w:spacing w:after="0"/>
              <w:rPr>
                <w:sz w:val="20"/>
                <w:szCs w:val="20"/>
                <w:color w:val="auto"/>
              </w:rPr>
            </w:pPr>
            <w:r>
              <w:rPr>
                <w:rFonts w:ascii="Arial" w:cs="Arial" w:eastAsia="Arial" w:hAnsi="Arial"/>
                <w:sz w:val="18"/>
                <w:szCs w:val="18"/>
                <w:color w:val="auto"/>
              </w:rPr>
              <w:t>Research and development</w:t>
            </w:r>
          </w:p>
        </w:tc>
        <w:tc>
          <w:tcPr>
            <w:tcW w:w="1740" w:type="dxa"/>
            <w:vAlign w:val="bottom"/>
            <w:shd w:val="clear" w:color="auto" w:fill="CFF0FC"/>
          </w:tcPr>
          <w:p>
            <w:pPr>
              <w:spacing w:after="0"/>
              <w:rPr>
                <w:sz w:val="19"/>
                <w:szCs w:val="19"/>
                <w:color w:val="auto"/>
              </w:rPr>
            </w:pPr>
          </w:p>
        </w:tc>
        <w:tc>
          <w:tcPr>
            <w:tcW w:w="840" w:type="dxa"/>
            <w:vAlign w:val="bottom"/>
            <w:shd w:val="clear" w:color="auto" w:fill="CFF0FC"/>
          </w:tcPr>
          <w:p>
            <w:pPr>
              <w:spacing w:after="0"/>
              <w:rPr>
                <w:sz w:val="19"/>
                <w:szCs w:val="19"/>
                <w:color w:val="auto"/>
              </w:rPr>
            </w:pPr>
          </w:p>
        </w:tc>
        <w:tc>
          <w:tcPr>
            <w:tcW w:w="460" w:type="dxa"/>
            <w:vAlign w:val="bottom"/>
            <w:shd w:val="clear" w:color="auto" w:fill="CFF0FC"/>
          </w:tcPr>
          <w:p>
            <w:pPr>
              <w:jc w:val="right"/>
              <w:spacing w:after="0"/>
              <w:rPr>
                <w:sz w:val="20"/>
                <w:szCs w:val="20"/>
                <w:color w:val="auto"/>
              </w:rPr>
            </w:pPr>
            <w:r>
              <w:rPr>
                <w:rFonts w:ascii="Arial" w:cs="Arial" w:eastAsia="Arial" w:hAnsi="Arial"/>
                <w:sz w:val="18"/>
                <w:szCs w:val="18"/>
                <w:color w:val="auto"/>
                <w:w w:val="97"/>
              </w:rPr>
              <w:t>107.9</w:t>
            </w:r>
          </w:p>
        </w:tc>
        <w:tc>
          <w:tcPr>
            <w:tcW w:w="220" w:type="dxa"/>
            <w:vAlign w:val="bottom"/>
            <w:shd w:val="clear" w:color="auto" w:fill="CFF0FC"/>
          </w:tcPr>
          <w:p>
            <w:pPr>
              <w:spacing w:after="0"/>
              <w:rPr>
                <w:sz w:val="19"/>
                <w:szCs w:val="19"/>
                <w:color w:val="auto"/>
              </w:rPr>
            </w:pPr>
          </w:p>
        </w:tc>
        <w:tc>
          <w:tcPr>
            <w:tcW w:w="880" w:type="dxa"/>
            <w:vAlign w:val="bottom"/>
            <w:shd w:val="clear" w:color="auto" w:fill="CFF0FC"/>
          </w:tcPr>
          <w:p>
            <w:pPr>
              <w:spacing w:after="0"/>
              <w:rPr>
                <w:sz w:val="19"/>
                <w:szCs w:val="19"/>
                <w:color w:val="auto"/>
              </w:rPr>
            </w:pPr>
          </w:p>
        </w:tc>
        <w:tc>
          <w:tcPr>
            <w:tcW w:w="440" w:type="dxa"/>
            <w:vAlign w:val="bottom"/>
            <w:shd w:val="clear" w:color="auto" w:fill="CFF0FC"/>
          </w:tcPr>
          <w:p>
            <w:pPr>
              <w:jc w:val="right"/>
              <w:spacing w:after="0"/>
              <w:rPr>
                <w:sz w:val="20"/>
                <w:szCs w:val="20"/>
                <w:color w:val="auto"/>
              </w:rPr>
            </w:pPr>
            <w:r>
              <w:rPr>
                <w:rFonts w:ascii="Arial" w:cs="Arial" w:eastAsia="Arial" w:hAnsi="Arial"/>
                <w:sz w:val="18"/>
                <w:szCs w:val="18"/>
                <w:color w:val="auto"/>
                <w:w w:val="88"/>
              </w:rPr>
              <w:t>104.9</w:t>
            </w:r>
          </w:p>
        </w:tc>
        <w:tc>
          <w:tcPr>
            <w:tcW w:w="1740" w:type="dxa"/>
            <w:vAlign w:val="bottom"/>
            <w:gridSpan w:val="3"/>
            <w:shd w:val="clear" w:color="auto" w:fill="CFF0FC"/>
          </w:tcPr>
          <w:p>
            <w:pPr>
              <w:jc w:val="right"/>
              <w:ind w:right="80"/>
              <w:spacing w:after="0"/>
              <w:rPr>
                <w:sz w:val="20"/>
                <w:szCs w:val="20"/>
                <w:color w:val="auto"/>
              </w:rPr>
            </w:pPr>
            <w:r>
              <w:rPr>
                <w:rFonts w:ascii="Arial" w:cs="Arial" w:eastAsia="Arial" w:hAnsi="Arial"/>
                <w:sz w:val="18"/>
                <w:szCs w:val="18"/>
                <w:color w:val="auto"/>
              </w:rPr>
              <w:t>2.9%</w:t>
            </w:r>
          </w:p>
        </w:tc>
        <w:tc>
          <w:tcPr>
            <w:tcW w:w="0" w:type="dxa"/>
            <w:vAlign w:val="bottom"/>
          </w:tcPr>
          <w:p>
            <w:pPr>
              <w:spacing w:after="0"/>
              <w:rPr>
                <w:sz w:val="1"/>
                <w:szCs w:val="1"/>
                <w:color w:val="auto"/>
              </w:rPr>
            </w:pPr>
          </w:p>
        </w:tc>
      </w:tr>
      <w:tr>
        <w:trPr>
          <w:trHeight w:val="230"/>
        </w:trPr>
        <w:tc>
          <w:tcPr>
            <w:tcW w:w="3780" w:type="dxa"/>
            <w:vAlign w:val="bottom"/>
            <w:tcBorders>
              <w:bottom w:val="single" w:sz="8" w:color="CFF0FC"/>
            </w:tcBorders>
          </w:tcPr>
          <w:p>
            <w:pPr>
              <w:spacing w:after="0"/>
              <w:rPr>
                <w:sz w:val="20"/>
                <w:szCs w:val="20"/>
                <w:color w:val="auto"/>
              </w:rPr>
            </w:pPr>
            <w:r>
              <w:rPr>
                <w:rFonts w:ascii="Arial" w:cs="Arial" w:eastAsia="Arial" w:hAnsi="Arial"/>
                <w:sz w:val="18"/>
                <w:szCs w:val="18"/>
                <w:color w:val="auto"/>
              </w:rPr>
              <w:t>General and administrative</w:t>
            </w:r>
          </w:p>
        </w:tc>
        <w:tc>
          <w:tcPr>
            <w:tcW w:w="1740" w:type="dxa"/>
            <w:vAlign w:val="bottom"/>
            <w:tcBorders>
              <w:bottom w:val="single" w:sz="8" w:color="CFF0FC"/>
            </w:tcBorders>
          </w:tcPr>
          <w:p>
            <w:pPr>
              <w:spacing w:after="0"/>
              <w:rPr>
                <w:sz w:val="19"/>
                <w:szCs w:val="19"/>
                <w:color w:val="auto"/>
              </w:rPr>
            </w:pPr>
          </w:p>
        </w:tc>
        <w:tc>
          <w:tcPr>
            <w:tcW w:w="840" w:type="dxa"/>
            <w:vAlign w:val="bottom"/>
            <w:tcBorders>
              <w:bottom w:val="single" w:sz="8" w:color="auto"/>
            </w:tcBorders>
          </w:tcPr>
          <w:p>
            <w:pPr>
              <w:spacing w:after="0"/>
              <w:rPr>
                <w:sz w:val="19"/>
                <w:szCs w:val="19"/>
                <w:color w:val="auto"/>
              </w:rPr>
            </w:pPr>
          </w:p>
        </w:tc>
        <w:tc>
          <w:tcPr>
            <w:tcW w:w="4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90.1</w:t>
            </w:r>
          </w:p>
        </w:tc>
        <w:tc>
          <w:tcPr>
            <w:tcW w:w="220" w:type="dxa"/>
            <w:vAlign w:val="bottom"/>
            <w:tcBorders>
              <w:bottom w:val="single" w:sz="8" w:color="CFF0FC"/>
            </w:tcBorders>
          </w:tcPr>
          <w:p>
            <w:pPr>
              <w:spacing w:after="0"/>
              <w:rPr>
                <w:sz w:val="19"/>
                <w:szCs w:val="19"/>
                <w:color w:val="auto"/>
              </w:rPr>
            </w:pPr>
          </w:p>
        </w:tc>
        <w:tc>
          <w:tcPr>
            <w:tcW w:w="880" w:type="dxa"/>
            <w:vAlign w:val="bottom"/>
            <w:tcBorders>
              <w:bottom w:val="single" w:sz="8" w:color="auto"/>
            </w:tcBorders>
          </w:tcPr>
          <w:p>
            <w:pPr>
              <w:spacing w:after="0"/>
              <w:rPr>
                <w:sz w:val="19"/>
                <w:szCs w:val="19"/>
                <w:color w:val="auto"/>
              </w:rPr>
            </w:pPr>
          </w:p>
        </w:tc>
        <w:tc>
          <w:tcPr>
            <w:tcW w:w="4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92.9</w:t>
            </w:r>
          </w:p>
        </w:tc>
        <w:tc>
          <w:tcPr>
            <w:tcW w:w="1740" w:type="dxa"/>
            <w:vAlign w:val="bottom"/>
            <w:tcBorders>
              <w:bottom w:val="single" w:sz="8" w:color="CFF0FC"/>
            </w:tcBorders>
            <w:gridSpan w:val="3"/>
          </w:tcPr>
          <w:p>
            <w:pPr>
              <w:jc w:val="right"/>
              <w:ind w:right="20"/>
              <w:spacing w:after="0"/>
              <w:rPr>
                <w:sz w:val="20"/>
                <w:szCs w:val="20"/>
                <w:color w:val="auto"/>
              </w:rPr>
            </w:pPr>
            <w:r>
              <w:rPr>
                <w:rFonts w:ascii="Arial" w:cs="Arial" w:eastAsia="Arial" w:hAnsi="Arial"/>
                <w:sz w:val="18"/>
                <w:szCs w:val="18"/>
                <w:color w:val="auto"/>
              </w:rPr>
              <w:t>(3.0)%</w:t>
            </w:r>
          </w:p>
        </w:tc>
        <w:tc>
          <w:tcPr>
            <w:tcW w:w="0" w:type="dxa"/>
            <w:vAlign w:val="bottom"/>
          </w:tcPr>
          <w:p>
            <w:pPr>
              <w:spacing w:after="0"/>
              <w:rPr>
                <w:sz w:val="1"/>
                <w:szCs w:val="1"/>
                <w:color w:val="auto"/>
              </w:rPr>
            </w:pPr>
          </w:p>
        </w:tc>
      </w:tr>
      <w:tr>
        <w:trPr>
          <w:trHeight w:val="223"/>
        </w:trPr>
        <w:tc>
          <w:tcPr>
            <w:tcW w:w="3780" w:type="dxa"/>
            <w:vAlign w:val="bottom"/>
            <w:tcBorders>
              <w:bottom w:val="single" w:sz="8" w:color="CFF0FC"/>
            </w:tcBorders>
            <w:shd w:val="clear" w:color="auto" w:fill="CFF0FC"/>
          </w:tcPr>
          <w:p>
            <w:pPr>
              <w:ind w:left="240"/>
              <w:spacing w:after="0"/>
              <w:rPr>
                <w:sz w:val="20"/>
                <w:szCs w:val="20"/>
                <w:color w:val="auto"/>
              </w:rPr>
            </w:pPr>
            <w:r>
              <w:rPr>
                <w:rFonts w:ascii="Arial" w:cs="Arial" w:eastAsia="Arial" w:hAnsi="Arial"/>
                <w:sz w:val="18"/>
                <w:szCs w:val="18"/>
                <w:color w:val="auto"/>
              </w:rPr>
              <w:t>Total operating expenses</w:t>
            </w:r>
          </w:p>
        </w:tc>
        <w:tc>
          <w:tcPr>
            <w:tcW w:w="1740" w:type="dxa"/>
            <w:vAlign w:val="bottom"/>
            <w:tcBorders>
              <w:bottom w:val="single" w:sz="8" w:color="CFF0FC"/>
            </w:tcBorders>
            <w:shd w:val="clear" w:color="auto" w:fill="CFF0FC"/>
          </w:tcPr>
          <w:p>
            <w:pPr>
              <w:spacing w:after="0"/>
              <w:rPr>
                <w:sz w:val="19"/>
                <w:szCs w:val="19"/>
                <w:color w:val="auto"/>
              </w:rPr>
            </w:pPr>
          </w:p>
        </w:tc>
        <w:tc>
          <w:tcPr>
            <w:tcW w:w="840" w:type="dxa"/>
            <w:vAlign w:val="bottom"/>
            <w:tcBorders>
              <w:bottom w:val="single" w:sz="8" w:color="auto"/>
            </w:tcBorders>
            <w:shd w:val="clear" w:color="auto" w:fill="CFF0FC"/>
          </w:tcPr>
          <w:p>
            <w:pPr>
              <w:jc w:val="right"/>
              <w:ind w:right="687"/>
              <w:spacing w:after="0"/>
              <w:rPr>
                <w:sz w:val="20"/>
                <w:szCs w:val="20"/>
                <w:color w:val="auto"/>
              </w:rPr>
            </w:pPr>
            <w:r>
              <w:rPr>
                <w:rFonts w:ascii="Arial" w:cs="Arial" w:eastAsia="Arial" w:hAnsi="Arial"/>
                <w:sz w:val="15"/>
                <w:szCs w:val="15"/>
                <w:color w:val="auto"/>
                <w:w w:val="71"/>
              </w:rPr>
              <w:t>$</w:t>
            </w:r>
          </w:p>
        </w:tc>
        <w:tc>
          <w:tcPr>
            <w:tcW w:w="4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w w:val="97"/>
              </w:rPr>
              <w:t>290.0</w:t>
            </w:r>
          </w:p>
        </w:tc>
        <w:tc>
          <w:tcPr>
            <w:tcW w:w="220" w:type="dxa"/>
            <w:vAlign w:val="bottom"/>
            <w:tcBorders>
              <w:bottom w:val="single" w:sz="8" w:color="CFF0FC"/>
            </w:tcBorders>
            <w:shd w:val="clear" w:color="auto" w:fill="CFF0FC"/>
          </w:tcPr>
          <w:p>
            <w:pPr>
              <w:spacing w:after="0"/>
              <w:rPr>
                <w:sz w:val="19"/>
                <w:szCs w:val="19"/>
                <w:color w:val="auto"/>
              </w:rPr>
            </w:pPr>
          </w:p>
        </w:tc>
        <w:tc>
          <w:tcPr>
            <w:tcW w:w="880" w:type="dxa"/>
            <w:vAlign w:val="bottom"/>
            <w:tcBorders>
              <w:bottom w:val="single" w:sz="8" w:color="auto"/>
            </w:tcBorders>
            <w:shd w:val="clear" w:color="auto" w:fill="CFF0FC"/>
          </w:tcPr>
          <w:p>
            <w:pPr>
              <w:jc w:val="right"/>
              <w:ind w:right="696"/>
              <w:spacing w:after="0"/>
              <w:rPr>
                <w:sz w:val="20"/>
                <w:szCs w:val="20"/>
                <w:color w:val="auto"/>
              </w:rPr>
            </w:pPr>
            <w:r>
              <w:rPr>
                <w:rFonts w:ascii="Arial" w:cs="Arial" w:eastAsia="Arial" w:hAnsi="Arial"/>
                <w:sz w:val="18"/>
                <w:szCs w:val="18"/>
                <w:color w:val="auto"/>
                <w:w w:val="79"/>
              </w:rPr>
              <w:t>$</w:t>
            </w:r>
          </w:p>
        </w:tc>
        <w:tc>
          <w:tcPr>
            <w:tcW w:w="4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w w:val="88"/>
              </w:rPr>
              <w:t>289.2</w:t>
            </w:r>
          </w:p>
        </w:tc>
        <w:tc>
          <w:tcPr>
            <w:tcW w:w="1740" w:type="dxa"/>
            <w:vAlign w:val="bottom"/>
            <w:tcBorders>
              <w:bottom w:val="single" w:sz="8" w:color="CFF0FC"/>
            </w:tcBorders>
            <w:gridSpan w:val="3"/>
            <w:shd w:val="clear" w:color="auto" w:fill="CFF0FC"/>
          </w:tcPr>
          <w:p>
            <w:pPr>
              <w:jc w:val="right"/>
              <w:ind w:right="80"/>
              <w:spacing w:after="0"/>
              <w:rPr>
                <w:sz w:val="20"/>
                <w:szCs w:val="20"/>
                <w:color w:val="auto"/>
              </w:rPr>
            </w:pPr>
            <w:r>
              <w:rPr>
                <w:rFonts w:ascii="Arial" w:cs="Arial" w:eastAsia="Arial" w:hAnsi="Arial"/>
                <w:sz w:val="18"/>
                <w:szCs w:val="18"/>
                <w:color w:val="auto"/>
              </w:rPr>
              <w:t>0.3%</w:t>
            </w:r>
          </w:p>
        </w:tc>
        <w:tc>
          <w:tcPr>
            <w:tcW w:w="0" w:type="dxa"/>
            <w:vAlign w:val="bottom"/>
          </w:tcPr>
          <w:p>
            <w:pPr>
              <w:spacing w:after="0"/>
              <w:rPr>
                <w:sz w:val="1"/>
                <w:szCs w:val="1"/>
                <w:color w:val="auto"/>
              </w:rPr>
            </w:pPr>
          </w:p>
        </w:tc>
      </w:tr>
      <w:tr>
        <w:trPr>
          <w:trHeight w:val="20"/>
        </w:trPr>
        <w:tc>
          <w:tcPr>
            <w:tcW w:w="3780" w:type="dxa"/>
            <w:vAlign w:val="bottom"/>
          </w:tcPr>
          <w:p>
            <w:pPr>
              <w:spacing w:after="0" w:line="20" w:lineRule="exact"/>
              <w:rPr>
                <w:sz w:val="1"/>
                <w:szCs w:val="1"/>
                <w:color w:val="auto"/>
              </w:rPr>
            </w:pPr>
          </w:p>
        </w:tc>
        <w:tc>
          <w:tcPr>
            <w:tcW w:w="1740" w:type="dxa"/>
            <w:vAlign w:val="bottom"/>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30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42" w:lineRule="exact"/>
        <w:rPr>
          <w:sz w:val="20"/>
          <w:szCs w:val="20"/>
          <w:color w:val="auto"/>
        </w:rPr>
      </w:pPr>
    </w:p>
    <w:p>
      <w:pPr>
        <w:ind w:right="140" w:firstLine="510"/>
        <w:spacing w:after="0" w:line="257" w:lineRule="auto"/>
        <w:rPr>
          <w:sz w:val="20"/>
          <w:szCs w:val="20"/>
          <w:color w:val="auto"/>
        </w:rPr>
      </w:pPr>
      <w:r>
        <w:rPr>
          <w:rFonts w:ascii="Arial" w:cs="Arial" w:eastAsia="Arial" w:hAnsi="Arial"/>
          <w:sz w:val="18"/>
          <w:szCs w:val="18"/>
          <w:i w:val="1"/>
          <w:iCs w:val="1"/>
          <w:color w:val="auto"/>
        </w:rPr>
        <w:t>Three Months Ended March 31, 2021 and 2020</w:t>
      </w:r>
      <w:r>
        <w:rPr>
          <w:rFonts w:ascii="Arial" w:cs="Arial" w:eastAsia="Arial" w:hAnsi="Arial"/>
          <w:sz w:val="18"/>
          <w:szCs w:val="18"/>
          <w:color w:val="auto"/>
        </w:rPr>
        <w:t>. Operating expenses increased $0.8 million, or 0.3%, primarily due to acquisitions, which added</w:t>
      </w:r>
      <w:r>
        <w:rPr>
          <w:rFonts w:ascii="Arial" w:cs="Arial" w:eastAsia="Arial" w:hAnsi="Arial"/>
          <w:sz w:val="18"/>
          <w:szCs w:val="18"/>
          <w:i w:val="1"/>
          <w:iCs w:val="1"/>
          <w:color w:val="auto"/>
        </w:rPr>
        <w:t xml:space="preserve"> </w:t>
      </w:r>
      <w:r>
        <w:rPr>
          <w:rFonts w:ascii="Arial" w:cs="Arial" w:eastAsia="Arial" w:hAnsi="Arial"/>
          <w:sz w:val="18"/>
          <w:szCs w:val="18"/>
          <w:color w:val="auto"/>
        </w:rPr>
        <w:t>$5.2 million in expenses, and the unfavorable foreign currency translation impact of $6.0 million. Total operating expenses, excluding the impact of acquisitions and foreign currency translation, decreased by $10.4 million primarily due to decreases in organic operating expenses such as travel and entertainment and amortization of intangible assets, partially offset by an increase in severance expense related to personnel reductions in connection with continued integration efforts within our recently acquired businesses.</w:t>
      </w:r>
    </w:p>
    <w:p>
      <w:pPr>
        <w:spacing w:after="0" w:line="215"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Comparison of the Three Months Ended March 31, 2021 and 2020 for Interest, Taxes and Other</w:t>
      </w:r>
    </w:p>
    <w:p>
      <w:pPr>
        <w:spacing w:after="0" w:line="117" w:lineRule="exact"/>
        <w:rPr>
          <w:sz w:val="20"/>
          <w:szCs w:val="20"/>
          <w:color w:val="auto"/>
        </w:rPr>
      </w:pPr>
    </w:p>
    <w:p>
      <w:pPr>
        <w:ind w:right="20" w:firstLine="510"/>
        <w:spacing w:after="0" w:line="263" w:lineRule="auto"/>
        <w:rPr>
          <w:sz w:val="20"/>
          <w:szCs w:val="20"/>
          <w:color w:val="auto"/>
        </w:rPr>
      </w:pPr>
      <w:r>
        <w:rPr>
          <w:rFonts w:ascii="Arial" w:cs="Arial" w:eastAsia="Arial" w:hAnsi="Arial"/>
          <w:sz w:val="18"/>
          <w:szCs w:val="18"/>
          <w:i w:val="1"/>
          <w:iCs w:val="1"/>
          <w:color w:val="auto"/>
        </w:rPr>
        <w:t>Interest expense, net</w:t>
      </w:r>
      <w:r>
        <w:rPr>
          <w:rFonts w:ascii="Arial" w:cs="Arial" w:eastAsia="Arial" w:hAnsi="Arial"/>
          <w:sz w:val="18"/>
          <w:szCs w:val="18"/>
          <w:color w:val="auto"/>
        </w:rPr>
        <w:t>. We had net interest expense of $51.4 million in 2021 and $77.4 million in 2020. The decrease in interest expense, net for 2021</w:t>
      </w:r>
      <w:r>
        <w:rPr>
          <w:rFonts w:ascii="Arial" w:cs="Arial" w:eastAsia="Arial" w:hAnsi="Arial"/>
          <w:sz w:val="18"/>
          <w:szCs w:val="18"/>
          <w:i w:val="1"/>
          <w:iCs w:val="1"/>
          <w:color w:val="auto"/>
        </w:rPr>
        <w:t xml:space="preserve"> </w:t>
      </w:r>
      <w:r>
        <w:rPr>
          <w:rFonts w:ascii="Arial" w:cs="Arial" w:eastAsia="Arial" w:hAnsi="Arial"/>
          <w:sz w:val="18"/>
          <w:szCs w:val="18"/>
          <w:color w:val="auto"/>
        </w:rPr>
        <w:t>as compared to 2020 relates primarily to lower average interest rates as well as lower average debt balances. These facilities are discussed further in “Liquidity and Capital Resources”.</w:t>
      </w:r>
    </w:p>
    <w:p>
      <w:pPr>
        <w:spacing w:after="0" w:line="184" w:lineRule="exact"/>
        <w:rPr>
          <w:sz w:val="20"/>
          <w:szCs w:val="20"/>
          <w:color w:val="auto"/>
        </w:rPr>
      </w:pPr>
    </w:p>
    <w:p>
      <w:pPr>
        <w:ind w:right="220" w:firstLine="510"/>
        <w:spacing w:after="0" w:line="257" w:lineRule="auto"/>
        <w:rPr>
          <w:sz w:val="20"/>
          <w:szCs w:val="20"/>
          <w:color w:val="auto"/>
        </w:rPr>
      </w:pPr>
      <w:r>
        <w:rPr>
          <w:rFonts w:ascii="Arial" w:cs="Arial" w:eastAsia="Arial" w:hAnsi="Arial"/>
          <w:sz w:val="18"/>
          <w:szCs w:val="18"/>
          <w:i w:val="1"/>
          <w:iCs w:val="1"/>
          <w:color w:val="auto"/>
        </w:rPr>
        <w:t>Other income (expense), net</w:t>
      </w:r>
      <w:r>
        <w:rPr>
          <w:rFonts w:ascii="Arial" w:cs="Arial" w:eastAsia="Arial" w:hAnsi="Arial"/>
          <w:sz w:val="18"/>
          <w:szCs w:val="18"/>
          <w:color w:val="auto"/>
        </w:rPr>
        <w:t>. We had other income, net of $18.0 million in 2021 compared to other expense, net of $15.3 million in 2020. For the</w:t>
      </w:r>
      <w:r>
        <w:rPr>
          <w:rFonts w:ascii="Arial" w:cs="Arial" w:eastAsia="Arial" w:hAnsi="Arial"/>
          <w:sz w:val="18"/>
          <w:szCs w:val="18"/>
          <w:i w:val="1"/>
          <w:iCs w:val="1"/>
          <w:color w:val="auto"/>
        </w:rPr>
        <w:t xml:space="preserve"> </w:t>
      </w:r>
      <w:r>
        <w:rPr>
          <w:rFonts w:ascii="Arial" w:cs="Arial" w:eastAsia="Arial" w:hAnsi="Arial"/>
          <w:sz w:val="18"/>
          <w:szCs w:val="18"/>
          <w:color w:val="auto"/>
        </w:rPr>
        <w:t>three months ended March 31, 2021, other income, net included investment gains of $13.7 million and dividend income of $8.5 million. The remaining portion of other income, net consisted primarily of foreign currency transaction losses. For the three months ended March 31, 2020, other expense, net included investment losses net of dividend income of $10.9 million. The remaining portion of other expense, net consisted primarily of foreign currency transaction losses.</w:t>
      </w:r>
    </w:p>
    <w:p>
      <w:pPr>
        <w:spacing w:after="0" w:line="188" w:lineRule="exact"/>
        <w:rPr>
          <w:sz w:val="20"/>
          <w:szCs w:val="20"/>
          <w:color w:val="auto"/>
        </w:rPr>
      </w:pPr>
    </w:p>
    <w:p>
      <w:pPr>
        <w:ind w:right="440" w:firstLine="510"/>
        <w:spacing w:after="0" w:line="277" w:lineRule="auto"/>
        <w:rPr>
          <w:sz w:val="20"/>
          <w:szCs w:val="20"/>
          <w:color w:val="auto"/>
        </w:rPr>
      </w:pPr>
      <w:r>
        <w:rPr>
          <w:rFonts w:ascii="Arial" w:cs="Arial" w:eastAsia="Arial" w:hAnsi="Arial"/>
          <w:sz w:val="18"/>
          <w:szCs w:val="18"/>
          <w:i w:val="1"/>
          <w:iCs w:val="1"/>
          <w:color w:val="auto"/>
        </w:rPr>
        <w:t xml:space="preserve">Equity in earnings of unconsolidated affiliates, net. </w:t>
      </w:r>
      <w:r>
        <w:rPr>
          <w:rFonts w:ascii="Arial" w:cs="Arial" w:eastAsia="Arial" w:hAnsi="Arial"/>
          <w:sz w:val="18"/>
          <w:szCs w:val="18"/>
          <w:color w:val="auto"/>
        </w:rPr>
        <w:t>We had equity in earnings of unconsolidated affiliates, net of $0.3 million in 2021 and $0.7</w:t>
      </w:r>
      <w:r>
        <w:rPr>
          <w:rFonts w:ascii="Arial" w:cs="Arial" w:eastAsia="Arial" w:hAnsi="Arial"/>
          <w:sz w:val="18"/>
          <w:szCs w:val="18"/>
          <w:i w:val="1"/>
          <w:iCs w:val="1"/>
          <w:color w:val="auto"/>
        </w:rPr>
        <w:t xml:space="preserve"> </w:t>
      </w:r>
      <w:r>
        <w:rPr>
          <w:rFonts w:ascii="Arial" w:cs="Arial" w:eastAsia="Arial" w:hAnsi="Arial"/>
          <w:sz w:val="18"/>
          <w:szCs w:val="18"/>
          <w:color w:val="auto"/>
        </w:rPr>
        <w:t>million in 2020.</w:t>
      </w:r>
    </w:p>
    <w:p>
      <w:pPr>
        <w:spacing w:after="0" w:line="170" w:lineRule="exact"/>
        <w:rPr>
          <w:sz w:val="20"/>
          <w:szCs w:val="20"/>
          <w:color w:val="auto"/>
        </w:rPr>
      </w:pPr>
    </w:p>
    <w:p>
      <w:pPr>
        <w:ind w:right="40" w:firstLine="510"/>
        <w:spacing w:after="0" w:line="273" w:lineRule="auto"/>
        <w:rPr>
          <w:sz w:val="20"/>
          <w:szCs w:val="20"/>
          <w:color w:val="auto"/>
        </w:rPr>
      </w:pPr>
      <w:r>
        <w:rPr>
          <w:rFonts w:ascii="Arial" w:cs="Arial" w:eastAsia="Arial" w:hAnsi="Arial"/>
          <w:sz w:val="17"/>
          <w:szCs w:val="17"/>
          <w:i w:val="1"/>
          <w:iCs w:val="1"/>
          <w:color w:val="auto"/>
        </w:rPr>
        <w:t>Loss on extinguishment of debt</w:t>
      </w:r>
      <w:r>
        <w:rPr>
          <w:rFonts w:ascii="Arial" w:cs="Arial" w:eastAsia="Arial" w:hAnsi="Arial"/>
          <w:sz w:val="17"/>
          <w:szCs w:val="17"/>
          <w:color w:val="auto"/>
        </w:rPr>
        <w:t>. In the three months ended March 31, 2021, we made additional principal payments on our term loans prior to their</w:t>
      </w:r>
      <w:r>
        <w:rPr>
          <w:rFonts w:ascii="Arial" w:cs="Arial" w:eastAsia="Arial" w:hAnsi="Arial"/>
          <w:sz w:val="17"/>
          <w:szCs w:val="17"/>
          <w:i w:val="1"/>
          <w:iCs w:val="1"/>
          <w:color w:val="auto"/>
        </w:rPr>
        <w:t xml:space="preserve"> </w:t>
      </w:r>
      <w:r>
        <w:rPr>
          <w:rFonts w:ascii="Arial" w:cs="Arial" w:eastAsia="Arial" w:hAnsi="Arial"/>
          <w:sz w:val="17"/>
          <w:szCs w:val="17"/>
          <w:color w:val="auto"/>
        </w:rPr>
        <w:t>scheduled maturity, which resulted in a loss on extinguishment of debt of $0.3 million due to the write-off of a portion of the unamortized capitalized financing fees and the unamortized original issue discount. We recorded a $2.8 million loss on extinguishment of debt in the three months ended March 31, 2020 in connection with the amendment to our senior secured credit agreement. The loss on extinguishment of debt includes the write-off of a portion of the unamortized capitalized financing fees related to the senior secured credit agreement for amounts accounted for as a debt extinguishment, as well as new financing fees related to amounts accounted for as a debt modification.</w:t>
      </w:r>
    </w:p>
    <w:p>
      <w:pPr>
        <w:spacing w:after="0" w:line="178" w:lineRule="exact"/>
        <w:rPr>
          <w:sz w:val="20"/>
          <w:szCs w:val="20"/>
          <w:color w:val="auto"/>
        </w:rPr>
      </w:pPr>
    </w:p>
    <w:p>
      <w:pPr>
        <w:ind w:right="140" w:firstLine="510"/>
        <w:spacing w:after="0" w:line="277" w:lineRule="auto"/>
        <w:rPr>
          <w:sz w:val="20"/>
          <w:szCs w:val="20"/>
          <w:color w:val="auto"/>
        </w:rPr>
      </w:pPr>
      <w:r>
        <w:rPr>
          <w:rFonts w:ascii="Arial" w:cs="Arial" w:eastAsia="Arial" w:hAnsi="Arial"/>
          <w:sz w:val="18"/>
          <w:szCs w:val="18"/>
          <w:i w:val="1"/>
          <w:iCs w:val="1"/>
          <w:color w:val="auto"/>
        </w:rPr>
        <w:t>Provision for income taxes</w:t>
      </w:r>
      <w:r>
        <w:rPr>
          <w:rFonts w:ascii="Arial" w:cs="Arial" w:eastAsia="Arial" w:hAnsi="Arial"/>
          <w:sz w:val="18"/>
          <w:szCs w:val="18"/>
          <w:color w:val="auto"/>
        </w:rPr>
        <w:t>. The following table sets forth the provision for income taxes (dollars in millions) and effective tax rates for the periods</w:t>
      </w:r>
      <w:r>
        <w:rPr>
          <w:rFonts w:ascii="Arial" w:cs="Arial" w:eastAsia="Arial" w:hAnsi="Arial"/>
          <w:sz w:val="18"/>
          <w:szCs w:val="18"/>
          <w:i w:val="1"/>
          <w:iCs w:val="1"/>
          <w:color w:val="auto"/>
        </w:rPr>
        <w:t xml:space="preserve"> </w:t>
      </w:r>
      <w:r>
        <w:rPr>
          <w:rFonts w:ascii="Arial" w:cs="Arial" w:eastAsia="Arial" w:hAnsi="Arial"/>
          <w:sz w:val="18"/>
          <w:szCs w:val="18"/>
          <w:color w:val="auto"/>
        </w:rPr>
        <w:t>indicated:</w:t>
      </w:r>
    </w:p>
    <w:p>
      <w:pPr>
        <w:spacing w:after="0" w:line="27"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580" w:type="dxa"/>
            <w:vAlign w:val="bottom"/>
          </w:tcPr>
          <w:p>
            <w:pPr>
              <w:spacing w:after="0"/>
              <w:rPr>
                <w:sz w:val="14"/>
                <w:szCs w:val="14"/>
                <w:color w:val="auto"/>
              </w:rPr>
            </w:pPr>
          </w:p>
        </w:tc>
        <w:tc>
          <w:tcPr>
            <w:tcW w:w="3440" w:type="dxa"/>
            <w:vAlign w:val="bottom"/>
          </w:tcPr>
          <w:p>
            <w:pPr>
              <w:spacing w:after="0"/>
              <w:rPr>
                <w:sz w:val="14"/>
                <w:szCs w:val="14"/>
                <w:color w:val="auto"/>
              </w:rPr>
            </w:pPr>
          </w:p>
        </w:tc>
        <w:tc>
          <w:tcPr>
            <w:tcW w:w="3080" w:type="dxa"/>
            <w:vAlign w:val="bottom"/>
          </w:tcPr>
          <w:p>
            <w:pPr>
              <w:spacing w:after="0"/>
              <w:rPr>
                <w:sz w:val="14"/>
                <w:szCs w:val="14"/>
                <w:color w:val="auto"/>
              </w:rPr>
            </w:pPr>
          </w:p>
        </w:tc>
        <w:tc>
          <w:tcPr>
            <w:tcW w:w="2920" w:type="dxa"/>
            <w:vAlign w:val="bottom"/>
            <w:tcBorders>
              <w:bottom w:val="single" w:sz="8" w:color="auto"/>
            </w:tcBorders>
            <w:gridSpan w:val="5"/>
          </w:tcPr>
          <w:p>
            <w:pPr>
              <w:jc w:val="right"/>
              <w:ind w:right="167"/>
              <w:spacing w:after="0"/>
              <w:rPr>
                <w:sz w:val="20"/>
                <w:szCs w:val="20"/>
                <w:color w:val="auto"/>
              </w:rPr>
            </w:pPr>
            <w:r>
              <w:rPr>
                <w:rFonts w:ascii="Arial" w:cs="Arial" w:eastAsia="Arial" w:hAnsi="Arial"/>
                <w:sz w:val="14"/>
                <w:szCs w:val="14"/>
                <w:b w:val="1"/>
                <w:bCs w:val="1"/>
                <w:color w:val="auto"/>
              </w:rPr>
              <w:t>Three Months Ended March 31,</w:t>
            </w:r>
          </w:p>
        </w:tc>
        <w:tc>
          <w:tcPr>
            <w:tcW w:w="480" w:type="dxa"/>
            <w:vAlign w:val="bottom"/>
            <w:tcBorders>
              <w:bottom w:val="single" w:sz="8" w:color="auto"/>
            </w:tcBorders>
          </w:tcPr>
          <w:p>
            <w:pPr>
              <w:spacing w:after="0"/>
              <w:rPr>
                <w:sz w:val="14"/>
                <w:szCs w:val="14"/>
                <w:color w:val="auto"/>
              </w:rPr>
            </w:pPr>
          </w:p>
        </w:tc>
        <w:tc>
          <w:tcPr>
            <w:tcW w:w="180" w:type="dxa"/>
            <w:vAlign w:val="bottom"/>
          </w:tcPr>
          <w:p>
            <w:pPr>
              <w:spacing w:after="0"/>
              <w:rPr>
                <w:sz w:val="14"/>
                <w:szCs w:val="14"/>
                <w:color w:val="auto"/>
              </w:rPr>
            </w:pPr>
          </w:p>
        </w:tc>
        <w:tc>
          <w:tcPr>
            <w:tcW w:w="560" w:type="dxa"/>
            <w:vAlign w:val="bottom"/>
          </w:tcPr>
          <w:p>
            <w:pPr>
              <w:spacing w:after="0"/>
              <w:rPr>
                <w:sz w:val="14"/>
                <w:szCs w:val="14"/>
                <w:color w:val="auto"/>
              </w:rPr>
            </w:pPr>
          </w:p>
        </w:tc>
      </w:tr>
      <w:tr>
        <w:trPr>
          <w:trHeight w:val="155"/>
        </w:trPr>
        <w:tc>
          <w:tcPr>
            <w:tcW w:w="580" w:type="dxa"/>
            <w:vAlign w:val="bottom"/>
          </w:tcPr>
          <w:p>
            <w:pPr>
              <w:spacing w:after="0"/>
              <w:rPr>
                <w:sz w:val="13"/>
                <w:szCs w:val="13"/>
                <w:color w:val="auto"/>
              </w:rPr>
            </w:pPr>
          </w:p>
        </w:tc>
        <w:tc>
          <w:tcPr>
            <w:tcW w:w="3440" w:type="dxa"/>
            <w:vAlign w:val="bottom"/>
          </w:tcPr>
          <w:p>
            <w:pPr>
              <w:spacing w:after="0"/>
              <w:rPr>
                <w:sz w:val="13"/>
                <w:szCs w:val="13"/>
                <w:color w:val="auto"/>
              </w:rPr>
            </w:pPr>
          </w:p>
        </w:tc>
        <w:tc>
          <w:tcPr>
            <w:tcW w:w="3080" w:type="dxa"/>
            <w:vAlign w:val="bottom"/>
          </w:tcPr>
          <w:p>
            <w:pPr>
              <w:spacing w:after="0"/>
              <w:rPr>
                <w:sz w:val="13"/>
                <w:szCs w:val="13"/>
                <w:color w:val="auto"/>
              </w:rPr>
            </w:pPr>
          </w:p>
        </w:tc>
        <w:tc>
          <w:tcPr>
            <w:tcW w:w="1060" w:type="dxa"/>
            <w:vAlign w:val="bottom"/>
          </w:tcPr>
          <w:p>
            <w:pPr>
              <w:jc w:val="right"/>
              <w:ind w:right="88"/>
              <w:spacing w:after="0" w:line="155" w:lineRule="exact"/>
              <w:rPr>
                <w:sz w:val="20"/>
                <w:szCs w:val="20"/>
                <w:color w:val="auto"/>
              </w:rPr>
            </w:pPr>
            <w:r>
              <w:rPr>
                <w:rFonts w:ascii="Arial" w:cs="Arial" w:eastAsia="Arial" w:hAnsi="Arial"/>
                <w:sz w:val="14"/>
                <w:szCs w:val="14"/>
                <w:b w:val="1"/>
                <w:bCs w:val="1"/>
                <w:color w:val="auto"/>
              </w:rPr>
              <w:t>2021</w:t>
            </w:r>
          </w:p>
        </w:tc>
        <w:tc>
          <w:tcPr>
            <w:tcW w:w="48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1140" w:type="dxa"/>
            <w:vAlign w:val="bottom"/>
            <w:gridSpan w:val="2"/>
          </w:tcPr>
          <w:p>
            <w:pPr>
              <w:jc w:val="right"/>
              <w:ind w:right="87"/>
              <w:spacing w:after="0" w:line="155" w:lineRule="exact"/>
              <w:rPr>
                <w:sz w:val="20"/>
                <w:szCs w:val="20"/>
                <w:color w:val="auto"/>
              </w:rPr>
            </w:pPr>
            <w:r>
              <w:rPr>
                <w:rFonts w:ascii="Arial" w:cs="Arial" w:eastAsia="Arial" w:hAnsi="Arial"/>
                <w:sz w:val="14"/>
                <w:szCs w:val="14"/>
                <w:b w:val="1"/>
                <w:bCs w:val="1"/>
                <w:color w:val="auto"/>
              </w:rPr>
              <w:t>2020</w:t>
            </w:r>
          </w:p>
        </w:tc>
        <w:tc>
          <w:tcPr>
            <w:tcW w:w="48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560" w:type="dxa"/>
            <w:vAlign w:val="bottom"/>
          </w:tcPr>
          <w:p>
            <w:pPr>
              <w:spacing w:after="0"/>
              <w:rPr>
                <w:sz w:val="13"/>
                <w:szCs w:val="13"/>
                <w:color w:val="auto"/>
              </w:rPr>
            </w:pPr>
          </w:p>
        </w:tc>
      </w:tr>
      <w:tr>
        <w:trPr>
          <w:trHeight w:val="223"/>
        </w:trPr>
        <w:tc>
          <w:tcPr>
            <w:tcW w:w="580" w:type="dxa"/>
            <w:vAlign w:val="bottom"/>
          </w:tcPr>
          <w:p>
            <w:pPr>
              <w:spacing w:after="0"/>
              <w:rPr>
                <w:sz w:val="19"/>
                <w:szCs w:val="19"/>
                <w:color w:val="auto"/>
              </w:rPr>
            </w:pPr>
          </w:p>
        </w:tc>
        <w:tc>
          <w:tcPr>
            <w:tcW w:w="3440" w:type="dxa"/>
            <w:vAlign w:val="bottom"/>
            <w:tcBorders>
              <w:top w:val="single" w:sz="8" w:color="CFF0FC"/>
            </w:tcBorders>
            <w:shd w:val="clear" w:color="auto" w:fill="CFF0FC"/>
          </w:tcPr>
          <w:p>
            <w:pPr>
              <w:spacing w:after="0"/>
              <w:rPr>
                <w:sz w:val="20"/>
                <w:szCs w:val="20"/>
                <w:color w:val="auto"/>
              </w:rPr>
            </w:pPr>
            <w:r>
              <w:rPr>
                <w:rFonts w:ascii="Arial" w:cs="Arial" w:eastAsia="Arial" w:hAnsi="Arial"/>
                <w:sz w:val="18"/>
                <w:szCs w:val="18"/>
                <w:color w:val="auto"/>
              </w:rPr>
              <w:t>Provision for income taxes</w:t>
            </w:r>
          </w:p>
        </w:tc>
        <w:tc>
          <w:tcPr>
            <w:tcW w:w="3080" w:type="dxa"/>
            <w:vAlign w:val="bottom"/>
            <w:tcBorders>
              <w:top w:val="single" w:sz="8" w:color="CFF0FC"/>
            </w:tcBorders>
            <w:shd w:val="clear" w:color="auto" w:fill="CFF0FC"/>
          </w:tcPr>
          <w:p>
            <w:pPr>
              <w:spacing w:after="0"/>
              <w:rPr>
                <w:sz w:val="19"/>
                <w:szCs w:val="19"/>
                <w:color w:val="auto"/>
              </w:rPr>
            </w:pPr>
          </w:p>
        </w:tc>
        <w:tc>
          <w:tcPr>
            <w:tcW w:w="1060" w:type="dxa"/>
            <w:vAlign w:val="bottom"/>
            <w:tcBorders>
              <w:top w:val="single" w:sz="8" w:color="auto"/>
            </w:tcBorders>
            <w:shd w:val="clear" w:color="auto" w:fill="CFF0FC"/>
          </w:tcPr>
          <w:p>
            <w:pPr>
              <w:jc w:val="right"/>
              <w:ind w:right="908"/>
              <w:spacing w:after="0"/>
              <w:rPr>
                <w:sz w:val="20"/>
                <w:szCs w:val="20"/>
                <w:color w:val="auto"/>
              </w:rPr>
            </w:pPr>
            <w:r>
              <w:rPr>
                <w:rFonts w:ascii="Arial" w:cs="Arial" w:eastAsia="Arial" w:hAnsi="Arial"/>
                <w:sz w:val="15"/>
                <w:szCs w:val="15"/>
                <w:color w:val="auto"/>
                <w:w w:val="71"/>
              </w:rPr>
              <w:t>$</w:t>
            </w:r>
          </w:p>
        </w:tc>
        <w:tc>
          <w:tcPr>
            <w:tcW w:w="480" w:type="dxa"/>
            <w:vAlign w:val="bottom"/>
            <w:tcBorders>
              <w:top w:val="single" w:sz="8" w:color="auto"/>
            </w:tcBorders>
            <w:shd w:val="clear" w:color="auto" w:fill="CFF0FC"/>
          </w:tcPr>
          <w:p>
            <w:pPr>
              <w:ind w:left="140"/>
              <w:spacing w:after="0"/>
              <w:rPr>
                <w:sz w:val="20"/>
                <w:szCs w:val="20"/>
                <w:color w:val="auto"/>
              </w:rPr>
            </w:pPr>
            <w:r>
              <w:rPr>
                <w:rFonts w:ascii="Arial" w:cs="Arial" w:eastAsia="Arial" w:hAnsi="Arial"/>
                <w:sz w:val="18"/>
                <w:szCs w:val="18"/>
                <w:color w:val="auto"/>
                <w:w w:val="91"/>
              </w:rPr>
              <w:t>60.8</w:t>
            </w:r>
          </w:p>
        </w:tc>
        <w:tc>
          <w:tcPr>
            <w:tcW w:w="240" w:type="dxa"/>
            <w:vAlign w:val="bottom"/>
            <w:tcBorders>
              <w:top w:val="single" w:sz="8" w:color="CFF0FC"/>
            </w:tcBorders>
            <w:shd w:val="clear" w:color="auto" w:fill="CFF0FC"/>
          </w:tcPr>
          <w:p>
            <w:pPr>
              <w:spacing w:after="0"/>
              <w:rPr>
                <w:sz w:val="19"/>
                <w:szCs w:val="19"/>
                <w:color w:val="auto"/>
              </w:rPr>
            </w:pPr>
          </w:p>
        </w:tc>
        <w:tc>
          <w:tcPr>
            <w:tcW w:w="80" w:type="dxa"/>
            <w:vAlign w:val="bottom"/>
            <w:tcBorders>
              <w:top w:val="single" w:sz="8" w:color="CFF0FC"/>
            </w:tcBorders>
            <w:shd w:val="clear" w:color="auto" w:fill="CFF0FC"/>
          </w:tcPr>
          <w:p>
            <w:pPr>
              <w:spacing w:after="0"/>
              <w:rPr>
                <w:sz w:val="19"/>
                <w:szCs w:val="19"/>
                <w:color w:val="auto"/>
              </w:rPr>
            </w:pPr>
          </w:p>
        </w:tc>
        <w:tc>
          <w:tcPr>
            <w:tcW w:w="1060" w:type="dxa"/>
            <w:vAlign w:val="bottom"/>
            <w:tcBorders>
              <w:top w:val="single" w:sz="8" w:color="auto"/>
            </w:tcBorders>
            <w:shd w:val="clear" w:color="auto" w:fill="CFF0FC"/>
          </w:tcPr>
          <w:p>
            <w:pPr>
              <w:jc w:val="right"/>
              <w:ind w:right="907"/>
              <w:spacing w:after="0"/>
              <w:rPr>
                <w:sz w:val="20"/>
                <w:szCs w:val="20"/>
                <w:color w:val="auto"/>
              </w:rPr>
            </w:pPr>
            <w:r>
              <w:rPr>
                <w:rFonts w:ascii="Arial" w:cs="Arial" w:eastAsia="Arial" w:hAnsi="Arial"/>
                <w:sz w:val="15"/>
                <w:szCs w:val="15"/>
                <w:color w:val="auto"/>
                <w:w w:val="71"/>
              </w:rPr>
              <w:t>$</w:t>
            </w:r>
          </w:p>
        </w:tc>
        <w:tc>
          <w:tcPr>
            <w:tcW w:w="480" w:type="dxa"/>
            <w:vAlign w:val="bottom"/>
            <w:tcBorders>
              <w:top w:val="single" w:sz="8" w:color="auto"/>
            </w:tcBorders>
            <w:shd w:val="clear" w:color="auto" w:fill="CFF0FC"/>
          </w:tcPr>
          <w:p>
            <w:pPr>
              <w:ind w:left="140"/>
              <w:spacing w:after="0"/>
              <w:rPr>
                <w:sz w:val="20"/>
                <w:szCs w:val="20"/>
                <w:color w:val="auto"/>
              </w:rPr>
            </w:pPr>
            <w:r>
              <w:rPr>
                <w:rFonts w:ascii="Arial" w:cs="Arial" w:eastAsia="Arial" w:hAnsi="Arial"/>
                <w:sz w:val="18"/>
                <w:szCs w:val="18"/>
                <w:color w:val="auto"/>
                <w:w w:val="91"/>
              </w:rPr>
              <w:t>24.8</w:t>
            </w:r>
          </w:p>
        </w:tc>
        <w:tc>
          <w:tcPr>
            <w:tcW w:w="180" w:type="dxa"/>
            <w:vAlign w:val="bottom"/>
            <w:tcBorders>
              <w:top w:val="single" w:sz="8" w:color="CFF0FC"/>
            </w:tcBorders>
            <w:shd w:val="clear" w:color="auto" w:fill="CFF0FC"/>
          </w:tcPr>
          <w:p>
            <w:pPr>
              <w:spacing w:after="0"/>
              <w:rPr>
                <w:sz w:val="19"/>
                <w:szCs w:val="19"/>
                <w:color w:val="auto"/>
              </w:rPr>
            </w:pPr>
          </w:p>
        </w:tc>
        <w:tc>
          <w:tcPr>
            <w:tcW w:w="560" w:type="dxa"/>
            <w:vAlign w:val="bottom"/>
          </w:tcPr>
          <w:p>
            <w:pPr>
              <w:spacing w:after="0"/>
              <w:rPr>
                <w:sz w:val="19"/>
                <w:szCs w:val="19"/>
                <w:color w:val="auto"/>
              </w:rPr>
            </w:pPr>
          </w:p>
        </w:tc>
      </w:tr>
      <w:tr>
        <w:trPr>
          <w:trHeight w:val="243"/>
        </w:trPr>
        <w:tc>
          <w:tcPr>
            <w:tcW w:w="580" w:type="dxa"/>
            <w:vAlign w:val="bottom"/>
          </w:tcPr>
          <w:p>
            <w:pPr>
              <w:spacing w:after="0"/>
              <w:rPr>
                <w:sz w:val="21"/>
                <w:szCs w:val="21"/>
                <w:color w:val="auto"/>
              </w:rPr>
            </w:pPr>
          </w:p>
        </w:tc>
        <w:tc>
          <w:tcPr>
            <w:tcW w:w="3440" w:type="dxa"/>
            <w:vAlign w:val="bottom"/>
          </w:tcPr>
          <w:p>
            <w:pPr>
              <w:spacing w:after="0"/>
              <w:rPr>
                <w:sz w:val="20"/>
                <w:szCs w:val="20"/>
                <w:color w:val="auto"/>
              </w:rPr>
            </w:pPr>
            <w:r>
              <w:rPr>
                <w:rFonts w:ascii="Arial" w:cs="Arial" w:eastAsia="Arial" w:hAnsi="Arial"/>
                <w:sz w:val="18"/>
                <w:szCs w:val="18"/>
                <w:color w:val="auto"/>
              </w:rPr>
              <w:t>Effective tax rate</w:t>
            </w:r>
          </w:p>
        </w:tc>
        <w:tc>
          <w:tcPr>
            <w:tcW w:w="3080" w:type="dxa"/>
            <w:vAlign w:val="bottom"/>
          </w:tcPr>
          <w:p>
            <w:pPr>
              <w:spacing w:after="0"/>
              <w:rPr>
                <w:sz w:val="21"/>
                <w:szCs w:val="21"/>
                <w:color w:val="auto"/>
              </w:rPr>
            </w:pPr>
          </w:p>
        </w:tc>
        <w:tc>
          <w:tcPr>
            <w:tcW w:w="1060" w:type="dxa"/>
            <w:vAlign w:val="bottom"/>
          </w:tcPr>
          <w:p>
            <w:pPr>
              <w:spacing w:after="0"/>
              <w:rPr>
                <w:sz w:val="21"/>
                <w:szCs w:val="21"/>
                <w:color w:val="auto"/>
              </w:rPr>
            </w:pPr>
          </w:p>
        </w:tc>
        <w:tc>
          <w:tcPr>
            <w:tcW w:w="720" w:type="dxa"/>
            <w:vAlign w:val="bottom"/>
            <w:gridSpan w:val="2"/>
          </w:tcPr>
          <w:p>
            <w:pPr>
              <w:ind w:left="140"/>
              <w:spacing w:after="0"/>
              <w:rPr>
                <w:sz w:val="20"/>
                <w:szCs w:val="20"/>
                <w:color w:val="auto"/>
              </w:rPr>
            </w:pPr>
            <w:r>
              <w:rPr>
                <w:rFonts w:ascii="Arial" w:cs="Arial" w:eastAsia="Arial" w:hAnsi="Arial"/>
                <w:sz w:val="18"/>
                <w:szCs w:val="18"/>
                <w:color w:val="auto"/>
              </w:rPr>
              <w:t>25.8%</w:t>
            </w:r>
          </w:p>
        </w:tc>
        <w:tc>
          <w:tcPr>
            <w:tcW w:w="80" w:type="dxa"/>
            <w:vAlign w:val="bottom"/>
          </w:tcPr>
          <w:p>
            <w:pPr>
              <w:spacing w:after="0"/>
              <w:rPr>
                <w:sz w:val="21"/>
                <w:szCs w:val="21"/>
                <w:color w:val="auto"/>
              </w:rPr>
            </w:pPr>
          </w:p>
        </w:tc>
        <w:tc>
          <w:tcPr>
            <w:tcW w:w="1060" w:type="dxa"/>
            <w:vAlign w:val="bottom"/>
          </w:tcPr>
          <w:p>
            <w:pPr>
              <w:spacing w:after="0"/>
              <w:rPr>
                <w:sz w:val="21"/>
                <w:szCs w:val="21"/>
                <w:color w:val="auto"/>
              </w:rPr>
            </w:pPr>
          </w:p>
        </w:tc>
        <w:tc>
          <w:tcPr>
            <w:tcW w:w="660" w:type="dxa"/>
            <w:vAlign w:val="bottom"/>
            <w:gridSpan w:val="2"/>
          </w:tcPr>
          <w:p>
            <w:pPr>
              <w:ind w:left="140"/>
              <w:spacing w:after="0"/>
              <w:rPr>
                <w:sz w:val="20"/>
                <w:szCs w:val="20"/>
                <w:color w:val="auto"/>
              </w:rPr>
            </w:pPr>
            <w:r>
              <w:rPr>
                <w:rFonts w:ascii="Arial" w:cs="Arial" w:eastAsia="Arial" w:hAnsi="Arial"/>
                <w:sz w:val="18"/>
                <w:szCs w:val="18"/>
                <w:color w:val="auto"/>
                <w:w w:val="97"/>
              </w:rPr>
              <w:t>20.0%</w:t>
            </w:r>
          </w:p>
        </w:tc>
        <w:tc>
          <w:tcPr>
            <w:tcW w:w="560" w:type="dxa"/>
            <w:vAlign w:val="bottom"/>
          </w:tcPr>
          <w:p>
            <w:pPr>
              <w:spacing w:after="0"/>
              <w:rPr>
                <w:sz w:val="21"/>
                <w:szCs w:val="21"/>
                <w:color w:val="auto"/>
              </w:rPr>
            </w:pPr>
          </w:p>
        </w:tc>
      </w:tr>
      <w:tr>
        <w:trPr>
          <w:trHeight w:val="648"/>
        </w:trPr>
        <w:tc>
          <w:tcPr>
            <w:tcW w:w="580" w:type="dxa"/>
            <w:vAlign w:val="bottom"/>
          </w:tcPr>
          <w:p>
            <w:pPr>
              <w:spacing w:after="0"/>
              <w:rPr>
                <w:sz w:val="24"/>
                <w:szCs w:val="24"/>
                <w:color w:val="auto"/>
              </w:rPr>
            </w:pPr>
          </w:p>
        </w:tc>
        <w:tc>
          <w:tcPr>
            <w:tcW w:w="3440" w:type="dxa"/>
            <w:vAlign w:val="bottom"/>
          </w:tcPr>
          <w:p>
            <w:pPr>
              <w:spacing w:after="0"/>
              <w:rPr>
                <w:sz w:val="24"/>
                <w:szCs w:val="24"/>
                <w:color w:val="auto"/>
              </w:rPr>
            </w:pPr>
          </w:p>
        </w:tc>
        <w:tc>
          <w:tcPr>
            <w:tcW w:w="3080" w:type="dxa"/>
            <w:vAlign w:val="bottom"/>
          </w:tcPr>
          <w:p>
            <w:pPr>
              <w:jc w:val="right"/>
              <w:ind w:right="1290"/>
              <w:spacing w:after="0"/>
              <w:rPr>
                <w:sz w:val="20"/>
                <w:szCs w:val="20"/>
                <w:color w:val="auto"/>
              </w:rPr>
            </w:pPr>
            <w:r>
              <w:rPr>
                <w:rFonts w:ascii="Arial" w:cs="Arial" w:eastAsia="Arial" w:hAnsi="Arial"/>
                <w:sz w:val="18"/>
                <w:szCs w:val="18"/>
                <w:color w:val="auto"/>
              </w:rPr>
              <w:t>19</w:t>
            </w:r>
          </w:p>
        </w:tc>
        <w:tc>
          <w:tcPr>
            <w:tcW w:w="106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560" w:type="dxa"/>
            <w:vAlign w:val="bottom"/>
          </w:tcPr>
          <w:p>
            <w:pPr>
              <w:spacing w:after="0"/>
              <w:rPr>
                <w:sz w:val="24"/>
                <w:szCs w:val="24"/>
                <w:color w:val="auto"/>
              </w:rPr>
            </w:pPr>
          </w:p>
        </w:tc>
      </w:tr>
      <w:tr>
        <w:trPr>
          <w:trHeight w:val="115"/>
        </w:trPr>
        <w:tc>
          <w:tcPr>
            <w:tcW w:w="580" w:type="dxa"/>
            <w:vAlign w:val="bottom"/>
            <w:tcBorders>
              <w:bottom w:val="single" w:sz="8" w:color="9A9A9A"/>
            </w:tcBorders>
          </w:tcPr>
          <w:p>
            <w:pPr>
              <w:spacing w:after="0"/>
              <w:rPr>
                <w:sz w:val="10"/>
                <w:szCs w:val="10"/>
                <w:color w:val="auto"/>
              </w:rPr>
            </w:pPr>
          </w:p>
        </w:tc>
        <w:tc>
          <w:tcPr>
            <w:tcW w:w="3440" w:type="dxa"/>
            <w:vAlign w:val="bottom"/>
            <w:tcBorders>
              <w:bottom w:val="single" w:sz="8" w:color="9A9A9A"/>
            </w:tcBorders>
          </w:tcPr>
          <w:p>
            <w:pPr>
              <w:spacing w:after="0"/>
              <w:rPr>
                <w:sz w:val="10"/>
                <w:szCs w:val="10"/>
                <w:color w:val="auto"/>
              </w:rPr>
            </w:pPr>
          </w:p>
        </w:tc>
        <w:tc>
          <w:tcPr>
            <w:tcW w:w="3080" w:type="dxa"/>
            <w:vAlign w:val="bottom"/>
            <w:tcBorders>
              <w:bottom w:val="single" w:sz="8" w:color="9A9A9A"/>
            </w:tcBorders>
          </w:tcPr>
          <w:p>
            <w:pPr>
              <w:spacing w:after="0"/>
              <w:rPr>
                <w:sz w:val="10"/>
                <w:szCs w:val="10"/>
                <w:color w:val="auto"/>
              </w:rPr>
            </w:pPr>
          </w:p>
        </w:tc>
        <w:tc>
          <w:tcPr>
            <w:tcW w:w="1060" w:type="dxa"/>
            <w:vAlign w:val="bottom"/>
            <w:tcBorders>
              <w:bottom w:val="single" w:sz="8" w:color="9A9A9A"/>
            </w:tcBorders>
          </w:tcPr>
          <w:p>
            <w:pPr>
              <w:spacing w:after="0"/>
              <w:rPr>
                <w:sz w:val="10"/>
                <w:szCs w:val="10"/>
                <w:color w:val="auto"/>
              </w:rPr>
            </w:pPr>
          </w:p>
        </w:tc>
        <w:tc>
          <w:tcPr>
            <w:tcW w:w="480" w:type="dxa"/>
            <w:vAlign w:val="bottom"/>
            <w:tcBorders>
              <w:bottom w:val="single" w:sz="8" w:color="9A9A9A"/>
            </w:tcBorders>
          </w:tcPr>
          <w:p>
            <w:pPr>
              <w:spacing w:after="0"/>
              <w:rPr>
                <w:sz w:val="10"/>
                <w:szCs w:val="10"/>
                <w:color w:val="auto"/>
              </w:rPr>
            </w:pPr>
          </w:p>
        </w:tc>
        <w:tc>
          <w:tcPr>
            <w:tcW w:w="240" w:type="dxa"/>
            <w:vAlign w:val="bottom"/>
            <w:tcBorders>
              <w:bottom w:val="single" w:sz="8" w:color="9A9A9A"/>
            </w:tcBorders>
          </w:tcPr>
          <w:p>
            <w:pPr>
              <w:spacing w:after="0"/>
              <w:rPr>
                <w:sz w:val="10"/>
                <w:szCs w:val="10"/>
                <w:color w:val="auto"/>
              </w:rPr>
            </w:pPr>
          </w:p>
        </w:tc>
        <w:tc>
          <w:tcPr>
            <w:tcW w:w="80" w:type="dxa"/>
            <w:vAlign w:val="bottom"/>
            <w:tcBorders>
              <w:bottom w:val="single" w:sz="8" w:color="9A9A9A"/>
            </w:tcBorders>
          </w:tcPr>
          <w:p>
            <w:pPr>
              <w:spacing w:after="0"/>
              <w:rPr>
                <w:sz w:val="10"/>
                <w:szCs w:val="10"/>
                <w:color w:val="auto"/>
              </w:rPr>
            </w:pPr>
          </w:p>
        </w:tc>
        <w:tc>
          <w:tcPr>
            <w:tcW w:w="1060" w:type="dxa"/>
            <w:vAlign w:val="bottom"/>
            <w:tcBorders>
              <w:bottom w:val="single" w:sz="8" w:color="9A9A9A"/>
            </w:tcBorders>
          </w:tcPr>
          <w:p>
            <w:pPr>
              <w:spacing w:after="0"/>
              <w:rPr>
                <w:sz w:val="10"/>
                <w:szCs w:val="10"/>
                <w:color w:val="auto"/>
              </w:rPr>
            </w:pPr>
          </w:p>
        </w:tc>
        <w:tc>
          <w:tcPr>
            <w:tcW w:w="480" w:type="dxa"/>
            <w:vAlign w:val="bottom"/>
            <w:tcBorders>
              <w:bottom w:val="single" w:sz="8" w:color="9A9A9A"/>
            </w:tcBorders>
          </w:tcPr>
          <w:p>
            <w:pPr>
              <w:spacing w:after="0"/>
              <w:rPr>
                <w:sz w:val="10"/>
                <w:szCs w:val="10"/>
                <w:color w:val="auto"/>
              </w:rPr>
            </w:pPr>
          </w:p>
        </w:tc>
        <w:tc>
          <w:tcPr>
            <w:tcW w:w="180" w:type="dxa"/>
            <w:vAlign w:val="bottom"/>
            <w:tcBorders>
              <w:bottom w:val="single" w:sz="8" w:color="9A9A9A"/>
            </w:tcBorders>
          </w:tcPr>
          <w:p>
            <w:pPr>
              <w:spacing w:after="0"/>
              <w:rPr>
                <w:sz w:val="10"/>
                <w:szCs w:val="10"/>
                <w:color w:val="auto"/>
              </w:rPr>
            </w:pPr>
          </w:p>
        </w:tc>
        <w:tc>
          <w:tcPr>
            <w:tcW w:w="560" w:type="dxa"/>
            <w:vAlign w:val="bottom"/>
            <w:tcBorders>
              <w:bottom w:val="single" w:sz="8" w:color="9A9A9A"/>
            </w:tcBorders>
          </w:tcPr>
          <w:p>
            <w:pPr>
              <w:spacing w:after="0"/>
              <w:rPr>
                <w:sz w:val="10"/>
                <w:szCs w:val="10"/>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773" w:right="339" w:bottom="1440" w:gutter="0" w:footer="0" w:header="0"/>
        </w:sectPr>
      </w:pPr>
    </w:p>
    <w:bookmarkStart w:id="19" w:name="page20"/>
    <w:bookmarkEnd w:id="19"/>
    <w:p>
      <w:pPr>
        <w:ind w:firstLine="510"/>
        <w:spacing w:after="0" w:line="254" w:lineRule="auto"/>
        <w:rPr>
          <w:sz w:val="20"/>
          <w:szCs w:val="20"/>
          <w:color w:val="auto"/>
        </w:rPr>
      </w:pPr>
      <w:r>
        <w:rPr>
          <w:rFonts w:ascii="Arial" w:cs="Arial" w:eastAsia="Arial" w:hAnsi="Arial"/>
          <w:sz w:val="18"/>
          <w:szCs w:val="18"/>
          <w:color w:val="auto"/>
        </w:rPr>
        <w:t xml:space="preserve">Our effective tax rates for the three months ended March 31, 2021 and 2020 differ from the statutory rate of 21.0% primarily due </w:t>
      </w:r>
      <w:r>
        <w:rPr>
          <w:rFonts w:ascii="Arial" w:cs="Arial" w:eastAsia="Arial" w:hAnsi="Arial"/>
          <w:sz w:val="18"/>
          <w:szCs w:val="18"/>
          <w:color w:val="2E2E2E"/>
        </w:rPr>
        <w:t>to the composition</w:t>
      </w:r>
      <w:r>
        <w:rPr>
          <w:rFonts w:ascii="Arial" w:cs="Arial" w:eastAsia="Arial" w:hAnsi="Arial"/>
          <w:sz w:val="18"/>
          <w:szCs w:val="18"/>
          <w:color w:val="auto"/>
        </w:rPr>
        <w:t xml:space="preserve"> </w:t>
      </w:r>
      <w:r>
        <w:rPr>
          <w:rFonts w:ascii="Arial" w:cs="Arial" w:eastAsia="Arial" w:hAnsi="Arial"/>
          <w:sz w:val="18"/>
          <w:szCs w:val="18"/>
          <w:color w:val="2E2E2E"/>
        </w:rPr>
        <w:t xml:space="preserve">of income before income taxes from foreign and domestic tax jurisdictions, foreign income that is being taxed in the U.S. offset by foreign tax credits that are being limited and the recognition of windfall tax benefits from stock awards. The </w:t>
      </w:r>
      <w:r>
        <w:rPr>
          <w:rFonts w:ascii="Arial" w:cs="Arial" w:eastAsia="Arial" w:hAnsi="Arial"/>
          <w:sz w:val="18"/>
          <w:szCs w:val="18"/>
          <w:color w:val="000000"/>
        </w:rPr>
        <w:t>change in the effective tax rate for the three months ended March 31,</w:t>
      </w:r>
      <w:r>
        <w:rPr>
          <w:rFonts w:ascii="Arial" w:cs="Arial" w:eastAsia="Arial" w:hAnsi="Arial"/>
          <w:sz w:val="18"/>
          <w:szCs w:val="18"/>
          <w:color w:val="2E2E2E"/>
        </w:rPr>
        <w:t xml:space="preserve"> </w:t>
      </w:r>
      <w:r>
        <w:rPr>
          <w:rFonts w:ascii="Arial" w:cs="Arial" w:eastAsia="Arial" w:hAnsi="Arial"/>
          <w:sz w:val="18"/>
          <w:szCs w:val="18"/>
          <w:color w:val="000000"/>
        </w:rPr>
        <w:t>2021 compared to the prior year was primarily due to a decreased recognition of windfall tax benefits from stock awards and a proportionate change in the composition of income before income taxes from foreign and domestic tax jurisdictions. While we have income from multiple foreign sources, the majority of our non-U.S. operations are in the U.K. and India, where we anticipate the statutory tax rates to be 19.0% and, on a blended basis, 31.3%, respectively, in 2021. A future change in the composition of income before income taxes from foreign and domestic tax jurisdictions could impact our periodic effective tax rate.</w:t>
      </w:r>
    </w:p>
    <w:p>
      <w:pPr>
        <w:spacing w:after="0" w:line="21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Liquidity and Capital Resources</w:t>
      </w:r>
    </w:p>
    <w:p>
      <w:pPr>
        <w:spacing w:after="0" w:line="27" w:lineRule="exact"/>
        <w:rPr>
          <w:sz w:val="20"/>
          <w:szCs w:val="20"/>
          <w:color w:val="auto"/>
        </w:rPr>
      </w:pPr>
    </w:p>
    <w:p>
      <w:pPr>
        <w:ind w:right="140" w:firstLine="510"/>
        <w:spacing w:after="0" w:line="270" w:lineRule="auto"/>
        <w:rPr>
          <w:sz w:val="20"/>
          <w:szCs w:val="20"/>
          <w:color w:val="auto"/>
        </w:rPr>
      </w:pPr>
      <w:r>
        <w:rPr>
          <w:rFonts w:ascii="Arial" w:cs="Arial" w:eastAsia="Arial" w:hAnsi="Arial"/>
          <w:sz w:val="17"/>
          <w:szCs w:val="17"/>
          <w:color w:val="auto"/>
        </w:rPr>
        <w:t>Our principal cash requirements are to finance the costs of our operations pending the billing and collection of client receivables, to fund payments with respect to our indebtedness, to invest in research and development, to acquire complementary businesses or assets, to repurchase shares of our common stock and to pay dividends on our common stock. We expect our cash on hand, cash flows from operations and cash available under our Credit Agreement to provide sufficient liquidity to fund our current obligations, projected working capital requirements and capital spending for at least the next twelve months. We continue to evaluate and take action, as necessary, to preserve adequate liquidity. This includes limiting discretionary spending across the organization and re-prioritizing our capital projects amid the COVID-19 pandemic.</w:t>
      </w:r>
    </w:p>
    <w:p>
      <w:pPr>
        <w:spacing w:after="0" w:line="70" w:lineRule="exact"/>
        <w:rPr>
          <w:sz w:val="20"/>
          <w:szCs w:val="20"/>
          <w:color w:val="auto"/>
        </w:rPr>
      </w:pPr>
    </w:p>
    <w:p>
      <w:pPr>
        <w:ind w:left="520"/>
        <w:spacing w:after="0"/>
        <w:rPr>
          <w:sz w:val="20"/>
          <w:szCs w:val="20"/>
          <w:color w:val="auto"/>
        </w:rPr>
      </w:pPr>
      <w:r>
        <w:rPr>
          <w:rFonts w:ascii="Arial" w:cs="Arial" w:eastAsia="Arial" w:hAnsi="Arial"/>
          <w:sz w:val="18"/>
          <w:szCs w:val="18"/>
          <w:color w:val="auto"/>
        </w:rPr>
        <w:t>During the three months ended March 31, 2021, we paid a quarterly cash dividend of $0.16 per share of common stock totaling $41.2</w:t>
      </w:r>
    </w:p>
    <w:p>
      <w:pPr>
        <w:spacing w:after="0" w:line="23" w:lineRule="exact"/>
        <w:rPr>
          <w:sz w:val="20"/>
          <w:szCs w:val="20"/>
          <w:color w:val="auto"/>
        </w:rPr>
      </w:pPr>
    </w:p>
    <w:p>
      <w:pPr>
        <w:ind w:right="140"/>
        <w:spacing w:after="0" w:line="260" w:lineRule="auto"/>
        <w:rPr>
          <w:sz w:val="20"/>
          <w:szCs w:val="20"/>
          <w:color w:val="auto"/>
        </w:rPr>
      </w:pPr>
      <w:r>
        <w:rPr>
          <w:rFonts w:ascii="Arial" w:cs="Arial" w:eastAsia="Arial" w:hAnsi="Arial"/>
          <w:sz w:val="18"/>
          <w:szCs w:val="18"/>
          <w:color w:val="auto"/>
        </w:rPr>
        <w:t>million. During the three months ended March 31, 2020, we paid a quarterly cash dividend of $0.125 per share of common stock for each quarter totaling $31.9 million.</w:t>
      </w:r>
    </w:p>
    <w:p>
      <w:pPr>
        <w:spacing w:after="0" w:line="185" w:lineRule="exact"/>
        <w:rPr>
          <w:sz w:val="20"/>
          <w:szCs w:val="20"/>
          <w:color w:val="auto"/>
        </w:rPr>
      </w:pPr>
    </w:p>
    <w:p>
      <w:pPr>
        <w:ind w:right="20" w:firstLine="510"/>
        <w:spacing w:after="0" w:line="259" w:lineRule="auto"/>
        <w:rPr>
          <w:sz w:val="20"/>
          <w:szCs w:val="20"/>
          <w:color w:val="auto"/>
        </w:rPr>
      </w:pPr>
      <w:r>
        <w:rPr>
          <w:rFonts w:ascii="Arial" w:cs="Arial" w:eastAsia="Arial" w:hAnsi="Arial"/>
          <w:sz w:val="18"/>
          <w:szCs w:val="18"/>
          <w:color w:val="auto"/>
        </w:rPr>
        <w:t>Client funds obligations include our transfer agency client balances invested overnight as well as our contractual obligations to remit funds to satisfy client pharmacy claim obligations and are recorded on the Condensed Consolidated Balance Sheet when incurred, generally after a claim has been processed by us. Our contractual obligations to remit funds to satisfy client obligations are primarily sourced by funds held on behalf of clients. We had $2,030.0 million of client funds obligations at March 31, 2021.</w:t>
      </w:r>
    </w:p>
    <w:p>
      <w:pPr>
        <w:spacing w:after="0" w:line="187" w:lineRule="exact"/>
        <w:rPr>
          <w:sz w:val="20"/>
          <w:szCs w:val="20"/>
          <w:color w:val="auto"/>
        </w:rPr>
      </w:pPr>
    </w:p>
    <w:p>
      <w:pPr>
        <w:ind w:right="880" w:firstLine="510"/>
        <w:spacing w:after="0" w:line="277" w:lineRule="auto"/>
        <w:rPr>
          <w:sz w:val="20"/>
          <w:szCs w:val="20"/>
          <w:color w:val="auto"/>
        </w:rPr>
      </w:pPr>
      <w:r>
        <w:rPr>
          <w:rFonts w:ascii="Arial" w:cs="Arial" w:eastAsia="Arial" w:hAnsi="Arial"/>
          <w:sz w:val="18"/>
          <w:szCs w:val="18"/>
          <w:color w:val="auto"/>
        </w:rPr>
        <w:t>Cash flows from operating, investing and financing activities, as reflected in our Condensed Consolidated Statements of Cash Flows, are summarized in the following table (in millions):</w:t>
      </w:r>
    </w:p>
    <w:p>
      <w:pPr>
        <w:spacing w:after="0" w:line="40" w:lineRule="exact"/>
        <w:rPr>
          <w:sz w:val="20"/>
          <w:szCs w:val="20"/>
          <w:color w:val="auto"/>
        </w:rPr>
      </w:pPr>
    </w:p>
    <w:tbl>
      <w:tblPr>
        <w:tblLayout w:type="fixed"/>
        <w:tblInd w:w="580" w:type="dxa"/>
        <w:tblCellMar>
          <w:top w:w="0" w:type="dxa"/>
          <w:left w:w="0" w:type="dxa"/>
          <w:bottom w:w="0" w:type="dxa"/>
          <w:right w:w="0" w:type="dxa"/>
        </w:tblCellMar>
      </w:tblPr>
      <w:tr>
        <w:trPr>
          <w:trHeight w:val="171"/>
        </w:trPr>
        <w:tc>
          <w:tcPr>
            <w:tcW w:w="5720" w:type="dxa"/>
            <w:vAlign w:val="bottom"/>
          </w:tcPr>
          <w:p>
            <w:pPr>
              <w:spacing w:after="0"/>
              <w:rPr>
                <w:sz w:val="14"/>
                <w:szCs w:val="14"/>
                <w:color w:val="auto"/>
              </w:rPr>
            </w:pPr>
          </w:p>
        </w:tc>
        <w:tc>
          <w:tcPr>
            <w:tcW w:w="2480" w:type="dxa"/>
            <w:vAlign w:val="bottom"/>
            <w:tcBorders>
              <w:bottom w:val="single" w:sz="8" w:color="auto"/>
            </w:tcBorders>
            <w:gridSpan w:val="4"/>
          </w:tcPr>
          <w:p>
            <w:pPr>
              <w:jc w:val="right"/>
              <w:spacing w:after="0"/>
              <w:rPr>
                <w:sz w:val="20"/>
                <w:szCs w:val="20"/>
                <w:color w:val="auto"/>
              </w:rPr>
            </w:pPr>
            <w:r>
              <w:rPr>
                <w:rFonts w:ascii="Arial" w:cs="Arial" w:eastAsia="Arial" w:hAnsi="Arial"/>
                <w:sz w:val="14"/>
                <w:szCs w:val="14"/>
                <w:b w:val="1"/>
                <w:bCs w:val="1"/>
                <w:color w:val="auto"/>
              </w:rPr>
              <w:t>Three Months Ended March 31,</w:t>
            </w:r>
          </w:p>
        </w:tc>
        <w:tc>
          <w:tcPr>
            <w:tcW w:w="440" w:type="dxa"/>
            <w:vAlign w:val="bottom"/>
            <w:tcBorders>
              <w:bottom w:val="single" w:sz="8" w:color="auto"/>
            </w:tcBorders>
          </w:tcPr>
          <w:p>
            <w:pPr>
              <w:spacing w:after="0"/>
              <w:rPr>
                <w:sz w:val="14"/>
                <w:szCs w:val="14"/>
                <w:color w:val="auto"/>
              </w:rPr>
            </w:pPr>
          </w:p>
        </w:tc>
        <w:tc>
          <w:tcPr>
            <w:tcW w:w="1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1020" w:type="dxa"/>
            <w:vAlign w:val="bottom"/>
            <w:tcBorders>
              <w:bottom w:val="single" w:sz="8" w:color="auto"/>
            </w:tcBorders>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33"/>
        </w:trPr>
        <w:tc>
          <w:tcPr>
            <w:tcW w:w="5720" w:type="dxa"/>
            <w:vAlign w:val="bottom"/>
            <w:vMerge w:val="restart"/>
          </w:tcPr>
          <w:p>
            <w:pPr>
              <w:spacing w:after="0"/>
              <w:rPr>
                <w:sz w:val="20"/>
                <w:szCs w:val="20"/>
                <w:color w:val="auto"/>
              </w:rPr>
            </w:pPr>
            <w:r>
              <w:rPr>
                <w:rFonts w:ascii="Arial" w:cs="Arial" w:eastAsia="Arial" w:hAnsi="Arial"/>
                <w:sz w:val="16"/>
                <w:szCs w:val="16"/>
                <w:b w:val="1"/>
                <w:bCs w:val="1"/>
                <w:color w:val="auto"/>
              </w:rPr>
              <w:t>Net cash, cash equivalents and restricted cash provided by (used in):</w:t>
            </w:r>
          </w:p>
        </w:tc>
        <w:tc>
          <w:tcPr>
            <w:tcW w:w="900" w:type="dxa"/>
            <w:vAlign w:val="bottom"/>
            <w:vMerge w:val="restart"/>
          </w:tcPr>
          <w:p>
            <w:pPr>
              <w:jc w:val="right"/>
              <w:ind w:right="6"/>
              <w:spacing w:after="0"/>
              <w:rPr>
                <w:sz w:val="20"/>
                <w:szCs w:val="20"/>
                <w:color w:val="auto"/>
              </w:rPr>
            </w:pPr>
            <w:r>
              <w:rPr>
                <w:rFonts w:ascii="Arial" w:cs="Arial" w:eastAsia="Arial" w:hAnsi="Arial"/>
                <w:sz w:val="14"/>
                <w:szCs w:val="14"/>
                <w:b w:val="1"/>
                <w:bCs w:val="1"/>
                <w:color w:val="auto"/>
              </w:rPr>
              <w:t>2021</w:t>
            </w:r>
          </w:p>
        </w:tc>
        <w:tc>
          <w:tcPr>
            <w:tcW w:w="44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920" w:type="dxa"/>
            <w:vAlign w:val="bottom"/>
            <w:vMerge w:val="restart"/>
          </w:tcPr>
          <w:p>
            <w:pPr>
              <w:jc w:val="right"/>
              <w:ind w:right="25"/>
              <w:spacing w:after="0"/>
              <w:rPr>
                <w:sz w:val="20"/>
                <w:szCs w:val="20"/>
                <w:color w:val="auto"/>
              </w:rPr>
            </w:pPr>
            <w:r>
              <w:rPr>
                <w:rFonts w:ascii="Arial" w:cs="Arial" w:eastAsia="Arial" w:hAnsi="Arial"/>
                <w:sz w:val="14"/>
                <w:szCs w:val="14"/>
                <w:b w:val="1"/>
                <w:bCs w:val="1"/>
                <w:color w:val="auto"/>
              </w:rPr>
              <w:t>2020</w:t>
            </w:r>
          </w:p>
        </w:tc>
        <w:tc>
          <w:tcPr>
            <w:tcW w:w="4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020" w:type="dxa"/>
            <w:vAlign w:val="bottom"/>
          </w:tcPr>
          <w:p>
            <w:pPr>
              <w:jc w:val="right"/>
              <w:ind w:right="82"/>
              <w:spacing w:after="0" w:line="133" w:lineRule="exact"/>
              <w:rPr>
                <w:sz w:val="20"/>
                <w:szCs w:val="20"/>
                <w:color w:val="auto"/>
              </w:rPr>
            </w:pPr>
            <w:r>
              <w:rPr>
                <w:rFonts w:ascii="Arial" w:cs="Arial" w:eastAsia="Arial" w:hAnsi="Arial"/>
                <w:sz w:val="14"/>
                <w:szCs w:val="14"/>
                <w:b w:val="1"/>
                <w:bCs w:val="1"/>
                <w:color w:val="auto"/>
                <w:w w:val="93"/>
              </w:rPr>
              <w:t>Change From</w:t>
            </w: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71"/>
        </w:trPr>
        <w:tc>
          <w:tcPr>
            <w:tcW w:w="5720" w:type="dxa"/>
            <w:vAlign w:val="bottom"/>
            <w:tcBorders>
              <w:bottom w:val="single" w:sz="8" w:color="CFF0FC"/>
            </w:tcBorders>
            <w:vMerge w:val="continue"/>
          </w:tcPr>
          <w:p>
            <w:pPr>
              <w:spacing w:after="0"/>
              <w:rPr>
                <w:sz w:val="14"/>
                <w:szCs w:val="14"/>
                <w:color w:val="auto"/>
              </w:rPr>
            </w:pPr>
          </w:p>
        </w:tc>
        <w:tc>
          <w:tcPr>
            <w:tcW w:w="900" w:type="dxa"/>
            <w:vAlign w:val="bottom"/>
            <w:tcBorders>
              <w:bottom w:val="single" w:sz="8" w:color="auto"/>
            </w:tcBorders>
            <w:vMerge w:val="continue"/>
          </w:tcPr>
          <w:p>
            <w:pPr>
              <w:spacing w:after="0"/>
              <w:rPr>
                <w:sz w:val="14"/>
                <w:szCs w:val="14"/>
                <w:color w:val="auto"/>
              </w:rPr>
            </w:pPr>
          </w:p>
        </w:tc>
        <w:tc>
          <w:tcPr>
            <w:tcW w:w="440" w:type="dxa"/>
            <w:vAlign w:val="bottom"/>
            <w:tcBorders>
              <w:bottom w:val="single" w:sz="8" w:color="auto"/>
            </w:tcBorders>
          </w:tcPr>
          <w:p>
            <w:pPr>
              <w:spacing w:after="0"/>
              <w:rPr>
                <w:sz w:val="14"/>
                <w:szCs w:val="14"/>
                <w:color w:val="auto"/>
              </w:rPr>
            </w:pPr>
          </w:p>
        </w:tc>
        <w:tc>
          <w:tcPr>
            <w:tcW w:w="220" w:type="dxa"/>
            <w:vAlign w:val="bottom"/>
            <w:tcBorders>
              <w:bottom w:val="single" w:sz="8" w:color="CFF0FC"/>
            </w:tcBorders>
          </w:tcPr>
          <w:p>
            <w:pPr>
              <w:spacing w:after="0"/>
              <w:rPr>
                <w:sz w:val="14"/>
                <w:szCs w:val="14"/>
                <w:color w:val="auto"/>
              </w:rPr>
            </w:pPr>
          </w:p>
        </w:tc>
        <w:tc>
          <w:tcPr>
            <w:tcW w:w="920" w:type="dxa"/>
            <w:vAlign w:val="bottom"/>
            <w:tcBorders>
              <w:bottom w:val="single" w:sz="8" w:color="auto"/>
            </w:tcBorders>
            <w:vMerge w:val="continue"/>
          </w:tcPr>
          <w:p>
            <w:pPr>
              <w:spacing w:after="0"/>
              <w:rPr>
                <w:sz w:val="14"/>
                <w:szCs w:val="14"/>
                <w:color w:val="auto"/>
              </w:rPr>
            </w:pPr>
          </w:p>
        </w:tc>
        <w:tc>
          <w:tcPr>
            <w:tcW w:w="440" w:type="dxa"/>
            <w:vAlign w:val="bottom"/>
            <w:tcBorders>
              <w:bottom w:val="single" w:sz="8" w:color="auto"/>
            </w:tcBorders>
          </w:tcPr>
          <w:p>
            <w:pPr>
              <w:spacing w:after="0"/>
              <w:rPr>
                <w:sz w:val="14"/>
                <w:szCs w:val="14"/>
                <w:color w:val="auto"/>
              </w:rPr>
            </w:pPr>
          </w:p>
        </w:tc>
        <w:tc>
          <w:tcPr>
            <w:tcW w:w="140" w:type="dxa"/>
            <w:vAlign w:val="bottom"/>
            <w:tcBorders>
              <w:bottom w:val="single" w:sz="8" w:color="CFF0FC"/>
            </w:tcBorders>
          </w:tcPr>
          <w:p>
            <w:pPr>
              <w:spacing w:after="0"/>
              <w:rPr>
                <w:sz w:val="14"/>
                <w:szCs w:val="14"/>
                <w:color w:val="auto"/>
              </w:rPr>
            </w:pPr>
          </w:p>
        </w:tc>
        <w:tc>
          <w:tcPr>
            <w:tcW w:w="80" w:type="dxa"/>
            <w:vAlign w:val="bottom"/>
            <w:tcBorders>
              <w:bottom w:val="single" w:sz="8" w:color="CFF0FC"/>
            </w:tcBorders>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1020" w:type="dxa"/>
            <w:vAlign w:val="bottom"/>
            <w:tcBorders>
              <w:bottom w:val="single" w:sz="8" w:color="auto"/>
            </w:tcBorders>
          </w:tcPr>
          <w:p>
            <w:pPr>
              <w:jc w:val="right"/>
              <w:ind w:right="162"/>
              <w:spacing w:after="0"/>
              <w:rPr>
                <w:sz w:val="20"/>
                <w:szCs w:val="20"/>
                <w:color w:val="auto"/>
              </w:rPr>
            </w:pPr>
            <w:r>
              <w:rPr>
                <w:rFonts w:ascii="Arial" w:cs="Arial" w:eastAsia="Arial" w:hAnsi="Arial"/>
                <w:sz w:val="14"/>
                <w:szCs w:val="14"/>
                <w:b w:val="1"/>
                <w:bCs w:val="1"/>
                <w:color w:val="auto"/>
              </w:rPr>
              <w:t>Prior Year</w:t>
            </w:r>
          </w:p>
        </w:tc>
        <w:tc>
          <w:tcPr>
            <w:tcW w:w="100" w:type="dxa"/>
            <w:vAlign w:val="bottom"/>
            <w:tcBorders>
              <w:bottom w:val="single" w:sz="8" w:color="CFF0FC"/>
            </w:tcBorders>
          </w:tcPr>
          <w:p>
            <w:pPr>
              <w:spacing w:after="0"/>
              <w:rPr>
                <w:sz w:val="14"/>
                <w:szCs w:val="14"/>
                <w:color w:val="auto"/>
              </w:rPr>
            </w:pPr>
          </w:p>
        </w:tc>
        <w:tc>
          <w:tcPr>
            <w:tcW w:w="0" w:type="dxa"/>
            <w:vAlign w:val="bottom"/>
          </w:tcPr>
          <w:p>
            <w:pPr>
              <w:spacing w:after="0"/>
              <w:rPr>
                <w:sz w:val="1"/>
                <w:szCs w:val="1"/>
                <w:color w:val="auto"/>
              </w:rPr>
            </w:pPr>
          </w:p>
        </w:tc>
      </w:tr>
      <w:tr>
        <w:trPr>
          <w:trHeight w:val="236"/>
        </w:trPr>
        <w:tc>
          <w:tcPr>
            <w:tcW w:w="5720" w:type="dxa"/>
            <w:vAlign w:val="bottom"/>
            <w:shd w:val="clear" w:color="auto" w:fill="CFF0FC"/>
          </w:tcPr>
          <w:p>
            <w:pPr>
              <w:ind w:left="480"/>
              <w:spacing w:after="0"/>
              <w:rPr>
                <w:sz w:val="20"/>
                <w:szCs w:val="20"/>
                <w:color w:val="auto"/>
              </w:rPr>
            </w:pPr>
            <w:r>
              <w:rPr>
                <w:rFonts w:ascii="Arial" w:cs="Arial" w:eastAsia="Arial" w:hAnsi="Arial"/>
                <w:sz w:val="16"/>
                <w:szCs w:val="16"/>
                <w:color w:val="auto"/>
              </w:rPr>
              <w:t>Operating activities</w:t>
            </w:r>
          </w:p>
        </w:tc>
        <w:tc>
          <w:tcPr>
            <w:tcW w:w="900" w:type="dxa"/>
            <w:vAlign w:val="bottom"/>
            <w:shd w:val="clear" w:color="auto" w:fill="CFF0FC"/>
          </w:tcPr>
          <w:p>
            <w:pPr>
              <w:jc w:val="right"/>
              <w:ind w:right="746"/>
              <w:spacing w:after="0"/>
              <w:rPr>
                <w:sz w:val="20"/>
                <w:szCs w:val="20"/>
                <w:color w:val="auto"/>
              </w:rPr>
            </w:pPr>
            <w:r>
              <w:rPr>
                <w:rFonts w:ascii="Arial" w:cs="Arial" w:eastAsia="Arial" w:hAnsi="Arial"/>
                <w:sz w:val="15"/>
                <w:szCs w:val="15"/>
                <w:color w:val="auto"/>
                <w:w w:val="71"/>
              </w:rPr>
              <w:t>$</w:t>
            </w:r>
          </w:p>
        </w:tc>
        <w:tc>
          <w:tcPr>
            <w:tcW w:w="440" w:type="dxa"/>
            <w:vAlign w:val="bottom"/>
            <w:shd w:val="clear" w:color="auto" w:fill="CFF0FC"/>
          </w:tcPr>
          <w:p>
            <w:pPr>
              <w:jc w:val="right"/>
              <w:spacing w:after="0"/>
              <w:rPr>
                <w:sz w:val="20"/>
                <w:szCs w:val="20"/>
                <w:color w:val="auto"/>
              </w:rPr>
            </w:pPr>
            <w:r>
              <w:rPr>
                <w:rFonts w:ascii="Arial" w:cs="Arial" w:eastAsia="Arial" w:hAnsi="Arial"/>
                <w:sz w:val="16"/>
                <w:szCs w:val="16"/>
                <w:color w:val="auto"/>
              </w:rPr>
              <w:t>185.7</w:t>
            </w:r>
          </w:p>
        </w:tc>
        <w:tc>
          <w:tcPr>
            <w:tcW w:w="220" w:type="dxa"/>
            <w:vAlign w:val="bottom"/>
            <w:shd w:val="clear" w:color="auto" w:fill="CFF0FC"/>
          </w:tcPr>
          <w:p>
            <w:pPr>
              <w:spacing w:after="0"/>
              <w:rPr>
                <w:sz w:val="20"/>
                <w:szCs w:val="20"/>
                <w:color w:val="auto"/>
              </w:rPr>
            </w:pPr>
          </w:p>
        </w:tc>
        <w:tc>
          <w:tcPr>
            <w:tcW w:w="920" w:type="dxa"/>
            <w:vAlign w:val="bottom"/>
            <w:shd w:val="clear" w:color="auto" w:fill="CFF0FC"/>
          </w:tcPr>
          <w:p>
            <w:pPr>
              <w:jc w:val="right"/>
              <w:ind w:right="765"/>
              <w:spacing w:after="0"/>
              <w:rPr>
                <w:sz w:val="20"/>
                <w:szCs w:val="20"/>
                <w:color w:val="auto"/>
              </w:rPr>
            </w:pPr>
            <w:r>
              <w:rPr>
                <w:rFonts w:ascii="Arial" w:cs="Arial" w:eastAsia="Arial" w:hAnsi="Arial"/>
                <w:sz w:val="15"/>
                <w:szCs w:val="15"/>
                <w:color w:val="auto"/>
                <w:w w:val="71"/>
              </w:rPr>
              <w:t>$</w:t>
            </w:r>
          </w:p>
        </w:tc>
        <w:tc>
          <w:tcPr>
            <w:tcW w:w="440" w:type="dxa"/>
            <w:vAlign w:val="bottom"/>
            <w:shd w:val="clear" w:color="auto" w:fill="CFF0FC"/>
          </w:tcPr>
          <w:p>
            <w:pPr>
              <w:jc w:val="right"/>
              <w:spacing w:after="0"/>
              <w:rPr>
                <w:sz w:val="20"/>
                <w:szCs w:val="20"/>
                <w:color w:val="auto"/>
              </w:rPr>
            </w:pPr>
            <w:r>
              <w:rPr>
                <w:rFonts w:ascii="Arial" w:cs="Arial" w:eastAsia="Arial" w:hAnsi="Arial"/>
                <w:sz w:val="16"/>
                <w:szCs w:val="16"/>
                <w:color w:val="auto"/>
              </w:rPr>
              <w:t>147.7</w:t>
            </w:r>
          </w:p>
        </w:tc>
        <w:tc>
          <w:tcPr>
            <w:tcW w:w="140" w:type="dxa"/>
            <w:vAlign w:val="bottom"/>
            <w:shd w:val="clear" w:color="auto" w:fill="CFF0FC"/>
          </w:tcPr>
          <w:p>
            <w:pPr>
              <w:spacing w:after="0"/>
              <w:rPr>
                <w:sz w:val="20"/>
                <w:szCs w:val="20"/>
                <w:color w:val="auto"/>
              </w:rPr>
            </w:pPr>
          </w:p>
        </w:tc>
        <w:tc>
          <w:tcPr>
            <w:tcW w:w="200" w:type="dxa"/>
            <w:vAlign w:val="bottom"/>
            <w:gridSpan w:val="2"/>
            <w:shd w:val="clear" w:color="auto" w:fill="CFF0FC"/>
          </w:tcPr>
          <w:p>
            <w:pPr>
              <w:jc w:val="right"/>
              <w:ind w:right="40"/>
              <w:spacing w:after="0"/>
              <w:rPr>
                <w:sz w:val="20"/>
                <w:szCs w:val="20"/>
                <w:color w:val="auto"/>
              </w:rPr>
            </w:pPr>
            <w:r>
              <w:rPr>
                <w:rFonts w:ascii="Arial" w:cs="Arial" w:eastAsia="Arial" w:hAnsi="Arial"/>
                <w:sz w:val="16"/>
                <w:szCs w:val="16"/>
                <w:color w:val="auto"/>
              </w:rPr>
              <w:t>$</w:t>
            </w:r>
          </w:p>
        </w:tc>
        <w:tc>
          <w:tcPr>
            <w:tcW w:w="1020" w:type="dxa"/>
            <w:vAlign w:val="bottom"/>
            <w:shd w:val="clear" w:color="auto" w:fill="CFF0FC"/>
          </w:tcPr>
          <w:p>
            <w:pPr>
              <w:jc w:val="right"/>
              <w:spacing w:after="0"/>
              <w:rPr>
                <w:sz w:val="20"/>
                <w:szCs w:val="20"/>
                <w:color w:val="auto"/>
              </w:rPr>
            </w:pPr>
            <w:r>
              <w:rPr>
                <w:rFonts w:ascii="Arial" w:cs="Arial" w:eastAsia="Arial" w:hAnsi="Arial"/>
                <w:sz w:val="16"/>
                <w:szCs w:val="16"/>
                <w:color w:val="auto"/>
              </w:rPr>
              <w:t>38.0</w:t>
            </w:r>
          </w:p>
        </w:tc>
        <w:tc>
          <w:tcPr>
            <w:tcW w:w="100" w:type="dxa"/>
            <w:vAlign w:val="bottom"/>
            <w:shd w:val="clear" w:color="auto" w:fill="CFF0FC"/>
          </w:tcPr>
          <w:p>
            <w:pPr>
              <w:spacing w:after="0"/>
              <w:rPr>
                <w:sz w:val="20"/>
                <w:szCs w:val="20"/>
                <w:color w:val="auto"/>
              </w:rPr>
            </w:pPr>
          </w:p>
        </w:tc>
        <w:tc>
          <w:tcPr>
            <w:tcW w:w="0" w:type="dxa"/>
            <w:vAlign w:val="bottom"/>
          </w:tcPr>
          <w:p>
            <w:pPr>
              <w:spacing w:after="0"/>
              <w:rPr>
                <w:sz w:val="1"/>
                <w:szCs w:val="1"/>
                <w:color w:val="auto"/>
              </w:rPr>
            </w:pPr>
          </w:p>
        </w:tc>
      </w:tr>
      <w:tr>
        <w:trPr>
          <w:trHeight w:val="240"/>
        </w:trPr>
        <w:tc>
          <w:tcPr>
            <w:tcW w:w="5720" w:type="dxa"/>
            <w:vAlign w:val="bottom"/>
          </w:tcPr>
          <w:p>
            <w:pPr>
              <w:ind w:left="480"/>
              <w:spacing w:after="0"/>
              <w:rPr>
                <w:sz w:val="20"/>
                <w:szCs w:val="20"/>
                <w:color w:val="auto"/>
              </w:rPr>
            </w:pPr>
            <w:r>
              <w:rPr>
                <w:rFonts w:ascii="Arial" w:cs="Arial" w:eastAsia="Arial" w:hAnsi="Arial"/>
                <w:sz w:val="16"/>
                <w:szCs w:val="16"/>
                <w:color w:val="auto"/>
              </w:rPr>
              <w:t>Investing activities</w:t>
            </w:r>
          </w:p>
        </w:tc>
        <w:tc>
          <w:tcPr>
            <w:tcW w:w="900" w:type="dxa"/>
            <w:vAlign w:val="bottom"/>
          </w:tcPr>
          <w:p>
            <w:pPr>
              <w:spacing w:after="0"/>
              <w:rPr>
                <w:sz w:val="20"/>
                <w:szCs w:val="20"/>
                <w:color w:val="auto"/>
              </w:rPr>
            </w:pPr>
          </w:p>
        </w:tc>
        <w:tc>
          <w:tcPr>
            <w:tcW w:w="660" w:type="dxa"/>
            <w:vAlign w:val="bottom"/>
            <w:gridSpan w:val="2"/>
          </w:tcPr>
          <w:p>
            <w:pPr>
              <w:jc w:val="right"/>
              <w:ind w:right="160"/>
              <w:spacing w:after="0"/>
              <w:rPr>
                <w:sz w:val="20"/>
                <w:szCs w:val="20"/>
                <w:color w:val="auto"/>
              </w:rPr>
            </w:pPr>
            <w:r>
              <w:rPr>
                <w:rFonts w:ascii="Arial" w:cs="Arial" w:eastAsia="Arial" w:hAnsi="Arial"/>
                <w:sz w:val="16"/>
                <w:szCs w:val="16"/>
                <w:color w:val="auto"/>
              </w:rPr>
              <w:t>(17.9)</w:t>
            </w:r>
          </w:p>
        </w:tc>
        <w:tc>
          <w:tcPr>
            <w:tcW w:w="920" w:type="dxa"/>
            <w:vAlign w:val="bottom"/>
          </w:tcPr>
          <w:p>
            <w:pPr>
              <w:spacing w:after="0"/>
              <w:rPr>
                <w:sz w:val="20"/>
                <w:szCs w:val="20"/>
                <w:color w:val="auto"/>
              </w:rPr>
            </w:pPr>
          </w:p>
        </w:tc>
        <w:tc>
          <w:tcPr>
            <w:tcW w:w="580" w:type="dxa"/>
            <w:vAlign w:val="bottom"/>
            <w:gridSpan w:val="2"/>
          </w:tcPr>
          <w:p>
            <w:pPr>
              <w:jc w:val="right"/>
              <w:ind w:right="80"/>
              <w:spacing w:after="0"/>
              <w:rPr>
                <w:sz w:val="20"/>
                <w:szCs w:val="20"/>
                <w:color w:val="auto"/>
              </w:rPr>
            </w:pPr>
            <w:r>
              <w:rPr>
                <w:rFonts w:ascii="Arial" w:cs="Arial" w:eastAsia="Arial" w:hAnsi="Arial"/>
                <w:sz w:val="16"/>
                <w:szCs w:val="16"/>
                <w:color w:val="auto"/>
              </w:rPr>
              <w:t>(73.3)</w:t>
            </w:r>
          </w:p>
        </w:tc>
        <w:tc>
          <w:tcPr>
            <w:tcW w:w="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020" w:type="dxa"/>
            <w:vAlign w:val="bottom"/>
          </w:tcPr>
          <w:p>
            <w:pPr>
              <w:jc w:val="right"/>
              <w:spacing w:after="0"/>
              <w:rPr>
                <w:sz w:val="20"/>
                <w:szCs w:val="20"/>
                <w:color w:val="auto"/>
              </w:rPr>
            </w:pPr>
            <w:r>
              <w:rPr>
                <w:rFonts w:ascii="Arial" w:cs="Arial" w:eastAsia="Arial" w:hAnsi="Arial"/>
                <w:sz w:val="16"/>
                <w:szCs w:val="16"/>
                <w:color w:val="auto"/>
              </w:rPr>
              <w:t>55.4</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46"/>
        </w:trPr>
        <w:tc>
          <w:tcPr>
            <w:tcW w:w="5720" w:type="dxa"/>
            <w:vAlign w:val="bottom"/>
            <w:shd w:val="clear" w:color="auto" w:fill="CFF0FC"/>
          </w:tcPr>
          <w:p>
            <w:pPr>
              <w:ind w:left="480"/>
              <w:spacing w:after="0"/>
              <w:rPr>
                <w:sz w:val="20"/>
                <w:szCs w:val="20"/>
                <w:color w:val="auto"/>
              </w:rPr>
            </w:pPr>
            <w:r>
              <w:rPr>
                <w:rFonts w:ascii="Arial" w:cs="Arial" w:eastAsia="Arial" w:hAnsi="Arial"/>
                <w:sz w:val="16"/>
                <w:szCs w:val="16"/>
                <w:color w:val="auto"/>
              </w:rPr>
              <w:t>Financing activities</w:t>
            </w:r>
          </w:p>
        </w:tc>
        <w:tc>
          <w:tcPr>
            <w:tcW w:w="900" w:type="dxa"/>
            <w:vAlign w:val="bottom"/>
            <w:shd w:val="clear" w:color="auto" w:fill="CFF0FC"/>
          </w:tcPr>
          <w:p>
            <w:pPr>
              <w:spacing w:after="0"/>
              <w:rPr>
                <w:sz w:val="21"/>
                <w:szCs w:val="21"/>
                <w:color w:val="auto"/>
              </w:rPr>
            </w:pPr>
          </w:p>
        </w:tc>
        <w:tc>
          <w:tcPr>
            <w:tcW w:w="440" w:type="dxa"/>
            <w:vAlign w:val="bottom"/>
            <w:shd w:val="clear" w:color="auto" w:fill="CFF0FC"/>
          </w:tcPr>
          <w:p>
            <w:pPr>
              <w:jc w:val="right"/>
              <w:spacing w:after="0"/>
              <w:rPr>
                <w:sz w:val="20"/>
                <w:szCs w:val="20"/>
                <w:color w:val="auto"/>
              </w:rPr>
            </w:pPr>
            <w:r>
              <w:rPr>
                <w:rFonts w:ascii="Arial" w:cs="Arial" w:eastAsia="Arial" w:hAnsi="Arial"/>
                <w:sz w:val="16"/>
                <w:szCs w:val="16"/>
                <w:color w:val="auto"/>
              </w:rPr>
              <w:t>653.7</w:t>
            </w:r>
          </w:p>
        </w:tc>
        <w:tc>
          <w:tcPr>
            <w:tcW w:w="220" w:type="dxa"/>
            <w:vAlign w:val="bottom"/>
            <w:shd w:val="clear" w:color="auto" w:fill="CFF0FC"/>
          </w:tcPr>
          <w:p>
            <w:pPr>
              <w:spacing w:after="0"/>
              <w:rPr>
                <w:sz w:val="21"/>
                <w:szCs w:val="21"/>
                <w:color w:val="auto"/>
              </w:rPr>
            </w:pPr>
          </w:p>
        </w:tc>
        <w:tc>
          <w:tcPr>
            <w:tcW w:w="920" w:type="dxa"/>
            <w:vAlign w:val="bottom"/>
            <w:shd w:val="clear" w:color="auto" w:fill="CFF0FC"/>
          </w:tcPr>
          <w:p>
            <w:pPr>
              <w:spacing w:after="0"/>
              <w:rPr>
                <w:sz w:val="21"/>
                <w:szCs w:val="21"/>
                <w:color w:val="auto"/>
              </w:rPr>
            </w:pPr>
          </w:p>
        </w:tc>
        <w:tc>
          <w:tcPr>
            <w:tcW w:w="580" w:type="dxa"/>
            <w:vAlign w:val="bottom"/>
            <w:gridSpan w:val="2"/>
            <w:shd w:val="clear" w:color="auto" w:fill="CFF0FC"/>
          </w:tcPr>
          <w:p>
            <w:pPr>
              <w:jc w:val="right"/>
              <w:ind w:right="80"/>
              <w:spacing w:after="0"/>
              <w:rPr>
                <w:sz w:val="20"/>
                <w:szCs w:val="20"/>
                <w:color w:val="auto"/>
              </w:rPr>
            </w:pPr>
            <w:r>
              <w:rPr>
                <w:rFonts w:ascii="Arial" w:cs="Arial" w:eastAsia="Arial" w:hAnsi="Arial"/>
                <w:sz w:val="16"/>
                <w:szCs w:val="16"/>
                <w:color w:val="auto"/>
                <w:w w:val="94"/>
              </w:rPr>
              <w:t>(517.7)</w:t>
            </w:r>
          </w:p>
        </w:tc>
        <w:tc>
          <w:tcPr>
            <w:tcW w:w="80" w:type="dxa"/>
            <w:vAlign w:val="bottom"/>
            <w:shd w:val="clear" w:color="auto" w:fill="CFF0FC"/>
          </w:tcPr>
          <w:p>
            <w:pPr>
              <w:spacing w:after="0"/>
              <w:rPr>
                <w:sz w:val="21"/>
                <w:szCs w:val="21"/>
                <w:color w:val="auto"/>
              </w:rPr>
            </w:pPr>
          </w:p>
        </w:tc>
        <w:tc>
          <w:tcPr>
            <w:tcW w:w="120" w:type="dxa"/>
            <w:vAlign w:val="bottom"/>
            <w:shd w:val="clear" w:color="auto" w:fill="CFF0FC"/>
          </w:tcPr>
          <w:p>
            <w:pPr>
              <w:spacing w:after="0"/>
              <w:rPr>
                <w:sz w:val="21"/>
                <w:szCs w:val="21"/>
                <w:color w:val="auto"/>
              </w:rPr>
            </w:pPr>
          </w:p>
        </w:tc>
        <w:tc>
          <w:tcPr>
            <w:tcW w:w="1020" w:type="dxa"/>
            <w:vAlign w:val="bottom"/>
            <w:shd w:val="clear" w:color="auto" w:fill="CFF0FC"/>
          </w:tcPr>
          <w:p>
            <w:pPr>
              <w:jc w:val="right"/>
              <w:spacing w:after="0"/>
              <w:rPr>
                <w:sz w:val="20"/>
                <w:szCs w:val="20"/>
                <w:color w:val="auto"/>
              </w:rPr>
            </w:pPr>
            <w:r>
              <w:rPr>
                <w:rFonts w:ascii="Arial" w:cs="Arial" w:eastAsia="Arial" w:hAnsi="Arial"/>
                <w:sz w:val="16"/>
                <w:szCs w:val="16"/>
                <w:color w:val="auto"/>
              </w:rPr>
              <w:t>1,171.4</w:t>
            </w:r>
          </w:p>
        </w:tc>
        <w:tc>
          <w:tcPr>
            <w:tcW w:w="100" w:type="dxa"/>
            <w:vAlign w:val="bottom"/>
            <w:shd w:val="clear" w:color="auto" w:fill="CFF0FC"/>
          </w:tcPr>
          <w:p>
            <w:pPr>
              <w:spacing w:after="0"/>
              <w:rPr>
                <w:sz w:val="21"/>
                <w:szCs w:val="21"/>
                <w:color w:val="auto"/>
              </w:rPr>
            </w:pPr>
          </w:p>
        </w:tc>
        <w:tc>
          <w:tcPr>
            <w:tcW w:w="0" w:type="dxa"/>
            <w:vAlign w:val="bottom"/>
          </w:tcPr>
          <w:p>
            <w:pPr>
              <w:spacing w:after="0"/>
              <w:rPr>
                <w:sz w:val="1"/>
                <w:szCs w:val="1"/>
                <w:color w:val="auto"/>
              </w:rPr>
            </w:pPr>
          </w:p>
        </w:tc>
      </w:tr>
      <w:tr>
        <w:trPr>
          <w:trHeight w:val="240"/>
        </w:trPr>
        <w:tc>
          <w:tcPr>
            <w:tcW w:w="5720" w:type="dxa"/>
            <w:vAlign w:val="bottom"/>
          </w:tcPr>
          <w:p>
            <w:pPr>
              <w:ind w:left="240"/>
              <w:spacing w:after="0"/>
              <w:rPr>
                <w:sz w:val="20"/>
                <w:szCs w:val="20"/>
                <w:color w:val="auto"/>
              </w:rPr>
            </w:pPr>
            <w:r>
              <w:rPr>
                <w:rFonts w:ascii="Arial" w:cs="Arial" w:eastAsia="Arial" w:hAnsi="Arial"/>
                <w:sz w:val="16"/>
                <w:szCs w:val="16"/>
                <w:color w:val="auto"/>
                <w:w w:val="97"/>
              </w:rPr>
              <w:t>Effect of exchange rate changes on cash, cash equivalents and restricted cash</w:t>
            </w:r>
          </w:p>
        </w:tc>
        <w:tc>
          <w:tcPr>
            <w:tcW w:w="900" w:type="dxa"/>
            <w:vAlign w:val="bottom"/>
          </w:tcPr>
          <w:p>
            <w:pPr>
              <w:spacing w:after="0"/>
              <w:rPr>
                <w:sz w:val="20"/>
                <w:szCs w:val="20"/>
                <w:color w:val="auto"/>
              </w:rPr>
            </w:pPr>
          </w:p>
        </w:tc>
        <w:tc>
          <w:tcPr>
            <w:tcW w:w="660" w:type="dxa"/>
            <w:vAlign w:val="bottom"/>
            <w:gridSpan w:val="2"/>
          </w:tcPr>
          <w:p>
            <w:pPr>
              <w:jc w:val="right"/>
              <w:ind w:right="160"/>
              <w:spacing w:after="0"/>
              <w:rPr>
                <w:sz w:val="20"/>
                <w:szCs w:val="20"/>
                <w:color w:val="auto"/>
              </w:rPr>
            </w:pPr>
            <w:r>
              <w:rPr>
                <w:rFonts w:ascii="Arial" w:cs="Arial" w:eastAsia="Arial" w:hAnsi="Arial"/>
                <w:sz w:val="16"/>
                <w:szCs w:val="16"/>
                <w:color w:val="auto"/>
              </w:rPr>
              <w:t>(1.7)</w:t>
            </w:r>
          </w:p>
        </w:tc>
        <w:tc>
          <w:tcPr>
            <w:tcW w:w="920" w:type="dxa"/>
            <w:vAlign w:val="bottom"/>
          </w:tcPr>
          <w:p>
            <w:pPr>
              <w:spacing w:after="0"/>
              <w:rPr>
                <w:sz w:val="20"/>
                <w:szCs w:val="20"/>
                <w:color w:val="auto"/>
              </w:rPr>
            </w:pPr>
          </w:p>
        </w:tc>
        <w:tc>
          <w:tcPr>
            <w:tcW w:w="580" w:type="dxa"/>
            <w:vAlign w:val="bottom"/>
            <w:gridSpan w:val="2"/>
          </w:tcPr>
          <w:p>
            <w:pPr>
              <w:jc w:val="right"/>
              <w:ind w:right="80"/>
              <w:spacing w:after="0"/>
              <w:rPr>
                <w:sz w:val="20"/>
                <w:szCs w:val="20"/>
                <w:color w:val="auto"/>
              </w:rPr>
            </w:pPr>
            <w:r>
              <w:rPr>
                <w:rFonts w:ascii="Arial" w:cs="Arial" w:eastAsia="Arial" w:hAnsi="Arial"/>
                <w:sz w:val="16"/>
                <w:szCs w:val="16"/>
                <w:color w:val="auto"/>
              </w:rPr>
              <w:t>(7.1)</w:t>
            </w:r>
          </w:p>
        </w:tc>
        <w:tc>
          <w:tcPr>
            <w:tcW w:w="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020" w:type="dxa"/>
            <w:vAlign w:val="bottom"/>
          </w:tcPr>
          <w:p>
            <w:pPr>
              <w:jc w:val="right"/>
              <w:spacing w:after="0"/>
              <w:rPr>
                <w:sz w:val="20"/>
                <w:szCs w:val="20"/>
                <w:color w:val="auto"/>
              </w:rPr>
            </w:pPr>
            <w:r>
              <w:rPr>
                <w:rFonts w:ascii="Arial" w:cs="Arial" w:eastAsia="Arial" w:hAnsi="Arial"/>
                <w:sz w:val="16"/>
                <w:szCs w:val="16"/>
                <w:color w:val="auto"/>
              </w:rPr>
              <w:t>5.4</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0"/>
        </w:trPr>
        <w:tc>
          <w:tcPr>
            <w:tcW w:w="5720" w:type="dxa"/>
            <w:vAlign w:val="bottom"/>
            <w:shd w:val="clear" w:color="auto" w:fill="CFF0FC"/>
          </w:tcPr>
          <w:p>
            <w:pPr>
              <w:spacing w:after="0" w:line="20" w:lineRule="exact"/>
              <w:rPr>
                <w:sz w:val="1"/>
                <w:szCs w:val="1"/>
                <w:color w:val="auto"/>
              </w:rPr>
            </w:pPr>
          </w:p>
        </w:tc>
        <w:tc>
          <w:tcPr>
            <w:tcW w:w="900" w:type="dxa"/>
            <w:vAlign w:val="bottom"/>
            <w:shd w:val="clear" w:color="auto" w:fill="000000"/>
          </w:tcPr>
          <w:p>
            <w:pPr>
              <w:spacing w:after="0" w:line="20" w:lineRule="exact"/>
              <w:rPr>
                <w:sz w:val="1"/>
                <w:szCs w:val="1"/>
                <w:color w:val="auto"/>
              </w:rPr>
            </w:pPr>
          </w:p>
        </w:tc>
        <w:tc>
          <w:tcPr>
            <w:tcW w:w="440" w:type="dxa"/>
            <w:vAlign w:val="bottom"/>
            <w:shd w:val="clear" w:color="auto" w:fill="000000"/>
          </w:tcPr>
          <w:p>
            <w:pPr>
              <w:spacing w:after="0" w:line="20" w:lineRule="exact"/>
              <w:rPr>
                <w:sz w:val="1"/>
                <w:szCs w:val="1"/>
                <w:color w:val="auto"/>
              </w:rPr>
            </w:pPr>
          </w:p>
        </w:tc>
        <w:tc>
          <w:tcPr>
            <w:tcW w:w="220" w:type="dxa"/>
            <w:vAlign w:val="bottom"/>
            <w:shd w:val="clear" w:color="auto" w:fill="CFF0FC"/>
          </w:tcPr>
          <w:p>
            <w:pPr>
              <w:spacing w:after="0" w:line="20" w:lineRule="exact"/>
              <w:rPr>
                <w:sz w:val="1"/>
                <w:szCs w:val="1"/>
                <w:color w:val="auto"/>
              </w:rPr>
            </w:pPr>
          </w:p>
        </w:tc>
        <w:tc>
          <w:tcPr>
            <w:tcW w:w="920" w:type="dxa"/>
            <w:vAlign w:val="bottom"/>
            <w:shd w:val="clear" w:color="auto" w:fill="000000"/>
          </w:tcPr>
          <w:p>
            <w:pPr>
              <w:spacing w:after="0" w:line="20" w:lineRule="exact"/>
              <w:rPr>
                <w:sz w:val="1"/>
                <w:szCs w:val="1"/>
                <w:color w:val="auto"/>
              </w:rPr>
            </w:pPr>
          </w:p>
        </w:tc>
        <w:tc>
          <w:tcPr>
            <w:tcW w:w="440" w:type="dxa"/>
            <w:vAlign w:val="bottom"/>
            <w:shd w:val="clear" w:color="auto" w:fill="000000"/>
          </w:tcPr>
          <w:p>
            <w:pPr>
              <w:spacing w:after="0" w:line="20" w:lineRule="exact"/>
              <w:rPr>
                <w:sz w:val="1"/>
                <w:szCs w:val="1"/>
                <w:color w:val="auto"/>
              </w:rPr>
            </w:pPr>
          </w:p>
        </w:tc>
        <w:tc>
          <w:tcPr>
            <w:tcW w:w="140" w:type="dxa"/>
            <w:vAlign w:val="bottom"/>
            <w:shd w:val="clear" w:color="auto" w:fill="CFF0FC"/>
          </w:tcPr>
          <w:p>
            <w:pPr>
              <w:spacing w:after="0" w:line="20" w:lineRule="exact"/>
              <w:rPr>
                <w:sz w:val="1"/>
                <w:szCs w:val="1"/>
                <w:color w:val="auto"/>
              </w:rPr>
            </w:pPr>
          </w:p>
        </w:tc>
        <w:tc>
          <w:tcPr>
            <w:tcW w:w="80" w:type="dxa"/>
            <w:vAlign w:val="bottom"/>
            <w:shd w:val="clear" w:color="auto" w:fill="CFF0FC"/>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1020" w:type="dxa"/>
            <w:vAlign w:val="bottom"/>
            <w:shd w:val="clear" w:color="auto" w:fill="000000"/>
          </w:tcPr>
          <w:p>
            <w:pPr>
              <w:spacing w:after="0" w:line="20" w:lineRule="exact"/>
              <w:rPr>
                <w:sz w:val="1"/>
                <w:szCs w:val="1"/>
                <w:color w:val="auto"/>
              </w:rPr>
            </w:pPr>
          </w:p>
        </w:tc>
        <w:tc>
          <w:tcPr>
            <w:tcW w:w="100" w:type="dxa"/>
            <w:vAlign w:val="bottom"/>
            <w:shd w:val="clear" w:color="auto" w:fill="CFF0FC"/>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6"/>
        </w:trPr>
        <w:tc>
          <w:tcPr>
            <w:tcW w:w="5720" w:type="dxa"/>
            <w:vAlign w:val="bottom"/>
            <w:shd w:val="clear" w:color="auto" w:fill="CFF0FC"/>
          </w:tcPr>
          <w:p>
            <w:pPr>
              <w:spacing w:after="0"/>
              <w:rPr>
                <w:sz w:val="20"/>
                <w:szCs w:val="20"/>
                <w:color w:val="auto"/>
              </w:rPr>
            </w:pPr>
            <w:r>
              <w:rPr>
                <w:rFonts w:ascii="Arial" w:cs="Arial" w:eastAsia="Arial" w:hAnsi="Arial"/>
                <w:sz w:val="16"/>
                <w:szCs w:val="16"/>
                <w:color w:val="auto"/>
              </w:rPr>
              <w:t>Net increase (decrease) in cash, cash equivalents and restricted cash</w:t>
            </w:r>
          </w:p>
        </w:tc>
        <w:tc>
          <w:tcPr>
            <w:tcW w:w="900" w:type="dxa"/>
            <w:vAlign w:val="bottom"/>
            <w:shd w:val="clear" w:color="auto" w:fill="CFF0FC"/>
          </w:tcPr>
          <w:p>
            <w:pPr>
              <w:jc w:val="right"/>
              <w:ind w:right="746"/>
              <w:spacing w:after="0"/>
              <w:rPr>
                <w:sz w:val="20"/>
                <w:szCs w:val="20"/>
                <w:color w:val="auto"/>
              </w:rPr>
            </w:pPr>
            <w:r>
              <w:rPr>
                <w:rFonts w:ascii="Arial" w:cs="Arial" w:eastAsia="Arial" w:hAnsi="Arial"/>
                <w:sz w:val="15"/>
                <w:szCs w:val="15"/>
                <w:color w:val="auto"/>
                <w:w w:val="71"/>
              </w:rPr>
              <w:t>$</w:t>
            </w:r>
          </w:p>
        </w:tc>
        <w:tc>
          <w:tcPr>
            <w:tcW w:w="440" w:type="dxa"/>
            <w:vAlign w:val="bottom"/>
            <w:shd w:val="clear" w:color="auto" w:fill="CFF0FC"/>
          </w:tcPr>
          <w:p>
            <w:pPr>
              <w:jc w:val="right"/>
              <w:spacing w:after="0"/>
              <w:rPr>
                <w:sz w:val="20"/>
                <w:szCs w:val="20"/>
                <w:color w:val="auto"/>
              </w:rPr>
            </w:pPr>
            <w:r>
              <w:rPr>
                <w:rFonts w:ascii="Arial" w:cs="Arial" w:eastAsia="Arial" w:hAnsi="Arial"/>
                <w:sz w:val="16"/>
                <w:szCs w:val="16"/>
                <w:color w:val="auto"/>
              </w:rPr>
              <w:t>819.8</w:t>
            </w:r>
          </w:p>
        </w:tc>
        <w:tc>
          <w:tcPr>
            <w:tcW w:w="220" w:type="dxa"/>
            <w:vAlign w:val="bottom"/>
            <w:shd w:val="clear" w:color="auto" w:fill="CFF0FC"/>
          </w:tcPr>
          <w:p>
            <w:pPr>
              <w:spacing w:after="0"/>
              <w:rPr>
                <w:sz w:val="20"/>
                <w:szCs w:val="20"/>
                <w:color w:val="auto"/>
              </w:rPr>
            </w:pPr>
          </w:p>
        </w:tc>
        <w:tc>
          <w:tcPr>
            <w:tcW w:w="920" w:type="dxa"/>
            <w:vAlign w:val="bottom"/>
            <w:shd w:val="clear" w:color="auto" w:fill="CFF0FC"/>
          </w:tcPr>
          <w:p>
            <w:pPr>
              <w:jc w:val="right"/>
              <w:ind w:right="765"/>
              <w:spacing w:after="0"/>
              <w:rPr>
                <w:sz w:val="20"/>
                <w:szCs w:val="20"/>
                <w:color w:val="auto"/>
              </w:rPr>
            </w:pPr>
            <w:r>
              <w:rPr>
                <w:rFonts w:ascii="Arial" w:cs="Arial" w:eastAsia="Arial" w:hAnsi="Arial"/>
                <w:sz w:val="15"/>
                <w:szCs w:val="15"/>
                <w:color w:val="auto"/>
                <w:w w:val="71"/>
              </w:rPr>
              <w:t>$</w:t>
            </w:r>
          </w:p>
        </w:tc>
        <w:tc>
          <w:tcPr>
            <w:tcW w:w="580" w:type="dxa"/>
            <w:vAlign w:val="bottom"/>
            <w:gridSpan w:val="2"/>
            <w:shd w:val="clear" w:color="auto" w:fill="CFF0FC"/>
          </w:tcPr>
          <w:p>
            <w:pPr>
              <w:jc w:val="right"/>
              <w:ind w:right="80"/>
              <w:spacing w:after="0"/>
              <w:rPr>
                <w:sz w:val="20"/>
                <w:szCs w:val="20"/>
                <w:color w:val="auto"/>
              </w:rPr>
            </w:pPr>
            <w:r>
              <w:rPr>
                <w:rFonts w:ascii="Arial" w:cs="Arial" w:eastAsia="Arial" w:hAnsi="Arial"/>
                <w:sz w:val="16"/>
                <w:szCs w:val="16"/>
                <w:color w:val="auto"/>
                <w:w w:val="94"/>
              </w:rPr>
              <w:t>(450.4)</w:t>
            </w:r>
          </w:p>
        </w:tc>
        <w:tc>
          <w:tcPr>
            <w:tcW w:w="200" w:type="dxa"/>
            <w:vAlign w:val="bottom"/>
            <w:gridSpan w:val="2"/>
            <w:shd w:val="clear" w:color="auto" w:fill="CFF0FC"/>
          </w:tcPr>
          <w:p>
            <w:pPr>
              <w:jc w:val="right"/>
              <w:ind w:right="40"/>
              <w:spacing w:after="0"/>
              <w:rPr>
                <w:sz w:val="20"/>
                <w:szCs w:val="20"/>
                <w:color w:val="auto"/>
              </w:rPr>
            </w:pPr>
            <w:r>
              <w:rPr>
                <w:rFonts w:ascii="Arial" w:cs="Arial" w:eastAsia="Arial" w:hAnsi="Arial"/>
                <w:sz w:val="16"/>
                <w:szCs w:val="16"/>
                <w:color w:val="auto"/>
              </w:rPr>
              <w:t>$</w:t>
            </w:r>
          </w:p>
        </w:tc>
        <w:tc>
          <w:tcPr>
            <w:tcW w:w="1020" w:type="dxa"/>
            <w:vAlign w:val="bottom"/>
            <w:shd w:val="clear" w:color="auto" w:fill="CFF0FC"/>
          </w:tcPr>
          <w:p>
            <w:pPr>
              <w:jc w:val="right"/>
              <w:spacing w:after="0"/>
              <w:rPr>
                <w:sz w:val="20"/>
                <w:szCs w:val="20"/>
                <w:color w:val="auto"/>
              </w:rPr>
            </w:pPr>
            <w:r>
              <w:rPr>
                <w:rFonts w:ascii="Arial" w:cs="Arial" w:eastAsia="Arial" w:hAnsi="Arial"/>
                <w:sz w:val="16"/>
                <w:szCs w:val="16"/>
                <w:color w:val="auto"/>
              </w:rPr>
              <w:t>1,270.2</w:t>
            </w:r>
          </w:p>
        </w:tc>
        <w:tc>
          <w:tcPr>
            <w:tcW w:w="100" w:type="dxa"/>
            <w:vAlign w:val="bottom"/>
            <w:shd w:val="clear" w:color="auto" w:fill="CFF0FC"/>
          </w:tcPr>
          <w:p>
            <w:pPr>
              <w:spacing w:after="0"/>
              <w:rPr>
                <w:sz w:val="20"/>
                <w:szCs w:val="20"/>
                <w:color w:val="auto"/>
              </w:rPr>
            </w:pPr>
          </w:p>
        </w:tc>
        <w:tc>
          <w:tcPr>
            <w:tcW w:w="0" w:type="dxa"/>
            <w:vAlign w:val="bottom"/>
          </w:tcPr>
          <w:p>
            <w:pPr>
              <w:spacing w:after="0"/>
              <w:rPr>
                <w:sz w:val="1"/>
                <w:szCs w:val="1"/>
                <w:color w:val="auto"/>
              </w:rPr>
            </w:pPr>
          </w:p>
        </w:tc>
      </w:tr>
      <w:tr>
        <w:trPr>
          <w:trHeight w:val="20"/>
        </w:trPr>
        <w:tc>
          <w:tcPr>
            <w:tcW w:w="5720" w:type="dxa"/>
            <w:vAlign w:val="bottom"/>
            <w:tcBorders>
              <w:top w:val="single" w:sz="8" w:color="CFF0FC"/>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44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Borders>
              <w:top w:val="single" w:sz="8" w:color="CFF0FC"/>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44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Borders>
              <w:top w:val="single" w:sz="8" w:color="CFF0FC"/>
            </w:tcBorders>
          </w:tcPr>
          <w:p>
            <w:pPr>
              <w:spacing w:after="0" w:line="20" w:lineRule="exact"/>
              <w:rPr>
                <w:sz w:val="1"/>
                <w:szCs w:val="1"/>
                <w:color w:val="auto"/>
              </w:rPr>
            </w:pPr>
          </w:p>
        </w:tc>
        <w:tc>
          <w:tcPr>
            <w:tcW w:w="80" w:type="dxa"/>
            <w:vAlign w:val="bottom"/>
            <w:tcBorders>
              <w:top w:val="single" w:sz="8" w:color="CFF0FC"/>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FF0F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2"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2021 versus 2020</w:t>
      </w:r>
    </w:p>
    <w:p>
      <w:pPr>
        <w:spacing w:after="0" w:line="225" w:lineRule="exact"/>
        <w:rPr>
          <w:sz w:val="20"/>
          <w:szCs w:val="20"/>
          <w:color w:val="auto"/>
        </w:rPr>
      </w:pPr>
    </w:p>
    <w:p>
      <w:pPr>
        <w:ind w:right="80" w:firstLine="510"/>
        <w:spacing w:after="0" w:line="270" w:lineRule="auto"/>
        <w:rPr>
          <w:sz w:val="20"/>
          <w:szCs w:val="20"/>
          <w:color w:val="auto"/>
        </w:rPr>
      </w:pPr>
      <w:r>
        <w:rPr>
          <w:rFonts w:ascii="Arial" w:cs="Arial" w:eastAsia="Arial" w:hAnsi="Arial"/>
          <w:sz w:val="17"/>
          <w:szCs w:val="17"/>
          <w:color w:val="auto"/>
        </w:rPr>
        <w:t>Net cash provided by operating activities was $185.7 million for the three months ended March 31, 2021. Cash provided by operating activities primarily resulted from net income of $174.9 million adjusted for non-cash items of $152.7 million, partially offset by changes in our working capital accounts (excluding the effect of acquisitions) totaling $141.9 million. The changes in our working capital accounts were driven by decreases in accrued expenses, an increase in accounts receivable, an increase in prepaid expenses and other assets and an increase in contract assets, partially offset by changes in income taxes prepaid and payable and an increase in deferred revenues. The decrease in accrued expenses was primarily due to the payment of annual employee bonuses in the first quarter of 2021. The increases in accounts receivable and deferred revenue were primarily due to the billing of annual maintenance fees, which typically occurs in the first quarter of each year. The increase in contract assets was primarily due to new term license deals. The change in income taxes prepaid and payable is primarily driven by the timing of tax payments. The increase in prepaid expenses and other assets was primarily due to the timing of payments.</w:t>
      </w:r>
    </w:p>
    <w:p>
      <w:pPr>
        <w:spacing w:after="0" w:line="181" w:lineRule="exact"/>
        <w:rPr>
          <w:sz w:val="20"/>
          <w:szCs w:val="20"/>
          <w:color w:val="auto"/>
        </w:rPr>
      </w:pPr>
    </w:p>
    <w:p>
      <w:pPr>
        <w:ind w:right="120" w:firstLine="510"/>
        <w:spacing w:after="0" w:line="263" w:lineRule="auto"/>
        <w:rPr>
          <w:sz w:val="20"/>
          <w:szCs w:val="20"/>
          <w:color w:val="auto"/>
        </w:rPr>
      </w:pPr>
      <w:r>
        <w:rPr>
          <w:rFonts w:ascii="Arial" w:cs="Arial" w:eastAsia="Arial" w:hAnsi="Arial"/>
          <w:sz w:val="18"/>
          <w:szCs w:val="18"/>
          <w:color w:val="auto"/>
        </w:rPr>
        <w:t>Investing activities used net cash of $17.9 million for the three months ended March 31, 2021, primarily related to $22.3 million in capitalized software development costs, $10.0 million in investments in securities and $9.1 million in capital expenditures, partially offset by proceeds from sales and maturities of $13.4 million and net cash acquired for business acquisitions of $7.3 million.</w:t>
      </w:r>
    </w:p>
    <w:p>
      <w:pPr>
        <w:spacing w:after="0" w:line="184" w:lineRule="exact"/>
        <w:rPr>
          <w:sz w:val="20"/>
          <w:szCs w:val="20"/>
          <w:color w:val="auto"/>
        </w:rPr>
      </w:pPr>
    </w:p>
    <w:p>
      <w:pPr>
        <w:ind w:right="180" w:firstLine="510"/>
        <w:spacing w:after="0" w:line="277" w:lineRule="auto"/>
        <w:rPr>
          <w:sz w:val="20"/>
          <w:szCs w:val="20"/>
          <w:color w:val="auto"/>
        </w:rPr>
      </w:pPr>
      <w:r>
        <w:rPr>
          <w:rFonts w:ascii="Arial" w:cs="Arial" w:eastAsia="Arial" w:hAnsi="Arial"/>
          <w:sz w:val="18"/>
          <w:szCs w:val="18"/>
          <w:color w:val="auto"/>
        </w:rPr>
        <w:t>Financing activities provided net cash of $653.7 million for the three months ended March 31, 2021, primarily representing a net increase in client funds obligations of $777.0 million, net borrowings of debt of $70.6 million and proceeds of $30.6 million from</w:t>
      </w:r>
    </w:p>
    <w:p>
      <w:pPr>
        <w:spacing w:after="0" w:line="17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598" w:right="339" w:bottom="1440" w:gutter="0" w:footer="0" w:header="0"/>
        </w:sectPr>
      </w:pPr>
    </w:p>
    <w:bookmarkStart w:id="20" w:name="page21"/>
    <w:bookmarkEnd w:id="20"/>
    <w:p>
      <w:pPr>
        <w:ind w:right="240"/>
        <w:spacing w:after="0" w:line="277" w:lineRule="auto"/>
        <w:rPr>
          <w:sz w:val="20"/>
          <w:szCs w:val="20"/>
          <w:color w:val="auto"/>
        </w:rPr>
      </w:pPr>
      <w:r>
        <w:rPr>
          <w:rFonts w:ascii="Arial" w:cs="Arial" w:eastAsia="Arial" w:hAnsi="Arial"/>
          <w:sz w:val="18"/>
          <w:szCs w:val="18"/>
          <w:color w:val="auto"/>
        </w:rPr>
        <w:t>stock option exercises. These proceeds were partially offset by $181.4 million of purchases of common stock for treasury and $41.2 million in quarterly dividends paid.</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2020 versus 2019</w:t>
      </w:r>
    </w:p>
    <w:p>
      <w:pPr>
        <w:spacing w:after="0" w:line="225" w:lineRule="exact"/>
        <w:rPr>
          <w:sz w:val="20"/>
          <w:szCs w:val="20"/>
          <w:color w:val="auto"/>
        </w:rPr>
      </w:pPr>
    </w:p>
    <w:p>
      <w:pPr>
        <w:ind w:right="20" w:firstLine="510"/>
        <w:spacing w:after="0" w:line="277" w:lineRule="auto"/>
        <w:rPr>
          <w:sz w:val="20"/>
          <w:szCs w:val="20"/>
          <w:color w:val="auto"/>
        </w:rPr>
      </w:pPr>
      <w:r>
        <w:rPr>
          <w:rFonts w:ascii="Arial" w:cs="Arial" w:eastAsia="Arial" w:hAnsi="Arial"/>
          <w:sz w:val="18"/>
          <w:szCs w:val="18"/>
          <w:color w:val="auto"/>
        </w:rPr>
        <w:t>Our cash, cash equivalents and restricted cash and cash equivalents, including amounts held on behalf of clients, were $1,339.0 million at March 31, 2020, a decrease of $450.4 million from $1,789.4 million at December 31, 2019.</w:t>
      </w:r>
    </w:p>
    <w:p>
      <w:pPr>
        <w:spacing w:after="0" w:line="170" w:lineRule="exact"/>
        <w:rPr>
          <w:sz w:val="20"/>
          <w:szCs w:val="20"/>
          <w:color w:val="auto"/>
        </w:rPr>
      </w:pPr>
    </w:p>
    <w:p>
      <w:pPr>
        <w:ind w:right="40" w:firstLine="510"/>
        <w:spacing w:after="0" w:line="289" w:lineRule="auto"/>
        <w:rPr>
          <w:sz w:val="20"/>
          <w:szCs w:val="20"/>
          <w:color w:val="auto"/>
        </w:rPr>
      </w:pPr>
      <w:r>
        <w:rPr>
          <w:rFonts w:ascii="Arial" w:cs="Arial" w:eastAsia="Arial" w:hAnsi="Arial"/>
          <w:sz w:val="16"/>
          <w:szCs w:val="16"/>
          <w:color w:val="auto"/>
        </w:rPr>
        <w:t>Net cash provided by operating activities was $147.7 million for the three months ended March 31, 2020. Cash provided by operating activities primarily resulted from net income of $99.2 million adjusted for non-cash items of $197.4 million, offset by changes in our working capital accounts (excluding the effect of acquisitions) totaling $148.9 million. The changes in our working capital accounts were driven by decreases in accrued expenses, an increase in accounts receivable and an increase in contract assets, partially offset by changes in income taxes prepaid and payable, decreases in prepaid expenses and other assets, an increase in accounts payable and an increase in deferred revenues. The decrease in accrued expenses was primarily due to the payment of annual employee bonuses in the first quarter of 2020. The increase in accounts receivable was primarily due to an increase in days’ sales outstanding as well as the billing of receivables for annual maintenance invoices that are typically billed in the first quarter of each year. The increase in contract assets was primarily due to new term license deals. The change in income taxes prepaid and payable is primarily driven by the timing of tax payments. The decrease in prepaid expenses and other assets and the increase in accounts payable were primarily due to the timing of payments.</w:t>
      </w:r>
    </w:p>
    <w:p>
      <w:pPr>
        <w:spacing w:after="0" w:line="166" w:lineRule="exact"/>
        <w:rPr>
          <w:sz w:val="20"/>
          <w:szCs w:val="20"/>
          <w:color w:val="auto"/>
        </w:rPr>
      </w:pPr>
    </w:p>
    <w:p>
      <w:pPr>
        <w:ind w:right="80" w:firstLine="510"/>
        <w:spacing w:after="0" w:line="259" w:lineRule="auto"/>
        <w:rPr>
          <w:sz w:val="20"/>
          <w:szCs w:val="20"/>
          <w:color w:val="auto"/>
        </w:rPr>
      </w:pPr>
      <w:r>
        <w:rPr>
          <w:rFonts w:ascii="Arial" w:cs="Arial" w:eastAsia="Arial" w:hAnsi="Arial"/>
          <w:sz w:val="18"/>
          <w:szCs w:val="18"/>
          <w:color w:val="auto"/>
        </w:rPr>
        <w:t>Investing activities used net cash of $73.3 million for the three months ended March 31, 2020, primarily related to $40.0 million in investments in securities, $18.0 million in capitalized software development costs, $16.3 million in cash paid for business acquisitions (net of cash acquired) and $8.5 million in capital expenditures, partially offset by proceeds from sales and maturities of investments of $6.9 million and the collection of other non-current receivables of $2.6 million.</w:t>
      </w:r>
    </w:p>
    <w:p>
      <w:pPr>
        <w:spacing w:after="0" w:line="187" w:lineRule="exact"/>
        <w:rPr>
          <w:sz w:val="20"/>
          <w:szCs w:val="20"/>
          <w:color w:val="auto"/>
        </w:rPr>
      </w:pPr>
    </w:p>
    <w:p>
      <w:pPr>
        <w:ind w:right="540" w:firstLine="510"/>
        <w:spacing w:after="0" w:line="259" w:lineRule="auto"/>
        <w:rPr>
          <w:sz w:val="20"/>
          <w:szCs w:val="20"/>
          <w:color w:val="auto"/>
        </w:rPr>
      </w:pPr>
      <w:r>
        <w:rPr>
          <w:rFonts w:ascii="Arial" w:cs="Arial" w:eastAsia="Arial" w:hAnsi="Arial"/>
          <w:sz w:val="18"/>
          <w:szCs w:val="18"/>
          <w:color w:val="auto"/>
        </w:rPr>
        <w:t>Financing activities used net cash of $517.7 million for the three months ended March 31, 2020, representing a net decrease in client funds obligations of $670.7 million, $31.9 million in quarterly dividends paid and $3.3 million in withholding taxes paid related to equity award net share settlements. These payments were partially offset by net borrowings of debt totaling $150.1 million and proceeds of $38.1 million from stock option exercises.</w:t>
      </w:r>
    </w:p>
    <w:p>
      <w:pPr>
        <w:spacing w:after="0" w:line="187" w:lineRule="exact"/>
        <w:rPr>
          <w:sz w:val="20"/>
          <w:szCs w:val="20"/>
          <w:color w:val="auto"/>
        </w:rPr>
      </w:pPr>
    </w:p>
    <w:p>
      <w:pPr>
        <w:ind w:firstLine="510"/>
        <w:spacing w:after="0" w:line="257" w:lineRule="auto"/>
        <w:rPr>
          <w:sz w:val="20"/>
          <w:szCs w:val="20"/>
          <w:color w:val="auto"/>
        </w:rPr>
      </w:pPr>
      <w:r>
        <w:rPr>
          <w:rFonts w:ascii="Arial" w:cs="Arial" w:eastAsia="Arial" w:hAnsi="Arial"/>
          <w:sz w:val="18"/>
          <w:szCs w:val="18"/>
          <w:color w:val="auto"/>
        </w:rPr>
        <w:t>We have made a permanent reinvestment determination in certain non-U.S. operations that have historically generated positive operating cash flows. At March 31, 2021, we held approximately $153.8 million in cash and cash equivalents at non-U.S. subsidiaries where we had made such a determination and in turn, no provision for foreign withholding, foreign local, or U.S. state income taxes had been made. At March 31, 2021, we held approximately $128.8 million in cash that was available to our foreign borrowers under our senior secured credit facility and will be used to facilitate debt servicing of those entities.</w:t>
      </w:r>
    </w:p>
    <w:p>
      <w:pPr>
        <w:spacing w:after="0" w:line="29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Off-Balance Sheet Arrangements</w:t>
      </w:r>
    </w:p>
    <w:p>
      <w:pPr>
        <w:spacing w:after="0" w:line="117" w:lineRule="exact"/>
        <w:rPr>
          <w:sz w:val="20"/>
          <w:szCs w:val="20"/>
          <w:color w:val="auto"/>
        </w:rPr>
      </w:pPr>
    </w:p>
    <w:p>
      <w:pPr>
        <w:ind w:firstLine="510"/>
        <w:spacing w:after="0" w:line="342" w:lineRule="auto"/>
        <w:rPr>
          <w:sz w:val="20"/>
          <w:szCs w:val="20"/>
          <w:color w:val="auto"/>
        </w:rPr>
      </w:pPr>
      <w:r>
        <w:rPr>
          <w:rFonts w:ascii="Arial" w:cs="Arial" w:eastAsia="Arial" w:hAnsi="Arial"/>
          <w:sz w:val="16"/>
          <w:szCs w:val="16"/>
          <w:color w:val="auto"/>
        </w:rPr>
        <w:t>We have no off-balance sheet arrangements that have or are reasonably likely to have a current or future effect on our financial condition, changes in financial condition, revenues or expenses, results of operations, liquidity, capital expenditures or capital resources that is material to investors.</w:t>
      </w:r>
    </w:p>
    <w:p>
      <w:pPr>
        <w:spacing w:after="0" w:line="23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Senior Secured Credit Facilities</w:t>
      </w:r>
    </w:p>
    <w:p>
      <w:pPr>
        <w:spacing w:after="0" w:line="225" w:lineRule="exact"/>
        <w:rPr>
          <w:sz w:val="20"/>
          <w:szCs w:val="20"/>
          <w:color w:val="auto"/>
        </w:rPr>
      </w:pPr>
    </w:p>
    <w:p>
      <w:pPr>
        <w:ind w:right="160" w:firstLine="510"/>
        <w:spacing w:after="0" w:line="257" w:lineRule="auto"/>
        <w:rPr>
          <w:sz w:val="20"/>
          <w:szCs w:val="20"/>
          <w:color w:val="auto"/>
        </w:rPr>
      </w:pPr>
      <w:r>
        <w:rPr>
          <w:rFonts w:ascii="Arial" w:cs="Arial" w:eastAsia="Arial" w:hAnsi="Arial"/>
          <w:sz w:val="18"/>
          <w:szCs w:val="18"/>
          <w:color w:val="auto"/>
        </w:rPr>
        <w:t>As of March 31, 2021, there was $1,532.7 million in principal amount outstanding under the Term B-3 Loan, $1,144.4 million in principal amount outstanding under the Term B-4 Loan and $1,754.9 million in principal amount outstanding under the Term B-5 Loan. In addition, the amended senior secured credit facility has a revolving credit facility with a five-year term available for borrowings by SS&amp;C with $250 million in available commitments (“Revolving Credit Facility”), of which $120.1 million was available as of March 31, 2021. The Revolving Credit Facility also contains a $25 million letter of credit sub-facility, of which $3.9 million was utilized as of March 31, 2021.</w:t>
      </w:r>
    </w:p>
    <w:p>
      <w:pPr>
        <w:spacing w:after="0" w:line="188" w:lineRule="exact"/>
        <w:rPr>
          <w:sz w:val="20"/>
          <w:szCs w:val="20"/>
          <w:color w:val="auto"/>
        </w:rPr>
      </w:pPr>
    </w:p>
    <w:p>
      <w:pPr>
        <w:ind w:right="40" w:firstLine="510"/>
        <w:spacing w:after="0" w:line="259" w:lineRule="auto"/>
        <w:rPr>
          <w:sz w:val="20"/>
          <w:szCs w:val="20"/>
          <w:color w:val="auto"/>
        </w:rPr>
      </w:pPr>
      <w:r>
        <w:rPr>
          <w:rFonts w:ascii="Arial" w:cs="Arial" w:eastAsia="Arial" w:hAnsi="Arial"/>
          <w:sz w:val="18"/>
          <w:szCs w:val="18"/>
          <w:color w:val="auto"/>
        </w:rPr>
        <w:t>We are required to make scheduled quarterly payments of 0.25% of the original principal amount of the Term B-3 Loan, Term B-4 Loan and Term B-5 Loan, with the balance due and payable on April 16, 2025. No amortization is required under the Revolving Credit Facility. We may also, from time to time in our sole discretion, purchase, redeem, or retire our existing term loans, through tender offers, in privately negotiated or open market transactions, or otherwise.</w:t>
      </w:r>
    </w:p>
    <w:p>
      <w:pPr>
        <w:spacing w:after="0" w:line="18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557" w:right="359" w:bottom="1440" w:gutter="0" w:footer="0" w:header="0"/>
        </w:sectPr>
      </w:pPr>
    </w:p>
    <w:bookmarkStart w:id="21" w:name="page22"/>
    <w:bookmarkEnd w:id="21"/>
    <w:p>
      <w:pPr>
        <w:ind w:right="200" w:firstLine="510"/>
        <w:spacing w:after="0" w:line="263" w:lineRule="auto"/>
        <w:rPr>
          <w:sz w:val="20"/>
          <w:szCs w:val="20"/>
          <w:color w:val="auto"/>
        </w:rPr>
      </w:pPr>
      <w:r>
        <w:rPr>
          <w:rFonts w:ascii="Arial" w:cs="Arial" w:eastAsia="Arial" w:hAnsi="Arial"/>
          <w:sz w:val="18"/>
          <w:szCs w:val="18"/>
          <w:color w:val="auto"/>
        </w:rPr>
        <w:t>Our obligations under the Term Loans are guaranteed by (i) our existing and future U.S. wholly-owned restricted subsidiaries, in the case of the Term B-3 Loan, Term B-5 Loan and the Revolving Credit Facility and (ii) our existing and future wholly-owned restricted subsidiaries, in the case of the Term B-4 Loan.</w:t>
      </w:r>
    </w:p>
    <w:p>
      <w:pPr>
        <w:spacing w:after="0" w:line="184" w:lineRule="exact"/>
        <w:rPr>
          <w:sz w:val="20"/>
          <w:szCs w:val="20"/>
          <w:color w:val="auto"/>
        </w:rPr>
      </w:pPr>
    </w:p>
    <w:p>
      <w:pPr>
        <w:ind w:right="20" w:firstLine="510"/>
        <w:spacing w:after="0" w:line="293" w:lineRule="auto"/>
        <w:rPr>
          <w:sz w:val="20"/>
          <w:szCs w:val="20"/>
          <w:color w:val="auto"/>
        </w:rPr>
      </w:pPr>
      <w:r>
        <w:rPr>
          <w:rFonts w:ascii="Arial" w:cs="Arial" w:eastAsia="Arial" w:hAnsi="Arial"/>
          <w:sz w:val="16"/>
          <w:szCs w:val="16"/>
          <w:color w:val="auto"/>
        </w:rPr>
        <w:t>The obligations of the U.S. loan parties under the amended senior secured credit facility are secured by substantially all of the assets of such persons (subject to customary exceptions and limitations), including a pledge of all of the capital stock of substantially all of the U.S. wholly-owned restricted subsidiaries of such persons (with customary exceptions and limitations) and 65% of the capital stock of certain foreign restricted subsidiaries of such persons (with customary exceptions and limitations). All obligations of the non-U.S. loan parties under the amended senior secured credit facility are secured by substantially all of our and the other guarantors’ assets (subject to customary exceptions and limitations), including a pledge of all of the capital stock of substantially all of our wholly-owned restricted subsidiaries (with customary exceptions and limitations).</w:t>
      </w:r>
    </w:p>
    <w:p>
      <w:pPr>
        <w:spacing w:after="0" w:line="164" w:lineRule="exact"/>
        <w:rPr>
          <w:sz w:val="20"/>
          <w:szCs w:val="20"/>
          <w:color w:val="auto"/>
        </w:rPr>
      </w:pPr>
    </w:p>
    <w:p>
      <w:pPr>
        <w:ind w:firstLine="510"/>
        <w:spacing w:after="0" w:line="269" w:lineRule="auto"/>
        <w:rPr>
          <w:sz w:val="20"/>
          <w:szCs w:val="20"/>
          <w:color w:val="auto"/>
        </w:rPr>
      </w:pPr>
      <w:r>
        <w:rPr>
          <w:rFonts w:ascii="Arial" w:cs="Arial" w:eastAsia="Arial" w:hAnsi="Arial"/>
          <w:sz w:val="17"/>
          <w:szCs w:val="17"/>
          <w:color w:val="auto"/>
        </w:rPr>
        <w:t>The amended senior secured credit facility includes negative covenants that, among other things and subject to certain thresholds and exceptions, limit our ability and the ability of our restricted subsidiaries to incur debt or liens, make investments (including in the form of loans and acquisitions), merge, liquidate or dissolve, sell property and assets, including capital stock of our subsidiaries, pay dividends on our capital stock or redeem, repurchase or retire our capital stock, alter the business we conduct, amend, prepay, redeem or purchase subordinated debt, or engage in transactions with our affiliates. The amended senior secured credit facility also contains customary representations and warranties, affirmative covenants and events of default, subject to customary thresholds and exceptions. In addition, the amended senior secured credit facility contains a financial covenant for the benefit of the Revolving Credit Facility requiring us to maintain a minimum consolidated net secured leverage ratio. In addition, under the amended senior secured credit facility, certain defaults under agreements governing other material indebtedness could result in an event of default under the amended senior secured credit facility, in which case the lenders could elect to accelerate payments under the amended senior secured credit facility and terminate any commitments they have to provide future borrowings.</w:t>
      </w:r>
    </w:p>
    <w:p>
      <w:pPr>
        <w:spacing w:after="0" w:line="29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Senior Notes</w:t>
      </w:r>
    </w:p>
    <w:p>
      <w:pPr>
        <w:spacing w:after="0" w:line="225" w:lineRule="exact"/>
        <w:rPr>
          <w:sz w:val="20"/>
          <w:szCs w:val="20"/>
          <w:color w:val="auto"/>
        </w:rPr>
      </w:pPr>
    </w:p>
    <w:p>
      <w:pPr>
        <w:ind w:right="20" w:firstLine="578"/>
        <w:spacing w:after="0" w:line="275" w:lineRule="auto"/>
        <w:rPr>
          <w:sz w:val="20"/>
          <w:szCs w:val="20"/>
          <w:color w:val="auto"/>
        </w:rPr>
      </w:pPr>
      <w:r>
        <w:rPr>
          <w:rFonts w:ascii="Arial" w:cs="Arial" w:eastAsia="Arial" w:hAnsi="Arial"/>
          <w:sz w:val="17"/>
          <w:szCs w:val="17"/>
          <w:color w:val="auto"/>
        </w:rPr>
        <w:t>On March 28, 2019, we issued $2,000.0 million aggregate principal amount of 5.5% Senior Notes due 2027 (“Senior Notes”), the proceeds of which were used to repay a portion of the outstanding Term B-3 Loan under our existing senior secured credit facilities. The Senior Notes are guaranteed, jointly and severally, by SS&amp;C Holdings and all of its existing and future domestic restricted subsidiaries that guarantee our existing senior secured credit facilities or certain other indebtedness. The Senior Notes are unsecured senior obligations that are equal in right of payment to all of our existing and future senior unsecured indebtedness. Interest on the Senior Notes is payable on March 30 and September 30 of each year.</w:t>
      </w:r>
    </w:p>
    <w:p>
      <w:pPr>
        <w:spacing w:after="0" w:line="176" w:lineRule="exact"/>
        <w:rPr>
          <w:sz w:val="20"/>
          <w:szCs w:val="20"/>
          <w:color w:val="auto"/>
        </w:rPr>
      </w:pPr>
    </w:p>
    <w:p>
      <w:pPr>
        <w:ind w:right="60" w:firstLine="578"/>
        <w:spacing w:after="0" w:line="273" w:lineRule="auto"/>
        <w:rPr>
          <w:sz w:val="20"/>
          <w:szCs w:val="20"/>
          <w:color w:val="auto"/>
        </w:rPr>
      </w:pPr>
      <w:r>
        <w:rPr>
          <w:rFonts w:ascii="Arial" w:cs="Arial" w:eastAsia="Arial" w:hAnsi="Arial"/>
          <w:sz w:val="17"/>
          <w:szCs w:val="17"/>
          <w:color w:val="auto"/>
        </w:rPr>
        <w:t>At any time prior to March 30, 2022, we may, at our option, redeem the Senior Notes, in whole or in part, at a price equal to 100% of the principal amount of the Senior Notes, plus an applicable “make-whole” premium, plus accrued and unpaid interest to the redemption date. At any time on or after March 30, 2022, we may redeem some or all of the Senior Notes, in whole or in part, at the redemption prices set forth in the indenture governing the Senior Notes plus accrued and unpaid interest to the redemption date. In addition, at any time on or before March 30, 2022, we may redeem up to 40% of the aggregate principal amount of the Senior Notes at a redemption price equal to 105.5% of the principal amount thereof, plus accrued and unpaid interest to the redemption date, with the net proceeds of one or more equity offerings.</w:t>
      </w:r>
    </w:p>
    <w:p>
      <w:pPr>
        <w:spacing w:after="0" w:line="178" w:lineRule="exact"/>
        <w:rPr>
          <w:sz w:val="20"/>
          <w:szCs w:val="20"/>
          <w:color w:val="auto"/>
        </w:rPr>
      </w:pPr>
    </w:p>
    <w:p>
      <w:pPr>
        <w:ind w:right="60" w:firstLine="578"/>
        <w:spacing w:after="0" w:line="259" w:lineRule="auto"/>
        <w:rPr>
          <w:sz w:val="20"/>
          <w:szCs w:val="20"/>
          <w:color w:val="auto"/>
        </w:rPr>
      </w:pPr>
      <w:r>
        <w:rPr>
          <w:rFonts w:ascii="Arial" w:cs="Arial" w:eastAsia="Arial" w:hAnsi="Arial"/>
          <w:sz w:val="18"/>
          <w:szCs w:val="18"/>
          <w:color w:val="auto"/>
        </w:rPr>
        <w:t>The indenture governing the Senior Notes contains a number of covenants that restrict, subject to certain thresholds and exceptions, our ability and the ability of our domestic restricted subsidiaries to incur debt or liens, make certain investments, pay dividends, dispose of certain assets, or enter into transactions with its affiliates. Any event of default under the amended senior secured credit facility that leads to an acceleration of those amounts due also results in a default under the indenture governing the Senior Notes.</w:t>
      </w:r>
    </w:p>
    <w:p>
      <w:pPr>
        <w:spacing w:after="0" w:line="187" w:lineRule="exact"/>
        <w:rPr>
          <w:sz w:val="20"/>
          <w:szCs w:val="20"/>
          <w:color w:val="auto"/>
        </w:rPr>
      </w:pPr>
    </w:p>
    <w:p>
      <w:pPr>
        <w:ind w:left="580"/>
        <w:spacing w:after="0"/>
        <w:rPr>
          <w:sz w:val="20"/>
          <w:szCs w:val="20"/>
          <w:color w:val="auto"/>
        </w:rPr>
      </w:pPr>
      <w:r>
        <w:rPr>
          <w:rFonts w:ascii="Arial" w:cs="Arial" w:eastAsia="Arial" w:hAnsi="Arial"/>
          <w:sz w:val="18"/>
          <w:szCs w:val="18"/>
          <w:color w:val="auto"/>
        </w:rPr>
        <w:t>As of March 31, 2021, there was $2,000.0 million in principal amount of Senior Notes outstanding.</w:t>
      </w:r>
    </w:p>
    <w:p>
      <w:pPr>
        <w:spacing w:after="0" w:line="33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Covenant Compliance</w:t>
      </w:r>
    </w:p>
    <w:p>
      <w:pPr>
        <w:spacing w:after="0" w:line="117" w:lineRule="exact"/>
        <w:rPr>
          <w:sz w:val="20"/>
          <w:szCs w:val="20"/>
          <w:color w:val="auto"/>
        </w:rPr>
      </w:pPr>
    </w:p>
    <w:p>
      <w:pPr>
        <w:ind w:firstLine="510"/>
        <w:spacing w:after="0" w:line="293" w:lineRule="auto"/>
        <w:rPr>
          <w:sz w:val="20"/>
          <w:szCs w:val="20"/>
          <w:color w:val="auto"/>
        </w:rPr>
      </w:pPr>
      <w:r>
        <w:rPr>
          <w:rFonts w:ascii="Arial" w:cs="Arial" w:eastAsia="Arial" w:hAnsi="Arial"/>
          <w:sz w:val="16"/>
          <w:szCs w:val="16"/>
          <w:color w:val="auto"/>
        </w:rPr>
        <w:t>Under the Revolving Credit Facility portion of the amended senior secured credit facility, we are required to satisfy and maintain a specified financial ratio at the end of each fiscal quarter if the sum of (i) outstanding amount of all loans under the Revolving Credit Facility and (ii) all non-cash collateralized letters of credit issued under the Revolving Credit Facility in excess of $20 million is equal to or greater than 30% of the total commitments under the Revolving Credit Facility. Our ability to meet this financial ratio can be affected by events beyond our control, and we cannot assure you that we will meet this ratio. Any breach of this covenant could result in an event of default under the amended senior secured credit facility. Upon the occurrence of any event of default under the amended senior secured credit facility, the lenders could elect to declare all amounts outstanding under the amended</w:t>
      </w:r>
    </w:p>
    <w:p>
      <w:pPr>
        <w:spacing w:after="0" w:line="16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557" w:right="359" w:bottom="1440" w:gutter="0" w:footer="0" w:header="0"/>
        </w:sectPr>
      </w:pPr>
    </w:p>
    <w:bookmarkStart w:id="22" w:name="page23"/>
    <w:bookmarkEnd w:id="22"/>
    <w:p>
      <w:pPr>
        <w:jc w:val="both"/>
        <w:ind w:right="520"/>
        <w:spacing w:after="0" w:line="301" w:lineRule="auto"/>
        <w:rPr>
          <w:sz w:val="20"/>
          <w:szCs w:val="20"/>
          <w:color w:val="auto"/>
        </w:rPr>
      </w:pPr>
      <w:r>
        <w:rPr>
          <w:rFonts w:ascii="Arial" w:cs="Arial" w:eastAsia="Arial" w:hAnsi="Arial"/>
          <w:sz w:val="16"/>
          <w:szCs w:val="16"/>
          <w:color w:val="auto"/>
        </w:rPr>
        <w:t>senior secured credit facility to be immediately due and payable and terminate all commitments to extend further credit. Any default and subsequent acceleration of payments under the amended senior secured credit facility would have a material adverse effect on our results of operations, financial position and cash flows. Additionally, under the amended senior secured credit facility, our ability to engage in activities such as incurring additional indebtedness, making investments and paying dividends is also tied to baskets and ratios based on Consolidated EBITDA.</w:t>
      </w:r>
    </w:p>
    <w:p>
      <w:pPr>
        <w:spacing w:after="0" w:line="157" w:lineRule="exact"/>
        <w:rPr>
          <w:sz w:val="20"/>
          <w:szCs w:val="20"/>
          <w:color w:val="auto"/>
        </w:rPr>
      </w:pPr>
    </w:p>
    <w:p>
      <w:pPr>
        <w:ind w:right="80" w:firstLine="510"/>
        <w:spacing w:after="0" w:line="273" w:lineRule="auto"/>
        <w:rPr>
          <w:sz w:val="20"/>
          <w:szCs w:val="20"/>
          <w:color w:val="auto"/>
        </w:rPr>
      </w:pPr>
      <w:r>
        <w:rPr>
          <w:rFonts w:ascii="Arial" w:cs="Arial" w:eastAsia="Arial" w:hAnsi="Arial"/>
          <w:sz w:val="17"/>
          <w:szCs w:val="17"/>
          <w:color w:val="auto"/>
        </w:rPr>
        <w:t>Consolidated EBITDA is a non-GAAP financial measure used in key financial covenants contained in the amended senior secured credit facility, which is the material facility supporting our capital structure and providing liquidity to our business. Consolidated EBITDA is defined as earnings before interest, taxes, depreciation and amortization (“EBITDA”), further adjusted to exclude unusual items and other adjustments permitted in calculating covenant compliance under the amended senior secured credit facility. We believe that the inclusion of supplementary adjustments to EBITDA applied in presenting Consolidated EBITDA is appropriate to provide additional information to investors to demonstrate compliance with the specified financial ratio and other financial condition tests contained in the amended senior secured credit facility.</w:t>
      </w:r>
    </w:p>
    <w:p>
      <w:pPr>
        <w:spacing w:after="0" w:line="178" w:lineRule="exact"/>
        <w:rPr>
          <w:sz w:val="20"/>
          <w:szCs w:val="20"/>
          <w:color w:val="auto"/>
        </w:rPr>
      </w:pPr>
    </w:p>
    <w:p>
      <w:pPr>
        <w:ind w:firstLine="510"/>
        <w:spacing w:after="0" w:line="263" w:lineRule="auto"/>
        <w:rPr>
          <w:sz w:val="20"/>
          <w:szCs w:val="20"/>
          <w:color w:val="auto"/>
        </w:rPr>
      </w:pPr>
      <w:r>
        <w:rPr>
          <w:rFonts w:ascii="Arial" w:cs="Arial" w:eastAsia="Arial" w:hAnsi="Arial"/>
          <w:sz w:val="18"/>
          <w:szCs w:val="18"/>
          <w:color w:val="auto"/>
        </w:rPr>
        <w:t>Management uses Consolidated EBITDA to gauge the costs of our capital structure on a day-to-day basis when full financial statements are unavailable. Management further believes that providing this information allows our investors greater transparency and a better understanding of our ability to meet our debt service obligations and make capital expenditures.</w:t>
      </w:r>
    </w:p>
    <w:p>
      <w:pPr>
        <w:spacing w:after="0" w:line="184" w:lineRule="exact"/>
        <w:rPr>
          <w:sz w:val="20"/>
          <w:szCs w:val="20"/>
          <w:color w:val="auto"/>
        </w:rPr>
      </w:pPr>
    </w:p>
    <w:p>
      <w:pPr>
        <w:ind w:right="80" w:firstLine="510"/>
        <w:spacing w:after="0" w:line="257" w:lineRule="auto"/>
        <w:rPr>
          <w:sz w:val="20"/>
          <w:szCs w:val="20"/>
          <w:color w:val="auto"/>
        </w:rPr>
      </w:pPr>
      <w:r>
        <w:rPr>
          <w:rFonts w:ascii="Arial" w:cs="Arial" w:eastAsia="Arial" w:hAnsi="Arial"/>
          <w:sz w:val="18"/>
          <w:szCs w:val="18"/>
          <w:color w:val="auto"/>
        </w:rPr>
        <w:t>Consolidated EBITDA does not represent net income or cash flow from operations as those terms are defined by generally accepted accounting principles, or GAAP, and does not necessarily indicate whether cash flows will be sufficient to fund cash needs. Further, the amended senior secured credit facility requires that Consolidated EBITDA be calculated for the most recent four fiscal quarters. As a result, the measure can be disproportionately affected by a particularly strong or weak quarter. Further, it may not be comparable to the measure for any subsequent four-quarter period or any complete fiscal year.</w:t>
      </w:r>
    </w:p>
    <w:p>
      <w:pPr>
        <w:spacing w:after="0" w:line="188" w:lineRule="exact"/>
        <w:rPr>
          <w:sz w:val="20"/>
          <w:szCs w:val="20"/>
          <w:color w:val="auto"/>
        </w:rPr>
      </w:pPr>
    </w:p>
    <w:p>
      <w:pPr>
        <w:ind w:right="140" w:firstLine="510"/>
        <w:spacing w:after="0" w:line="275" w:lineRule="auto"/>
        <w:rPr>
          <w:sz w:val="20"/>
          <w:szCs w:val="20"/>
          <w:color w:val="auto"/>
        </w:rPr>
      </w:pPr>
      <w:r>
        <w:rPr>
          <w:rFonts w:ascii="Arial" w:cs="Arial" w:eastAsia="Arial" w:hAnsi="Arial"/>
          <w:sz w:val="17"/>
          <w:szCs w:val="17"/>
          <w:color w:val="auto"/>
        </w:rPr>
        <w:t>Consolidated EBITDA is not a recognized measurement under GAAP and investors should not consider Consolidated EBITDA as a substitute for measures of our financial performance and liquidity as determined in accordance with GAAP, such as net income, operating income or net cash provided by operating activities. Because other companies may calculate Consolidated EBITDA differently than we do, Consolidated EBITDA may not be comparable to similarly titled measures reported by other companies. Consolidated EBITDA has other limitations as an analytical tool, when compared to the use of net income, which is the most directly comparable GAAP financial measure, including:</w:t>
      </w:r>
    </w:p>
    <w:p>
      <w:pPr>
        <w:spacing w:after="0" w:line="68" w:lineRule="exact"/>
        <w:rPr>
          <w:sz w:val="20"/>
          <w:szCs w:val="20"/>
          <w:color w:val="auto"/>
        </w:rPr>
      </w:pPr>
    </w:p>
    <w:p>
      <w:pPr>
        <w:ind w:left="700" w:hanging="368"/>
        <w:spacing w:after="0"/>
        <w:tabs>
          <w:tab w:leader="none" w:pos="700" w:val="left"/>
        </w:tabs>
        <w:numPr>
          <w:ilvl w:val="0"/>
          <w:numId w:val="5"/>
        </w:numPr>
        <w:rPr>
          <w:rFonts w:ascii="Arial" w:cs="Arial" w:eastAsia="Arial" w:hAnsi="Arial"/>
          <w:sz w:val="18"/>
          <w:szCs w:val="18"/>
          <w:color w:val="auto"/>
        </w:rPr>
      </w:pPr>
      <w:r>
        <w:rPr>
          <w:rFonts w:ascii="Arial" w:cs="Arial" w:eastAsia="Arial" w:hAnsi="Arial"/>
          <w:sz w:val="18"/>
          <w:szCs w:val="18"/>
          <w:color w:val="auto"/>
        </w:rPr>
        <w:t>Consolidated EBITDA does not reflect the significant interest expense we incur as a result of our debt leverage;</w:t>
      </w:r>
    </w:p>
    <w:p>
      <w:pPr>
        <w:spacing w:after="0" w:line="117" w:lineRule="exact"/>
        <w:rPr>
          <w:rFonts w:ascii="Arial" w:cs="Arial" w:eastAsia="Arial" w:hAnsi="Arial"/>
          <w:sz w:val="18"/>
          <w:szCs w:val="18"/>
          <w:color w:val="auto"/>
        </w:rPr>
      </w:pPr>
    </w:p>
    <w:p>
      <w:pPr>
        <w:ind w:left="700" w:hanging="368"/>
        <w:spacing w:after="0"/>
        <w:tabs>
          <w:tab w:leader="none" w:pos="700" w:val="left"/>
        </w:tabs>
        <w:numPr>
          <w:ilvl w:val="0"/>
          <w:numId w:val="5"/>
        </w:numPr>
        <w:rPr>
          <w:rFonts w:ascii="Arial" w:cs="Arial" w:eastAsia="Arial" w:hAnsi="Arial"/>
          <w:sz w:val="18"/>
          <w:szCs w:val="18"/>
          <w:color w:val="auto"/>
        </w:rPr>
      </w:pPr>
      <w:r>
        <w:rPr>
          <w:rFonts w:ascii="Arial" w:cs="Arial" w:eastAsia="Arial" w:hAnsi="Arial"/>
          <w:sz w:val="18"/>
          <w:szCs w:val="18"/>
          <w:color w:val="auto"/>
        </w:rPr>
        <w:t>Consolidated EBITDA does not reflect the provision of income tax expense in our various jurisdictions;</w:t>
      </w:r>
    </w:p>
    <w:p>
      <w:pPr>
        <w:spacing w:after="0" w:line="117" w:lineRule="exact"/>
        <w:rPr>
          <w:rFonts w:ascii="Arial" w:cs="Arial" w:eastAsia="Arial" w:hAnsi="Arial"/>
          <w:sz w:val="18"/>
          <w:szCs w:val="18"/>
          <w:color w:val="auto"/>
        </w:rPr>
      </w:pPr>
    </w:p>
    <w:p>
      <w:pPr>
        <w:ind w:left="700" w:right="460" w:hanging="368"/>
        <w:spacing w:after="0" w:line="277" w:lineRule="auto"/>
        <w:tabs>
          <w:tab w:leader="none" w:pos="700" w:val="left"/>
        </w:tabs>
        <w:numPr>
          <w:ilvl w:val="0"/>
          <w:numId w:val="5"/>
        </w:numPr>
        <w:rPr>
          <w:rFonts w:ascii="Arial" w:cs="Arial" w:eastAsia="Arial" w:hAnsi="Arial"/>
          <w:sz w:val="18"/>
          <w:szCs w:val="18"/>
          <w:color w:val="auto"/>
        </w:rPr>
      </w:pPr>
      <w:r>
        <w:rPr>
          <w:rFonts w:ascii="Arial" w:cs="Arial" w:eastAsia="Arial" w:hAnsi="Arial"/>
          <w:sz w:val="18"/>
          <w:szCs w:val="18"/>
          <w:color w:val="auto"/>
        </w:rPr>
        <w:t>Consolidated EBITDA does not reflect any attribution of costs to our operations related to our investments and capital expenditures through depreciation and amortization charges;</w:t>
      </w:r>
    </w:p>
    <w:p>
      <w:pPr>
        <w:spacing w:after="0" w:line="62" w:lineRule="exact"/>
        <w:rPr>
          <w:rFonts w:ascii="Arial" w:cs="Arial" w:eastAsia="Arial" w:hAnsi="Arial"/>
          <w:sz w:val="18"/>
          <w:szCs w:val="18"/>
          <w:color w:val="auto"/>
        </w:rPr>
      </w:pPr>
    </w:p>
    <w:p>
      <w:pPr>
        <w:ind w:left="700" w:hanging="368"/>
        <w:spacing w:after="0"/>
        <w:tabs>
          <w:tab w:leader="none" w:pos="700" w:val="left"/>
        </w:tabs>
        <w:numPr>
          <w:ilvl w:val="0"/>
          <w:numId w:val="5"/>
        </w:numPr>
        <w:rPr>
          <w:rFonts w:ascii="Arial" w:cs="Arial" w:eastAsia="Arial" w:hAnsi="Arial"/>
          <w:sz w:val="18"/>
          <w:szCs w:val="18"/>
          <w:color w:val="auto"/>
        </w:rPr>
      </w:pPr>
      <w:r>
        <w:rPr>
          <w:rFonts w:ascii="Arial" w:cs="Arial" w:eastAsia="Arial" w:hAnsi="Arial"/>
          <w:sz w:val="18"/>
          <w:szCs w:val="18"/>
          <w:color w:val="auto"/>
        </w:rPr>
        <w:t>Consolidated EBITDA does not reflect the cost of compensation we provide to our employees in the form of stock-based awards;</w:t>
      </w:r>
    </w:p>
    <w:p>
      <w:pPr>
        <w:spacing w:after="0" w:line="117" w:lineRule="exact"/>
        <w:rPr>
          <w:rFonts w:ascii="Arial" w:cs="Arial" w:eastAsia="Arial" w:hAnsi="Arial"/>
          <w:sz w:val="18"/>
          <w:szCs w:val="18"/>
          <w:color w:val="auto"/>
        </w:rPr>
      </w:pPr>
    </w:p>
    <w:p>
      <w:pPr>
        <w:ind w:left="700" w:hanging="368"/>
        <w:spacing w:after="0"/>
        <w:tabs>
          <w:tab w:leader="none" w:pos="700" w:val="left"/>
        </w:tabs>
        <w:numPr>
          <w:ilvl w:val="0"/>
          <w:numId w:val="5"/>
        </w:numPr>
        <w:rPr>
          <w:rFonts w:ascii="Arial" w:cs="Arial" w:eastAsia="Arial" w:hAnsi="Arial"/>
          <w:sz w:val="18"/>
          <w:szCs w:val="18"/>
          <w:color w:val="auto"/>
        </w:rPr>
      </w:pPr>
      <w:r>
        <w:rPr>
          <w:rFonts w:ascii="Arial" w:cs="Arial" w:eastAsia="Arial" w:hAnsi="Arial"/>
          <w:sz w:val="18"/>
          <w:szCs w:val="18"/>
          <w:color w:val="auto"/>
        </w:rPr>
        <w:t>Consolidated EBITDA does not reflect the equity in earnings of unconsolidated affiliates; and</w:t>
      </w:r>
    </w:p>
    <w:p>
      <w:pPr>
        <w:spacing w:after="0" w:line="117" w:lineRule="exact"/>
        <w:rPr>
          <w:rFonts w:ascii="Arial" w:cs="Arial" w:eastAsia="Arial" w:hAnsi="Arial"/>
          <w:sz w:val="18"/>
          <w:szCs w:val="18"/>
          <w:color w:val="auto"/>
        </w:rPr>
      </w:pPr>
    </w:p>
    <w:p>
      <w:pPr>
        <w:ind w:left="700" w:right="540" w:hanging="368"/>
        <w:spacing w:after="0" w:line="277" w:lineRule="auto"/>
        <w:tabs>
          <w:tab w:leader="none" w:pos="700" w:val="left"/>
        </w:tabs>
        <w:numPr>
          <w:ilvl w:val="0"/>
          <w:numId w:val="5"/>
        </w:numPr>
        <w:rPr>
          <w:rFonts w:ascii="Arial" w:cs="Arial" w:eastAsia="Arial" w:hAnsi="Arial"/>
          <w:sz w:val="18"/>
          <w:szCs w:val="18"/>
          <w:color w:val="auto"/>
        </w:rPr>
      </w:pPr>
      <w:r>
        <w:rPr>
          <w:rFonts w:ascii="Arial" w:cs="Arial" w:eastAsia="Arial" w:hAnsi="Arial"/>
          <w:sz w:val="18"/>
          <w:szCs w:val="18"/>
          <w:color w:val="auto"/>
        </w:rPr>
        <w:t>Consolidated EBITDA excludes expenses and income that are permitted to be excluded per the terms of our amended senior secured credit facility, but which others may believe are normal expenses for the operation of a business.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449" w:right="339" w:bottom="1440" w:gutter="0" w:footer="0" w:header="0"/>
        </w:sectPr>
      </w:pPr>
    </w:p>
    <w:bookmarkStart w:id="23" w:name="page24"/>
    <w:bookmarkEnd w:id="23"/>
    <w:p>
      <w:pPr>
        <w:ind w:left="520"/>
        <w:spacing w:after="0"/>
        <w:rPr>
          <w:sz w:val="20"/>
          <w:szCs w:val="20"/>
          <w:color w:val="auto"/>
        </w:rPr>
      </w:pPr>
      <w:r>
        <w:rPr>
          <w:rFonts w:ascii="Arial" w:cs="Arial" w:eastAsia="Arial" w:hAnsi="Arial"/>
          <w:sz w:val="18"/>
          <w:szCs w:val="18"/>
          <w:color w:val="auto"/>
        </w:rPr>
        <w:t>The following is a reconciliation of net income to Consolidated EBITDA as defined in our amended senior secured credit facility.</w:t>
      </w:r>
    </w:p>
    <w:p>
      <w:pPr>
        <w:spacing w:after="0" w:line="2" w:lineRule="exact"/>
        <w:rPr>
          <w:sz w:val="20"/>
          <w:szCs w:val="20"/>
          <w:color w:val="auto"/>
        </w:rPr>
      </w:pPr>
    </w:p>
    <w:tbl>
      <w:tblPr>
        <w:tblLayout w:type="fixed"/>
        <w:tblInd w:w="580" w:type="dxa"/>
        <w:tblCellMar>
          <w:top w:w="0" w:type="dxa"/>
          <w:left w:w="0" w:type="dxa"/>
          <w:bottom w:w="0" w:type="dxa"/>
          <w:right w:w="0" w:type="dxa"/>
        </w:tblCellMar>
      </w:tblPr>
      <w:tr>
        <w:trPr>
          <w:trHeight w:val="161"/>
        </w:trPr>
        <w:tc>
          <w:tcPr>
            <w:tcW w:w="58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2600" w:type="dxa"/>
            <w:vAlign w:val="bottom"/>
            <w:gridSpan w:val="5"/>
            <w:vMerge w:val="restart"/>
          </w:tcPr>
          <w:p>
            <w:pPr>
              <w:jc w:val="right"/>
              <w:ind w:right="520"/>
              <w:spacing w:after="0"/>
              <w:rPr>
                <w:sz w:val="20"/>
                <w:szCs w:val="20"/>
                <w:color w:val="auto"/>
              </w:rPr>
            </w:pPr>
            <w:r>
              <w:rPr>
                <w:rFonts w:ascii="Arial" w:cs="Arial" w:eastAsia="Arial" w:hAnsi="Arial"/>
                <w:sz w:val="14"/>
                <w:szCs w:val="14"/>
                <w:b w:val="1"/>
                <w:bCs w:val="1"/>
                <w:color w:val="auto"/>
                <w:w w:val="99"/>
              </w:rPr>
              <w:t>Three Months Ended March 31,</w:t>
            </w:r>
          </w:p>
        </w:tc>
        <w:tc>
          <w:tcPr>
            <w:tcW w:w="1500" w:type="dxa"/>
            <w:vAlign w:val="bottom"/>
            <w:gridSpan w:val="3"/>
          </w:tcPr>
          <w:p>
            <w:pPr>
              <w:spacing w:after="0"/>
              <w:rPr>
                <w:sz w:val="20"/>
                <w:szCs w:val="20"/>
                <w:color w:val="auto"/>
              </w:rPr>
            </w:pPr>
            <w:r>
              <w:rPr>
                <w:rFonts w:ascii="Arial" w:cs="Arial" w:eastAsia="Arial" w:hAnsi="Arial"/>
                <w:sz w:val="14"/>
                <w:szCs w:val="14"/>
                <w:b w:val="1"/>
                <w:bCs w:val="1"/>
                <w:color w:val="auto"/>
              </w:rPr>
              <w:t>Twelve Months Ended</w:t>
            </w:r>
          </w:p>
        </w:tc>
        <w:tc>
          <w:tcPr>
            <w:tcW w:w="0" w:type="dxa"/>
            <w:vAlign w:val="bottom"/>
          </w:tcPr>
          <w:p>
            <w:pPr>
              <w:spacing w:after="0"/>
              <w:rPr>
                <w:sz w:val="1"/>
                <w:szCs w:val="1"/>
                <w:color w:val="auto"/>
              </w:rPr>
            </w:pPr>
          </w:p>
        </w:tc>
      </w:tr>
      <w:tr>
        <w:trPr>
          <w:trHeight w:val="171"/>
        </w:trPr>
        <w:tc>
          <w:tcPr>
            <w:tcW w:w="58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2600" w:type="dxa"/>
            <w:vAlign w:val="bottom"/>
            <w:gridSpan w:val="5"/>
            <w:vMerge w:val="continue"/>
          </w:tcPr>
          <w:p>
            <w:pPr>
              <w:spacing w:after="0"/>
              <w:rPr>
                <w:sz w:val="14"/>
                <w:szCs w:val="14"/>
                <w:color w:val="auto"/>
              </w:rPr>
            </w:pPr>
          </w:p>
        </w:tc>
        <w:tc>
          <w:tcPr>
            <w:tcW w:w="220" w:type="dxa"/>
            <w:vAlign w:val="bottom"/>
          </w:tcPr>
          <w:p>
            <w:pPr>
              <w:spacing w:after="0"/>
              <w:rPr>
                <w:sz w:val="14"/>
                <w:szCs w:val="14"/>
                <w:color w:val="auto"/>
              </w:rPr>
            </w:pPr>
          </w:p>
        </w:tc>
        <w:tc>
          <w:tcPr>
            <w:tcW w:w="1280" w:type="dxa"/>
            <w:vAlign w:val="bottom"/>
            <w:gridSpan w:val="2"/>
          </w:tcPr>
          <w:p>
            <w:pPr>
              <w:jc w:val="right"/>
              <w:ind w:right="500"/>
              <w:spacing w:after="0"/>
              <w:rPr>
                <w:sz w:val="20"/>
                <w:szCs w:val="20"/>
                <w:color w:val="auto"/>
              </w:rPr>
            </w:pPr>
            <w:r>
              <w:rPr>
                <w:rFonts w:ascii="Arial" w:cs="Arial" w:eastAsia="Arial" w:hAnsi="Arial"/>
                <w:sz w:val="14"/>
                <w:szCs w:val="14"/>
                <w:b w:val="1"/>
                <w:bCs w:val="1"/>
                <w:color w:val="auto"/>
              </w:rPr>
              <w:t>March 31,</w:t>
            </w:r>
          </w:p>
        </w:tc>
        <w:tc>
          <w:tcPr>
            <w:tcW w:w="0" w:type="dxa"/>
            <w:vAlign w:val="bottom"/>
          </w:tcPr>
          <w:p>
            <w:pPr>
              <w:spacing w:after="0"/>
              <w:rPr>
                <w:sz w:val="1"/>
                <w:szCs w:val="1"/>
                <w:color w:val="auto"/>
              </w:rPr>
            </w:pPr>
          </w:p>
        </w:tc>
      </w:tr>
      <w:tr>
        <w:trPr>
          <w:trHeight w:val="169"/>
        </w:trPr>
        <w:tc>
          <w:tcPr>
            <w:tcW w:w="5820" w:type="dxa"/>
            <w:vAlign w:val="bottom"/>
            <w:tcBorders>
              <w:bottom w:val="single" w:sz="8" w:color="CFF0FC"/>
            </w:tcBorders>
          </w:tcPr>
          <w:p>
            <w:pPr>
              <w:spacing w:after="0"/>
              <w:rPr>
                <w:sz w:val="20"/>
                <w:szCs w:val="20"/>
                <w:color w:val="auto"/>
              </w:rPr>
            </w:pPr>
            <w:r>
              <w:rPr>
                <w:rFonts w:ascii="Arial" w:cs="Arial" w:eastAsia="Arial" w:hAnsi="Arial"/>
                <w:sz w:val="14"/>
                <w:szCs w:val="14"/>
                <w:color w:val="auto"/>
              </w:rPr>
              <w:t>(in millions)</w:t>
            </w:r>
          </w:p>
        </w:tc>
        <w:tc>
          <w:tcPr>
            <w:tcW w:w="180" w:type="dxa"/>
            <w:vAlign w:val="bottom"/>
            <w:tcBorders>
              <w:top w:val="single" w:sz="8" w:color="auto"/>
              <w:bottom w:val="single" w:sz="8" w:color="auto"/>
            </w:tcBorders>
          </w:tcPr>
          <w:p>
            <w:pPr>
              <w:spacing w:after="0"/>
              <w:rPr>
                <w:sz w:val="14"/>
                <w:szCs w:val="14"/>
                <w:color w:val="auto"/>
              </w:rPr>
            </w:pPr>
          </w:p>
        </w:tc>
        <w:tc>
          <w:tcPr>
            <w:tcW w:w="980" w:type="dxa"/>
            <w:vAlign w:val="bottom"/>
            <w:tcBorders>
              <w:top w:val="single" w:sz="8" w:color="auto"/>
              <w:bottom w:val="single" w:sz="8" w:color="auto"/>
            </w:tcBorders>
          </w:tcPr>
          <w:p>
            <w:pPr>
              <w:jc w:val="right"/>
              <w:ind w:right="360"/>
              <w:spacing w:after="0"/>
              <w:rPr>
                <w:sz w:val="20"/>
                <w:szCs w:val="20"/>
                <w:color w:val="auto"/>
              </w:rPr>
            </w:pPr>
            <w:r>
              <w:rPr>
                <w:rFonts w:ascii="Arial" w:cs="Arial" w:eastAsia="Arial" w:hAnsi="Arial"/>
                <w:sz w:val="14"/>
                <w:szCs w:val="14"/>
                <w:b w:val="1"/>
                <w:bCs w:val="1"/>
                <w:color w:val="auto"/>
              </w:rPr>
              <w:t>2021</w:t>
            </w:r>
          </w:p>
        </w:tc>
        <w:tc>
          <w:tcPr>
            <w:tcW w:w="220" w:type="dxa"/>
            <w:vAlign w:val="bottom"/>
            <w:tcBorders>
              <w:top w:val="single" w:sz="8" w:color="auto"/>
              <w:bottom w:val="single" w:sz="8" w:color="CFF0FC"/>
            </w:tcBorders>
          </w:tcPr>
          <w:p>
            <w:pPr>
              <w:spacing w:after="0"/>
              <w:rPr>
                <w:sz w:val="14"/>
                <w:szCs w:val="14"/>
                <w:color w:val="auto"/>
              </w:rPr>
            </w:pPr>
          </w:p>
        </w:tc>
        <w:tc>
          <w:tcPr>
            <w:tcW w:w="260" w:type="dxa"/>
            <w:vAlign w:val="bottom"/>
            <w:tcBorders>
              <w:top w:val="single" w:sz="8" w:color="auto"/>
              <w:bottom w:val="single" w:sz="8" w:color="auto"/>
            </w:tcBorders>
          </w:tcPr>
          <w:p>
            <w:pPr>
              <w:spacing w:after="0"/>
              <w:rPr>
                <w:sz w:val="14"/>
                <w:szCs w:val="14"/>
                <w:color w:val="auto"/>
              </w:rPr>
            </w:pPr>
          </w:p>
        </w:tc>
        <w:tc>
          <w:tcPr>
            <w:tcW w:w="900" w:type="dxa"/>
            <w:vAlign w:val="bottom"/>
            <w:tcBorders>
              <w:top w:val="single" w:sz="8" w:color="auto"/>
              <w:bottom w:val="single" w:sz="8" w:color="auto"/>
            </w:tcBorders>
          </w:tcPr>
          <w:p>
            <w:pPr>
              <w:jc w:val="right"/>
              <w:ind w:right="360"/>
              <w:spacing w:after="0"/>
              <w:rPr>
                <w:sz w:val="20"/>
                <w:szCs w:val="20"/>
                <w:color w:val="auto"/>
              </w:rPr>
            </w:pPr>
            <w:r>
              <w:rPr>
                <w:rFonts w:ascii="Arial" w:cs="Arial" w:eastAsia="Arial" w:hAnsi="Arial"/>
                <w:sz w:val="14"/>
                <w:szCs w:val="14"/>
                <w:b w:val="1"/>
                <w:bCs w:val="1"/>
                <w:color w:val="auto"/>
              </w:rPr>
              <w:t>2020</w:t>
            </w:r>
          </w:p>
        </w:tc>
        <w:tc>
          <w:tcPr>
            <w:tcW w:w="240" w:type="dxa"/>
            <w:vAlign w:val="bottom"/>
            <w:tcBorders>
              <w:bottom w:val="single" w:sz="8" w:color="CFF0FC"/>
            </w:tcBorders>
          </w:tcPr>
          <w:p>
            <w:pPr>
              <w:spacing w:after="0"/>
              <w:rPr>
                <w:sz w:val="14"/>
                <w:szCs w:val="14"/>
                <w:color w:val="auto"/>
              </w:rPr>
            </w:pPr>
          </w:p>
        </w:tc>
        <w:tc>
          <w:tcPr>
            <w:tcW w:w="220" w:type="dxa"/>
            <w:vAlign w:val="bottom"/>
            <w:tcBorders>
              <w:top w:val="single" w:sz="8" w:color="auto"/>
              <w:bottom w:val="single" w:sz="8" w:color="auto"/>
            </w:tcBorders>
          </w:tcPr>
          <w:p>
            <w:pPr>
              <w:spacing w:after="0"/>
              <w:rPr>
                <w:sz w:val="14"/>
                <w:szCs w:val="14"/>
                <w:color w:val="auto"/>
              </w:rPr>
            </w:pPr>
          </w:p>
        </w:tc>
        <w:tc>
          <w:tcPr>
            <w:tcW w:w="1180" w:type="dxa"/>
            <w:vAlign w:val="bottom"/>
            <w:tcBorders>
              <w:top w:val="single" w:sz="8" w:color="auto"/>
              <w:bottom w:val="single" w:sz="8" w:color="auto"/>
            </w:tcBorders>
          </w:tcPr>
          <w:p>
            <w:pPr>
              <w:jc w:val="right"/>
              <w:ind w:right="480"/>
              <w:spacing w:after="0"/>
              <w:rPr>
                <w:sz w:val="20"/>
                <w:szCs w:val="20"/>
                <w:color w:val="auto"/>
              </w:rPr>
            </w:pPr>
            <w:r>
              <w:rPr>
                <w:rFonts w:ascii="Arial" w:cs="Arial" w:eastAsia="Arial" w:hAnsi="Arial"/>
                <w:sz w:val="14"/>
                <w:szCs w:val="14"/>
                <w:b w:val="1"/>
                <w:bCs w:val="1"/>
                <w:color w:val="auto"/>
              </w:rPr>
              <w:t>2021</w:t>
            </w:r>
          </w:p>
        </w:tc>
        <w:tc>
          <w:tcPr>
            <w:tcW w:w="100" w:type="dxa"/>
            <w:vAlign w:val="bottom"/>
            <w:tcBorders>
              <w:bottom w:val="single" w:sz="8" w:color="CFF0FC"/>
            </w:tcBorders>
          </w:tcPr>
          <w:p>
            <w:pPr>
              <w:spacing w:after="0"/>
              <w:rPr>
                <w:sz w:val="14"/>
                <w:szCs w:val="14"/>
                <w:color w:val="auto"/>
              </w:rPr>
            </w:pPr>
          </w:p>
        </w:tc>
        <w:tc>
          <w:tcPr>
            <w:tcW w:w="0" w:type="dxa"/>
            <w:vAlign w:val="bottom"/>
          </w:tcPr>
          <w:p>
            <w:pPr>
              <w:spacing w:after="0"/>
              <w:rPr>
                <w:sz w:val="1"/>
                <w:szCs w:val="1"/>
                <w:color w:val="auto"/>
              </w:rPr>
            </w:pPr>
          </w:p>
        </w:tc>
      </w:tr>
      <w:tr>
        <w:trPr>
          <w:trHeight w:val="209"/>
        </w:trPr>
        <w:tc>
          <w:tcPr>
            <w:tcW w:w="5820" w:type="dxa"/>
            <w:vAlign w:val="bottom"/>
            <w:shd w:val="clear" w:color="auto" w:fill="CFF0FC"/>
          </w:tcPr>
          <w:p>
            <w:pPr>
              <w:spacing w:after="0"/>
              <w:rPr>
                <w:sz w:val="20"/>
                <w:szCs w:val="20"/>
                <w:color w:val="auto"/>
              </w:rPr>
            </w:pPr>
            <w:r>
              <w:rPr>
                <w:rFonts w:ascii="Arial" w:cs="Arial" w:eastAsia="Arial" w:hAnsi="Arial"/>
                <w:sz w:val="16"/>
                <w:szCs w:val="16"/>
                <w:color w:val="auto"/>
              </w:rPr>
              <w:t>Net income</w:t>
            </w:r>
          </w:p>
        </w:tc>
        <w:tc>
          <w:tcPr>
            <w:tcW w:w="180" w:type="dxa"/>
            <w:vAlign w:val="bottom"/>
            <w:shd w:val="clear" w:color="auto" w:fill="CFF0FC"/>
          </w:tcPr>
          <w:p>
            <w:pPr>
              <w:jc w:val="right"/>
              <w:ind w:right="24"/>
              <w:spacing w:after="0"/>
              <w:rPr>
                <w:sz w:val="20"/>
                <w:szCs w:val="20"/>
                <w:color w:val="auto"/>
              </w:rPr>
            </w:pPr>
            <w:r>
              <w:rPr>
                <w:rFonts w:ascii="Arial" w:cs="Arial" w:eastAsia="Arial" w:hAnsi="Arial"/>
                <w:sz w:val="15"/>
                <w:szCs w:val="15"/>
                <w:color w:val="auto"/>
                <w:w w:val="71"/>
              </w:rPr>
              <w:t>$</w:t>
            </w:r>
          </w:p>
        </w:tc>
        <w:tc>
          <w:tcPr>
            <w:tcW w:w="980" w:type="dxa"/>
            <w:vAlign w:val="bottom"/>
            <w:shd w:val="clear" w:color="auto" w:fill="CFF0FC"/>
          </w:tcPr>
          <w:p>
            <w:pPr>
              <w:jc w:val="right"/>
              <w:spacing w:after="0"/>
              <w:rPr>
                <w:sz w:val="20"/>
                <w:szCs w:val="20"/>
                <w:color w:val="auto"/>
              </w:rPr>
            </w:pPr>
            <w:r>
              <w:rPr>
                <w:rFonts w:ascii="Arial" w:cs="Arial" w:eastAsia="Arial" w:hAnsi="Arial"/>
                <w:sz w:val="16"/>
                <w:szCs w:val="16"/>
                <w:color w:val="auto"/>
              </w:rPr>
              <w:t>174.9</w:t>
            </w:r>
          </w:p>
        </w:tc>
        <w:tc>
          <w:tcPr>
            <w:tcW w:w="220" w:type="dxa"/>
            <w:vAlign w:val="bottom"/>
            <w:shd w:val="clear" w:color="auto" w:fill="CFF0FC"/>
          </w:tcPr>
          <w:p>
            <w:pPr>
              <w:spacing w:after="0"/>
              <w:rPr>
                <w:sz w:val="18"/>
                <w:szCs w:val="18"/>
                <w:color w:val="auto"/>
              </w:rPr>
            </w:pPr>
          </w:p>
        </w:tc>
        <w:tc>
          <w:tcPr>
            <w:tcW w:w="260" w:type="dxa"/>
            <w:vAlign w:val="bottom"/>
            <w:shd w:val="clear" w:color="auto" w:fill="CFF0FC"/>
          </w:tcPr>
          <w:p>
            <w:pPr>
              <w:jc w:val="right"/>
              <w:ind w:right="104"/>
              <w:spacing w:after="0"/>
              <w:rPr>
                <w:sz w:val="20"/>
                <w:szCs w:val="20"/>
                <w:color w:val="auto"/>
              </w:rPr>
            </w:pPr>
            <w:r>
              <w:rPr>
                <w:rFonts w:ascii="Arial" w:cs="Arial" w:eastAsia="Arial" w:hAnsi="Arial"/>
                <w:sz w:val="15"/>
                <w:szCs w:val="15"/>
                <w:color w:val="auto"/>
                <w:w w:val="71"/>
              </w:rPr>
              <w:t>$</w:t>
            </w:r>
          </w:p>
        </w:tc>
        <w:tc>
          <w:tcPr>
            <w:tcW w:w="900" w:type="dxa"/>
            <w:vAlign w:val="bottom"/>
            <w:shd w:val="clear" w:color="auto" w:fill="CFF0FC"/>
          </w:tcPr>
          <w:p>
            <w:pPr>
              <w:jc w:val="right"/>
              <w:spacing w:after="0"/>
              <w:rPr>
                <w:sz w:val="20"/>
                <w:szCs w:val="20"/>
                <w:color w:val="auto"/>
              </w:rPr>
            </w:pPr>
            <w:r>
              <w:rPr>
                <w:rFonts w:ascii="Arial" w:cs="Arial" w:eastAsia="Arial" w:hAnsi="Arial"/>
                <w:sz w:val="16"/>
                <w:szCs w:val="16"/>
                <w:color w:val="auto"/>
              </w:rPr>
              <w:t>99.2</w:t>
            </w:r>
          </w:p>
        </w:tc>
        <w:tc>
          <w:tcPr>
            <w:tcW w:w="24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20"/>
                <w:szCs w:val="20"/>
                <w:color w:val="auto"/>
              </w:rPr>
            </w:pPr>
            <w:r>
              <w:rPr>
                <w:rFonts w:ascii="Arial" w:cs="Arial" w:eastAsia="Arial" w:hAnsi="Arial"/>
                <w:sz w:val="16"/>
                <w:szCs w:val="16"/>
                <w:color w:val="auto"/>
              </w:rPr>
              <w:t>$</w:t>
            </w:r>
          </w:p>
        </w:tc>
        <w:tc>
          <w:tcPr>
            <w:tcW w:w="1180" w:type="dxa"/>
            <w:vAlign w:val="bottom"/>
            <w:shd w:val="clear" w:color="auto" w:fill="CFF0FC"/>
          </w:tcPr>
          <w:p>
            <w:pPr>
              <w:jc w:val="right"/>
              <w:spacing w:after="0"/>
              <w:rPr>
                <w:sz w:val="20"/>
                <w:szCs w:val="20"/>
                <w:color w:val="auto"/>
              </w:rPr>
            </w:pPr>
            <w:r>
              <w:rPr>
                <w:rFonts w:ascii="Arial" w:cs="Arial" w:eastAsia="Arial" w:hAnsi="Arial"/>
                <w:sz w:val="16"/>
                <w:szCs w:val="16"/>
                <w:color w:val="auto"/>
              </w:rPr>
              <w:t>700.9</w:t>
            </w:r>
          </w:p>
        </w:tc>
        <w:tc>
          <w:tcPr>
            <w:tcW w:w="10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3"/>
        </w:trPr>
        <w:tc>
          <w:tcPr>
            <w:tcW w:w="5820" w:type="dxa"/>
            <w:vAlign w:val="bottom"/>
          </w:tcPr>
          <w:p>
            <w:pPr>
              <w:spacing w:after="0"/>
              <w:rPr>
                <w:sz w:val="20"/>
                <w:szCs w:val="20"/>
                <w:color w:val="auto"/>
              </w:rPr>
            </w:pPr>
            <w:r>
              <w:rPr>
                <w:rFonts w:ascii="Arial" w:cs="Arial" w:eastAsia="Arial" w:hAnsi="Arial"/>
                <w:sz w:val="16"/>
                <w:szCs w:val="16"/>
                <w:color w:val="auto"/>
              </w:rPr>
              <w:t>Interest expense, net</w:t>
            </w:r>
          </w:p>
        </w:tc>
        <w:tc>
          <w:tcPr>
            <w:tcW w:w="180" w:type="dxa"/>
            <w:vAlign w:val="bottom"/>
          </w:tcPr>
          <w:p>
            <w:pPr>
              <w:spacing w:after="0"/>
              <w:rPr>
                <w:sz w:val="18"/>
                <w:szCs w:val="18"/>
                <w:color w:val="auto"/>
              </w:rPr>
            </w:pPr>
          </w:p>
        </w:tc>
        <w:tc>
          <w:tcPr>
            <w:tcW w:w="980" w:type="dxa"/>
            <w:vAlign w:val="bottom"/>
          </w:tcPr>
          <w:p>
            <w:pPr>
              <w:jc w:val="right"/>
              <w:spacing w:after="0"/>
              <w:rPr>
                <w:sz w:val="20"/>
                <w:szCs w:val="20"/>
                <w:color w:val="auto"/>
              </w:rPr>
            </w:pPr>
            <w:r>
              <w:rPr>
                <w:rFonts w:ascii="Arial" w:cs="Arial" w:eastAsia="Arial" w:hAnsi="Arial"/>
                <w:sz w:val="16"/>
                <w:szCs w:val="16"/>
                <w:color w:val="auto"/>
              </w:rPr>
              <w:t>51.4</w:t>
            </w:r>
          </w:p>
        </w:tc>
        <w:tc>
          <w:tcPr>
            <w:tcW w:w="2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Arial" w:cs="Arial" w:eastAsia="Arial" w:hAnsi="Arial"/>
                <w:sz w:val="16"/>
                <w:szCs w:val="16"/>
                <w:color w:val="auto"/>
              </w:rPr>
              <w:t>77.4</w:t>
            </w:r>
          </w:p>
        </w:tc>
        <w:tc>
          <w:tcPr>
            <w:tcW w:w="2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180" w:type="dxa"/>
            <w:vAlign w:val="bottom"/>
          </w:tcPr>
          <w:p>
            <w:pPr>
              <w:jc w:val="right"/>
              <w:spacing w:after="0"/>
              <w:rPr>
                <w:sz w:val="20"/>
                <w:szCs w:val="20"/>
                <w:color w:val="auto"/>
              </w:rPr>
            </w:pPr>
            <w:r>
              <w:rPr>
                <w:rFonts w:ascii="Arial" w:cs="Arial" w:eastAsia="Arial" w:hAnsi="Arial"/>
                <w:sz w:val="16"/>
                <w:szCs w:val="16"/>
                <w:color w:val="auto"/>
              </w:rPr>
              <w:t>219.9</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9"/>
        </w:trPr>
        <w:tc>
          <w:tcPr>
            <w:tcW w:w="5820" w:type="dxa"/>
            <w:vAlign w:val="bottom"/>
            <w:shd w:val="clear" w:color="auto" w:fill="CFF0FC"/>
          </w:tcPr>
          <w:p>
            <w:pPr>
              <w:spacing w:after="0"/>
              <w:rPr>
                <w:sz w:val="20"/>
                <w:szCs w:val="20"/>
                <w:color w:val="auto"/>
              </w:rPr>
            </w:pPr>
            <w:r>
              <w:rPr>
                <w:rFonts w:ascii="Arial" w:cs="Arial" w:eastAsia="Arial" w:hAnsi="Arial"/>
                <w:sz w:val="16"/>
                <w:szCs w:val="16"/>
                <w:color w:val="auto"/>
              </w:rPr>
              <w:t>Provision for income taxes</w:t>
            </w:r>
          </w:p>
        </w:tc>
        <w:tc>
          <w:tcPr>
            <w:tcW w:w="180" w:type="dxa"/>
            <w:vAlign w:val="bottom"/>
            <w:shd w:val="clear" w:color="auto" w:fill="CFF0FC"/>
          </w:tcPr>
          <w:p>
            <w:pPr>
              <w:spacing w:after="0"/>
              <w:rPr>
                <w:sz w:val="19"/>
                <w:szCs w:val="19"/>
                <w:color w:val="auto"/>
              </w:rPr>
            </w:pPr>
          </w:p>
        </w:tc>
        <w:tc>
          <w:tcPr>
            <w:tcW w:w="980" w:type="dxa"/>
            <w:vAlign w:val="bottom"/>
            <w:shd w:val="clear" w:color="auto" w:fill="CFF0FC"/>
          </w:tcPr>
          <w:p>
            <w:pPr>
              <w:jc w:val="right"/>
              <w:spacing w:after="0"/>
              <w:rPr>
                <w:sz w:val="20"/>
                <w:szCs w:val="20"/>
                <w:color w:val="auto"/>
              </w:rPr>
            </w:pPr>
            <w:r>
              <w:rPr>
                <w:rFonts w:ascii="Arial" w:cs="Arial" w:eastAsia="Arial" w:hAnsi="Arial"/>
                <w:sz w:val="16"/>
                <w:szCs w:val="16"/>
                <w:color w:val="auto"/>
              </w:rPr>
              <w:t>60.8</w:t>
            </w:r>
          </w:p>
        </w:tc>
        <w:tc>
          <w:tcPr>
            <w:tcW w:w="220" w:type="dxa"/>
            <w:vAlign w:val="bottom"/>
            <w:shd w:val="clear" w:color="auto" w:fill="CFF0FC"/>
          </w:tcPr>
          <w:p>
            <w:pPr>
              <w:spacing w:after="0"/>
              <w:rPr>
                <w:sz w:val="19"/>
                <w:szCs w:val="19"/>
                <w:color w:val="auto"/>
              </w:rPr>
            </w:pPr>
          </w:p>
        </w:tc>
        <w:tc>
          <w:tcPr>
            <w:tcW w:w="260" w:type="dxa"/>
            <w:vAlign w:val="bottom"/>
            <w:shd w:val="clear" w:color="auto" w:fill="CFF0FC"/>
          </w:tcPr>
          <w:p>
            <w:pPr>
              <w:spacing w:after="0"/>
              <w:rPr>
                <w:sz w:val="19"/>
                <w:szCs w:val="19"/>
                <w:color w:val="auto"/>
              </w:rPr>
            </w:pPr>
          </w:p>
        </w:tc>
        <w:tc>
          <w:tcPr>
            <w:tcW w:w="900" w:type="dxa"/>
            <w:vAlign w:val="bottom"/>
            <w:shd w:val="clear" w:color="auto" w:fill="CFF0FC"/>
          </w:tcPr>
          <w:p>
            <w:pPr>
              <w:jc w:val="right"/>
              <w:spacing w:after="0"/>
              <w:rPr>
                <w:sz w:val="20"/>
                <w:szCs w:val="20"/>
                <w:color w:val="auto"/>
              </w:rPr>
            </w:pPr>
            <w:r>
              <w:rPr>
                <w:rFonts w:ascii="Arial" w:cs="Arial" w:eastAsia="Arial" w:hAnsi="Arial"/>
                <w:sz w:val="16"/>
                <w:szCs w:val="16"/>
                <w:color w:val="auto"/>
              </w:rPr>
              <w:t>24.8</w:t>
            </w:r>
          </w:p>
        </w:tc>
        <w:tc>
          <w:tcPr>
            <w:tcW w:w="24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1180" w:type="dxa"/>
            <w:vAlign w:val="bottom"/>
            <w:shd w:val="clear" w:color="auto" w:fill="CFF0FC"/>
          </w:tcPr>
          <w:p>
            <w:pPr>
              <w:jc w:val="right"/>
              <w:spacing w:after="0"/>
              <w:rPr>
                <w:sz w:val="20"/>
                <w:szCs w:val="20"/>
                <w:color w:val="auto"/>
              </w:rPr>
            </w:pPr>
            <w:r>
              <w:rPr>
                <w:rFonts w:ascii="Arial" w:cs="Arial" w:eastAsia="Arial" w:hAnsi="Arial"/>
                <w:sz w:val="16"/>
                <w:szCs w:val="16"/>
                <w:color w:val="auto"/>
              </w:rPr>
              <w:t>186.6</w:t>
            </w: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13"/>
        </w:trPr>
        <w:tc>
          <w:tcPr>
            <w:tcW w:w="5820" w:type="dxa"/>
            <w:vAlign w:val="bottom"/>
            <w:tcBorders>
              <w:bottom w:val="single" w:sz="8" w:color="CFF0FC"/>
            </w:tcBorders>
          </w:tcPr>
          <w:p>
            <w:pPr>
              <w:spacing w:after="0"/>
              <w:rPr>
                <w:sz w:val="20"/>
                <w:szCs w:val="20"/>
                <w:color w:val="auto"/>
              </w:rPr>
            </w:pPr>
            <w:r>
              <w:rPr>
                <w:rFonts w:ascii="Arial" w:cs="Arial" w:eastAsia="Arial" w:hAnsi="Arial"/>
                <w:sz w:val="16"/>
                <w:szCs w:val="16"/>
                <w:color w:val="auto"/>
              </w:rPr>
              <w:t>Depreciation and amortization</w:t>
            </w:r>
          </w:p>
        </w:tc>
        <w:tc>
          <w:tcPr>
            <w:tcW w:w="180" w:type="dxa"/>
            <w:vAlign w:val="bottom"/>
            <w:tcBorders>
              <w:bottom w:val="single" w:sz="8" w:color="auto"/>
            </w:tcBorders>
          </w:tcPr>
          <w:p>
            <w:pPr>
              <w:spacing w:after="0"/>
              <w:rPr>
                <w:sz w:val="18"/>
                <w:szCs w:val="18"/>
                <w:color w:val="auto"/>
              </w:rPr>
            </w:pP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169.5</w:t>
            </w:r>
          </w:p>
        </w:tc>
        <w:tc>
          <w:tcPr>
            <w:tcW w:w="220" w:type="dxa"/>
            <w:vAlign w:val="bottom"/>
            <w:tcBorders>
              <w:bottom w:val="single" w:sz="8" w:color="CFF0FC"/>
            </w:tcBorders>
          </w:tcPr>
          <w:p>
            <w:pPr>
              <w:spacing w:after="0"/>
              <w:rPr>
                <w:sz w:val="18"/>
                <w:szCs w:val="18"/>
                <w:color w:val="auto"/>
              </w:rPr>
            </w:pPr>
          </w:p>
        </w:tc>
        <w:tc>
          <w:tcPr>
            <w:tcW w:w="260" w:type="dxa"/>
            <w:vAlign w:val="bottom"/>
            <w:tcBorders>
              <w:bottom w:val="single" w:sz="8" w:color="auto"/>
            </w:tcBorders>
          </w:tcPr>
          <w:p>
            <w:pPr>
              <w:spacing w:after="0"/>
              <w:rPr>
                <w:sz w:val="18"/>
                <w:szCs w:val="18"/>
                <w:color w:val="auto"/>
              </w:rPr>
            </w:pP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184.7</w:t>
            </w:r>
          </w:p>
        </w:tc>
        <w:tc>
          <w:tcPr>
            <w:tcW w:w="240" w:type="dxa"/>
            <w:vAlign w:val="bottom"/>
            <w:tcBorders>
              <w:bottom w:val="single" w:sz="8" w:color="CFF0FC"/>
            </w:tcBorders>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11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710.1</w:t>
            </w:r>
          </w:p>
        </w:tc>
        <w:tc>
          <w:tcPr>
            <w:tcW w:w="100" w:type="dxa"/>
            <w:vAlign w:val="bottom"/>
            <w:tcBorders>
              <w:bottom w:val="single" w:sz="8" w:color="CFF0FC"/>
            </w:tcBorders>
          </w:tcPr>
          <w:p>
            <w:pPr>
              <w:spacing w:after="0"/>
              <w:rPr>
                <w:sz w:val="18"/>
                <w:szCs w:val="18"/>
                <w:color w:val="auto"/>
              </w:rPr>
            </w:pPr>
          </w:p>
        </w:tc>
        <w:tc>
          <w:tcPr>
            <w:tcW w:w="0" w:type="dxa"/>
            <w:vAlign w:val="bottom"/>
          </w:tcPr>
          <w:p>
            <w:pPr>
              <w:spacing w:after="0"/>
              <w:rPr>
                <w:sz w:val="1"/>
                <w:szCs w:val="1"/>
                <w:color w:val="auto"/>
              </w:rPr>
            </w:pPr>
          </w:p>
        </w:tc>
      </w:tr>
      <w:tr>
        <w:trPr>
          <w:trHeight w:val="212"/>
        </w:trPr>
        <w:tc>
          <w:tcPr>
            <w:tcW w:w="5820" w:type="dxa"/>
            <w:vAlign w:val="bottom"/>
            <w:shd w:val="clear" w:color="auto" w:fill="CFF0FC"/>
          </w:tcPr>
          <w:p>
            <w:pPr>
              <w:ind w:left="240"/>
              <w:spacing w:after="0"/>
              <w:rPr>
                <w:sz w:val="20"/>
                <w:szCs w:val="20"/>
                <w:color w:val="auto"/>
              </w:rPr>
            </w:pPr>
            <w:r>
              <w:rPr>
                <w:rFonts w:ascii="Arial" w:cs="Arial" w:eastAsia="Arial" w:hAnsi="Arial"/>
                <w:sz w:val="16"/>
                <w:szCs w:val="16"/>
                <w:color w:val="auto"/>
              </w:rPr>
              <w:t>EBITDA</w:t>
            </w:r>
          </w:p>
        </w:tc>
        <w:tc>
          <w:tcPr>
            <w:tcW w:w="180" w:type="dxa"/>
            <w:vAlign w:val="bottom"/>
            <w:shd w:val="clear" w:color="auto" w:fill="CFF0FC"/>
          </w:tcPr>
          <w:p>
            <w:pPr>
              <w:spacing w:after="0"/>
              <w:rPr>
                <w:sz w:val="18"/>
                <w:szCs w:val="18"/>
                <w:color w:val="auto"/>
              </w:rPr>
            </w:pPr>
          </w:p>
        </w:tc>
        <w:tc>
          <w:tcPr>
            <w:tcW w:w="980" w:type="dxa"/>
            <w:vAlign w:val="bottom"/>
            <w:shd w:val="clear" w:color="auto" w:fill="CFF0FC"/>
          </w:tcPr>
          <w:p>
            <w:pPr>
              <w:jc w:val="right"/>
              <w:spacing w:after="0"/>
              <w:rPr>
                <w:sz w:val="20"/>
                <w:szCs w:val="20"/>
                <w:color w:val="auto"/>
              </w:rPr>
            </w:pPr>
            <w:r>
              <w:rPr>
                <w:rFonts w:ascii="Arial" w:cs="Arial" w:eastAsia="Arial" w:hAnsi="Arial"/>
                <w:sz w:val="16"/>
                <w:szCs w:val="16"/>
                <w:color w:val="auto"/>
              </w:rPr>
              <w:t>456.6</w:t>
            </w:r>
          </w:p>
        </w:tc>
        <w:tc>
          <w:tcPr>
            <w:tcW w:w="220" w:type="dxa"/>
            <w:vAlign w:val="bottom"/>
            <w:shd w:val="clear" w:color="auto" w:fill="CFF0FC"/>
          </w:tcPr>
          <w:p>
            <w:pPr>
              <w:spacing w:after="0"/>
              <w:rPr>
                <w:sz w:val="18"/>
                <w:szCs w:val="18"/>
                <w:color w:val="auto"/>
              </w:rPr>
            </w:pPr>
          </w:p>
        </w:tc>
        <w:tc>
          <w:tcPr>
            <w:tcW w:w="260" w:type="dxa"/>
            <w:vAlign w:val="bottom"/>
            <w:shd w:val="clear" w:color="auto" w:fill="CFF0FC"/>
          </w:tcPr>
          <w:p>
            <w:pPr>
              <w:spacing w:after="0"/>
              <w:rPr>
                <w:sz w:val="18"/>
                <w:szCs w:val="18"/>
                <w:color w:val="auto"/>
              </w:rPr>
            </w:pPr>
          </w:p>
        </w:tc>
        <w:tc>
          <w:tcPr>
            <w:tcW w:w="900" w:type="dxa"/>
            <w:vAlign w:val="bottom"/>
            <w:shd w:val="clear" w:color="auto" w:fill="CFF0FC"/>
          </w:tcPr>
          <w:p>
            <w:pPr>
              <w:jc w:val="right"/>
              <w:spacing w:after="0"/>
              <w:rPr>
                <w:sz w:val="20"/>
                <w:szCs w:val="20"/>
                <w:color w:val="auto"/>
              </w:rPr>
            </w:pPr>
            <w:r>
              <w:rPr>
                <w:rFonts w:ascii="Arial" w:cs="Arial" w:eastAsia="Arial" w:hAnsi="Arial"/>
                <w:sz w:val="16"/>
                <w:szCs w:val="16"/>
                <w:color w:val="auto"/>
              </w:rPr>
              <w:t>386.1</w:t>
            </w:r>
          </w:p>
        </w:tc>
        <w:tc>
          <w:tcPr>
            <w:tcW w:w="24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1180" w:type="dxa"/>
            <w:vAlign w:val="bottom"/>
            <w:shd w:val="clear" w:color="auto" w:fill="CFF0FC"/>
          </w:tcPr>
          <w:p>
            <w:pPr>
              <w:jc w:val="right"/>
              <w:spacing w:after="0"/>
              <w:rPr>
                <w:sz w:val="20"/>
                <w:szCs w:val="20"/>
                <w:color w:val="auto"/>
              </w:rPr>
            </w:pPr>
            <w:r>
              <w:rPr>
                <w:rFonts w:ascii="Arial" w:cs="Arial" w:eastAsia="Arial" w:hAnsi="Arial"/>
                <w:sz w:val="16"/>
                <w:szCs w:val="16"/>
                <w:color w:val="auto"/>
              </w:rPr>
              <w:t>1,817.5</w:t>
            </w:r>
          </w:p>
        </w:tc>
        <w:tc>
          <w:tcPr>
            <w:tcW w:w="10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3"/>
        </w:trPr>
        <w:tc>
          <w:tcPr>
            <w:tcW w:w="5820" w:type="dxa"/>
            <w:vAlign w:val="bottom"/>
          </w:tcPr>
          <w:p>
            <w:pPr>
              <w:spacing w:after="0"/>
              <w:rPr>
                <w:sz w:val="20"/>
                <w:szCs w:val="20"/>
                <w:color w:val="auto"/>
              </w:rPr>
            </w:pPr>
            <w:r>
              <w:rPr>
                <w:rFonts w:ascii="Arial" w:cs="Arial" w:eastAsia="Arial" w:hAnsi="Arial"/>
                <w:sz w:val="16"/>
                <w:szCs w:val="16"/>
                <w:color w:val="auto"/>
              </w:rPr>
              <w:t>Stock-based compensation</w:t>
            </w:r>
          </w:p>
        </w:tc>
        <w:tc>
          <w:tcPr>
            <w:tcW w:w="180" w:type="dxa"/>
            <w:vAlign w:val="bottom"/>
          </w:tcPr>
          <w:p>
            <w:pPr>
              <w:spacing w:after="0"/>
              <w:rPr>
                <w:sz w:val="18"/>
                <w:szCs w:val="18"/>
                <w:color w:val="auto"/>
              </w:rPr>
            </w:pPr>
          </w:p>
        </w:tc>
        <w:tc>
          <w:tcPr>
            <w:tcW w:w="980" w:type="dxa"/>
            <w:vAlign w:val="bottom"/>
          </w:tcPr>
          <w:p>
            <w:pPr>
              <w:jc w:val="right"/>
              <w:spacing w:after="0"/>
              <w:rPr>
                <w:sz w:val="20"/>
                <w:szCs w:val="20"/>
                <w:color w:val="auto"/>
              </w:rPr>
            </w:pPr>
            <w:r>
              <w:rPr>
                <w:rFonts w:ascii="Arial" w:cs="Arial" w:eastAsia="Arial" w:hAnsi="Arial"/>
                <w:sz w:val="16"/>
                <w:szCs w:val="16"/>
                <w:color w:val="auto"/>
              </w:rPr>
              <w:t>27.8</w:t>
            </w:r>
          </w:p>
        </w:tc>
        <w:tc>
          <w:tcPr>
            <w:tcW w:w="2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Arial" w:cs="Arial" w:eastAsia="Arial" w:hAnsi="Arial"/>
                <w:sz w:val="16"/>
                <w:szCs w:val="16"/>
                <w:color w:val="auto"/>
              </w:rPr>
              <w:t>22.5</w:t>
            </w:r>
          </w:p>
        </w:tc>
        <w:tc>
          <w:tcPr>
            <w:tcW w:w="2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180" w:type="dxa"/>
            <w:vAlign w:val="bottom"/>
          </w:tcPr>
          <w:p>
            <w:pPr>
              <w:jc w:val="right"/>
              <w:spacing w:after="0"/>
              <w:rPr>
                <w:sz w:val="20"/>
                <w:szCs w:val="20"/>
                <w:color w:val="auto"/>
              </w:rPr>
            </w:pPr>
            <w:r>
              <w:rPr>
                <w:rFonts w:ascii="Arial" w:cs="Arial" w:eastAsia="Arial" w:hAnsi="Arial"/>
                <w:sz w:val="16"/>
                <w:szCs w:val="16"/>
                <w:color w:val="auto"/>
              </w:rPr>
              <w:t>93.1</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9"/>
        </w:trPr>
        <w:tc>
          <w:tcPr>
            <w:tcW w:w="5820" w:type="dxa"/>
            <w:vAlign w:val="bottom"/>
            <w:shd w:val="clear" w:color="auto" w:fill="CFF0FC"/>
          </w:tcPr>
          <w:p>
            <w:pPr>
              <w:spacing w:after="0"/>
              <w:rPr>
                <w:sz w:val="20"/>
                <w:szCs w:val="20"/>
                <w:color w:val="auto"/>
              </w:rPr>
            </w:pPr>
            <w:r>
              <w:rPr>
                <w:rFonts w:ascii="Arial" w:cs="Arial" w:eastAsia="Arial" w:hAnsi="Arial"/>
                <w:sz w:val="16"/>
                <w:szCs w:val="16"/>
                <w:color w:val="auto"/>
              </w:rPr>
              <w:t>Acquired EBITDA and cost savings (1)</w:t>
            </w:r>
          </w:p>
        </w:tc>
        <w:tc>
          <w:tcPr>
            <w:tcW w:w="180" w:type="dxa"/>
            <w:vAlign w:val="bottom"/>
            <w:shd w:val="clear" w:color="auto" w:fill="CFF0FC"/>
          </w:tcPr>
          <w:p>
            <w:pPr>
              <w:spacing w:after="0"/>
              <w:rPr>
                <w:sz w:val="19"/>
                <w:szCs w:val="19"/>
                <w:color w:val="auto"/>
              </w:rPr>
            </w:pPr>
          </w:p>
        </w:tc>
        <w:tc>
          <w:tcPr>
            <w:tcW w:w="980" w:type="dxa"/>
            <w:vAlign w:val="bottom"/>
            <w:shd w:val="clear" w:color="auto" w:fill="CFF0FC"/>
          </w:tcPr>
          <w:p>
            <w:pPr>
              <w:jc w:val="right"/>
              <w:spacing w:after="0"/>
              <w:rPr>
                <w:sz w:val="20"/>
                <w:szCs w:val="20"/>
                <w:color w:val="auto"/>
              </w:rPr>
            </w:pPr>
            <w:r>
              <w:rPr>
                <w:rFonts w:ascii="Arial" w:cs="Arial" w:eastAsia="Arial" w:hAnsi="Arial"/>
                <w:sz w:val="16"/>
                <w:szCs w:val="16"/>
                <w:color w:val="auto"/>
              </w:rPr>
              <w:t>1.3</w:t>
            </w:r>
          </w:p>
        </w:tc>
        <w:tc>
          <w:tcPr>
            <w:tcW w:w="220" w:type="dxa"/>
            <w:vAlign w:val="bottom"/>
            <w:shd w:val="clear" w:color="auto" w:fill="CFF0FC"/>
          </w:tcPr>
          <w:p>
            <w:pPr>
              <w:spacing w:after="0"/>
              <w:rPr>
                <w:sz w:val="19"/>
                <w:szCs w:val="19"/>
                <w:color w:val="auto"/>
              </w:rPr>
            </w:pPr>
          </w:p>
        </w:tc>
        <w:tc>
          <w:tcPr>
            <w:tcW w:w="260" w:type="dxa"/>
            <w:vAlign w:val="bottom"/>
            <w:shd w:val="clear" w:color="auto" w:fill="CFF0FC"/>
          </w:tcPr>
          <w:p>
            <w:pPr>
              <w:spacing w:after="0"/>
              <w:rPr>
                <w:sz w:val="19"/>
                <w:szCs w:val="19"/>
                <w:color w:val="auto"/>
              </w:rPr>
            </w:pPr>
          </w:p>
        </w:tc>
        <w:tc>
          <w:tcPr>
            <w:tcW w:w="1140" w:type="dxa"/>
            <w:vAlign w:val="bottom"/>
            <w:gridSpan w:val="2"/>
            <w:shd w:val="clear" w:color="auto" w:fill="CFF0FC"/>
          </w:tcPr>
          <w:p>
            <w:pPr>
              <w:jc w:val="right"/>
              <w:ind w:right="180"/>
              <w:spacing w:after="0"/>
              <w:rPr>
                <w:sz w:val="20"/>
                <w:szCs w:val="20"/>
                <w:color w:val="auto"/>
              </w:rPr>
            </w:pPr>
            <w:r>
              <w:rPr>
                <w:rFonts w:ascii="Arial" w:cs="Arial" w:eastAsia="Arial" w:hAnsi="Arial"/>
                <w:sz w:val="16"/>
                <w:szCs w:val="16"/>
                <w:color w:val="auto"/>
              </w:rPr>
              <w:t>(1.0)</w:t>
            </w:r>
          </w:p>
        </w:tc>
        <w:tc>
          <w:tcPr>
            <w:tcW w:w="220" w:type="dxa"/>
            <w:vAlign w:val="bottom"/>
            <w:shd w:val="clear" w:color="auto" w:fill="CFF0FC"/>
          </w:tcPr>
          <w:p>
            <w:pPr>
              <w:spacing w:after="0"/>
              <w:rPr>
                <w:sz w:val="19"/>
                <w:szCs w:val="19"/>
                <w:color w:val="auto"/>
              </w:rPr>
            </w:pPr>
          </w:p>
        </w:tc>
        <w:tc>
          <w:tcPr>
            <w:tcW w:w="1180" w:type="dxa"/>
            <w:vAlign w:val="bottom"/>
            <w:shd w:val="clear" w:color="auto" w:fill="CFF0FC"/>
          </w:tcPr>
          <w:p>
            <w:pPr>
              <w:jc w:val="right"/>
              <w:spacing w:after="0"/>
              <w:rPr>
                <w:sz w:val="20"/>
                <w:szCs w:val="20"/>
                <w:color w:val="auto"/>
              </w:rPr>
            </w:pPr>
            <w:r>
              <w:rPr>
                <w:rFonts w:ascii="Arial" w:cs="Arial" w:eastAsia="Arial" w:hAnsi="Arial"/>
                <w:sz w:val="16"/>
                <w:szCs w:val="16"/>
                <w:color w:val="auto"/>
              </w:rPr>
              <w:t>4.0</w:t>
            </w: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13"/>
        </w:trPr>
        <w:tc>
          <w:tcPr>
            <w:tcW w:w="5820" w:type="dxa"/>
            <w:vAlign w:val="bottom"/>
          </w:tcPr>
          <w:p>
            <w:pPr>
              <w:spacing w:after="0"/>
              <w:rPr>
                <w:sz w:val="20"/>
                <w:szCs w:val="20"/>
                <w:color w:val="auto"/>
              </w:rPr>
            </w:pPr>
            <w:r>
              <w:rPr>
                <w:rFonts w:ascii="Arial" w:cs="Arial" w:eastAsia="Arial" w:hAnsi="Arial"/>
                <w:sz w:val="16"/>
                <w:szCs w:val="16"/>
                <w:color w:val="auto"/>
              </w:rPr>
              <w:t>Non-cash portion of straight-line rent expense</w:t>
            </w:r>
          </w:p>
        </w:tc>
        <w:tc>
          <w:tcPr>
            <w:tcW w:w="180" w:type="dxa"/>
            <w:vAlign w:val="bottom"/>
          </w:tcPr>
          <w:p>
            <w:pPr>
              <w:spacing w:after="0"/>
              <w:rPr>
                <w:sz w:val="18"/>
                <w:szCs w:val="18"/>
                <w:color w:val="auto"/>
              </w:rPr>
            </w:pPr>
          </w:p>
        </w:tc>
        <w:tc>
          <w:tcPr>
            <w:tcW w:w="1200" w:type="dxa"/>
            <w:vAlign w:val="bottom"/>
            <w:gridSpan w:val="2"/>
          </w:tcPr>
          <w:p>
            <w:pPr>
              <w:jc w:val="right"/>
              <w:ind w:right="180"/>
              <w:spacing w:after="0"/>
              <w:rPr>
                <w:sz w:val="20"/>
                <w:szCs w:val="20"/>
                <w:color w:val="auto"/>
              </w:rPr>
            </w:pPr>
            <w:r>
              <w:rPr>
                <w:rFonts w:ascii="Arial" w:cs="Arial" w:eastAsia="Arial" w:hAnsi="Arial"/>
                <w:sz w:val="16"/>
                <w:szCs w:val="16"/>
                <w:color w:val="auto"/>
              </w:rPr>
              <w:t>(0.2)</w:t>
            </w:r>
          </w:p>
        </w:tc>
        <w:tc>
          <w:tcPr>
            <w:tcW w:w="260" w:type="dxa"/>
            <w:vAlign w:val="bottom"/>
          </w:tcPr>
          <w:p>
            <w:pPr>
              <w:spacing w:after="0"/>
              <w:rPr>
                <w:sz w:val="18"/>
                <w:szCs w:val="18"/>
                <w:color w:val="auto"/>
              </w:rPr>
            </w:pPr>
          </w:p>
        </w:tc>
        <w:tc>
          <w:tcPr>
            <w:tcW w:w="1140" w:type="dxa"/>
            <w:vAlign w:val="bottom"/>
            <w:gridSpan w:val="2"/>
          </w:tcPr>
          <w:p>
            <w:pPr>
              <w:jc w:val="right"/>
              <w:ind w:right="180"/>
              <w:spacing w:after="0"/>
              <w:rPr>
                <w:sz w:val="20"/>
                <w:szCs w:val="20"/>
                <w:color w:val="auto"/>
              </w:rPr>
            </w:pPr>
            <w:r>
              <w:rPr>
                <w:rFonts w:ascii="Arial" w:cs="Arial" w:eastAsia="Arial" w:hAnsi="Arial"/>
                <w:sz w:val="16"/>
                <w:szCs w:val="16"/>
                <w:color w:val="auto"/>
              </w:rPr>
              <w:t>(0.1)</w:t>
            </w:r>
          </w:p>
        </w:tc>
        <w:tc>
          <w:tcPr>
            <w:tcW w:w="220" w:type="dxa"/>
            <w:vAlign w:val="bottom"/>
          </w:tcPr>
          <w:p>
            <w:pPr>
              <w:spacing w:after="0"/>
              <w:rPr>
                <w:sz w:val="18"/>
                <w:szCs w:val="18"/>
                <w:color w:val="auto"/>
              </w:rPr>
            </w:pPr>
          </w:p>
        </w:tc>
        <w:tc>
          <w:tcPr>
            <w:tcW w:w="1280" w:type="dxa"/>
            <w:vAlign w:val="bottom"/>
            <w:gridSpan w:val="2"/>
          </w:tcPr>
          <w:p>
            <w:pPr>
              <w:jc w:val="right"/>
              <w:ind w:right="40"/>
              <w:spacing w:after="0"/>
              <w:rPr>
                <w:sz w:val="20"/>
                <w:szCs w:val="20"/>
                <w:color w:val="auto"/>
              </w:rPr>
            </w:pPr>
            <w:r>
              <w:rPr>
                <w:rFonts w:ascii="Arial" w:cs="Arial" w:eastAsia="Arial" w:hAnsi="Arial"/>
                <w:sz w:val="16"/>
                <w:szCs w:val="16"/>
                <w:color w:val="auto"/>
              </w:rPr>
              <w:t>(0.2)</w:t>
            </w:r>
          </w:p>
        </w:tc>
        <w:tc>
          <w:tcPr>
            <w:tcW w:w="0" w:type="dxa"/>
            <w:vAlign w:val="bottom"/>
          </w:tcPr>
          <w:p>
            <w:pPr>
              <w:spacing w:after="0"/>
              <w:rPr>
                <w:sz w:val="1"/>
                <w:szCs w:val="1"/>
                <w:color w:val="auto"/>
              </w:rPr>
            </w:pPr>
          </w:p>
        </w:tc>
      </w:tr>
      <w:tr>
        <w:trPr>
          <w:trHeight w:val="219"/>
        </w:trPr>
        <w:tc>
          <w:tcPr>
            <w:tcW w:w="5820" w:type="dxa"/>
            <w:vAlign w:val="bottom"/>
            <w:shd w:val="clear" w:color="auto" w:fill="CFF0FC"/>
          </w:tcPr>
          <w:p>
            <w:pPr>
              <w:spacing w:after="0"/>
              <w:rPr>
                <w:sz w:val="20"/>
                <w:szCs w:val="20"/>
                <w:color w:val="auto"/>
              </w:rPr>
            </w:pPr>
            <w:r>
              <w:rPr>
                <w:rFonts w:ascii="Arial" w:cs="Arial" w:eastAsia="Arial" w:hAnsi="Arial"/>
                <w:sz w:val="16"/>
                <w:szCs w:val="16"/>
                <w:color w:val="auto"/>
              </w:rPr>
              <w:t>Loss on extinguishment of debt, net</w:t>
            </w:r>
          </w:p>
        </w:tc>
        <w:tc>
          <w:tcPr>
            <w:tcW w:w="180" w:type="dxa"/>
            <w:vAlign w:val="bottom"/>
            <w:shd w:val="clear" w:color="auto" w:fill="CFF0FC"/>
          </w:tcPr>
          <w:p>
            <w:pPr>
              <w:spacing w:after="0"/>
              <w:rPr>
                <w:sz w:val="19"/>
                <w:szCs w:val="19"/>
                <w:color w:val="auto"/>
              </w:rPr>
            </w:pPr>
          </w:p>
        </w:tc>
        <w:tc>
          <w:tcPr>
            <w:tcW w:w="980" w:type="dxa"/>
            <w:vAlign w:val="bottom"/>
            <w:shd w:val="clear" w:color="auto" w:fill="CFF0FC"/>
          </w:tcPr>
          <w:p>
            <w:pPr>
              <w:jc w:val="right"/>
              <w:spacing w:after="0"/>
              <w:rPr>
                <w:sz w:val="20"/>
                <w:szCs w:val="20"/>
                <w:color w:val="auto"/>
              </w:rPr>
            </w:pPr>
            <w:r>
              <w:rPr>
                <w:rFonts w:ascii="Arial" w:cs="Arial" w:eastAsia="Arial" w:hAnsi="Arial"/>
                <w:sz w:val="16"/>
                <w:szCs w:val="16"/>
                <w:color w:val="auto"/>
              </w:rPr>
              <w:t>0.3</w:t>
            </w:r>
          </w:p>
        </w:tc>
        <w:tc>
          <w:tcPr>
            <w:tcW w:w="220" w:type="dxa"/>
            <w:vAlign w:val="bottom"/>
            <w:shd w:val="clear" w:color="auto" w:fill="CFF0FC"/>
          </w:tcPr>
          <w:p>
            <w:pPr>
              <w:spacing w:after="0"/>
              <w:rPr>
                <w:sz w:val="19"/>
                <w:szCs w:val="19"/>
                <w:color w:val="auto"/>
              </w:rPr>
            </w:pPr>
          </w:p>
        </w:tc>
        <w:tc>
          <w:tcPr>
            <w:tcW w:w="260" w:type="dxa"/>
            <w:vAlign w:val="bottom"/>
            <w:shd w:val="clear" w:color="auto" w:fill="CFF0FC"/>
          </w:tcPr>
          <w:p>
            <w:pPr>
              <w:spacing w:after="0"/>
              <w:rPr>
                <w:sz w:val="19"/>
                <w:szCs w:val="19"/>
                <w:color w:val="auto"/>
              </w:rPr>
            </w:pPr>
          </w:p>
        </w:tc>
        <w:tc>
          <w:tcPr>
            <w:tcW w:w="900" w:type="dxa"/>
            <w:vAlign w:val="bottom"/>
            <w:shd w:val="clear" w:color="auto" w:fill="CFF0FC"/>
          </w:tcPr>
          <w:p>
            <w:pPr>
              <w:jc w:val="right"/>
              <w:spacing w:after="0"/>
              <w:rPr>
                <w:sz w:val="20"/>
                <w:szCs w:val="20"/>
                <w:color w:val="auto"/>
              </w:rPr>
            </w:pPr>
            <w:r>
              <w:rPr>
                <w:rFonts w:ascii="Arial" w:cs="Arial" w:eastAsia="Arial" w:hAnsi="Arial"/>
                <w:sz w:val="16"/>
                <w:szCs w:val="16"/>
                <w:color w:val="auto"/>
              </w:rPr>
              <w:t>2.8</w:t>
            </w:r>
          </w:p>
        </w:tc>
        <w:tc>
          <w:tcPr>
            <w:tcW w:w="24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1180" w:type="dxa"/>
            <w:vAlign w:val="bottom"/>
            <w:shd w:val="clear" w:color="auto" w:fill="CFF0FC"/>
          </w:tcPr>
          <w:p>
            <w:pPr>
              <w:jc w:val="right"/>
              <w:spacing w:after="0"/>
              <w:rPr>
                <w:sz w:val="20"/>
                <w:szCs w:val="20"/>
                <w:color w:val="auto"/>
              </w:rPr>
            </w:pPr>
            <w:r>
              <w:rPr>
                <w:rFonts w:ascii="Arial" w:cs="Arial" w:eastAsia="Arial" w:hAnsi="Arial"/>
                <w:sz w:val="16"/>
                <w:szCs w:val="16"/>
                <w:color w:val="auto"/>
              </w:rPr>
              <w:t>1.7</w:t>
            </w: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13"/>
        </w:trPr>
        <w:tc>
          <w:tcPr>
            <w:tcW w:w="5820" w:type="dxa"/>
            <w:vAlign w:val="bottom"/>
          </w:tcPr>
          <w:p>
            <w:pPr>
              <w:spacing w:after="0"/>
              <w:rPr>
                <w:sz w:val="20"/>
                <w:szCs w:val="20"/>
                <w:color w:val="auto"/>
              </w:rPr>
            </w:pPr>
            <w:r>
              <w:rPr>
                <w:rFonts w:ascii="Arial" w:cs="Arial" w:eastAsia="Arial" w:hAnsi="Arial"/>
                <w:sz w:val="16"/>
                <w:szCs w:val="16"/>
                <w:color w:val="auto"/>
              </w:rPr>
              <w:t>Equity in earnings of unconsolidated affiliates, net</w:t>
            </w:r>
          </w:p>
        </w:tc>
        <w:tc>
          <w:tcPr>
            <w:tcW w:w="180" w:type="dxa"/>
            <w:vAlign w:val="bottom"/>
          </w:tcPr>
          <w:p>
            <w:pPr>
              <w:spacing w:after="0"/>
              <w:rPr>
                <w:sz w:val="18"/>
                <w:szCs w:val="18"/>
                <w:color w:val="auto"/>
              </w:rPr>
            </w:pPr>
          </w:p>
        </w:tc>
        <w:tc>
          <w:tcPr>
            <w:tcW w:w="1200" w:type="dxa"/>
            <w:vAlign w:val="bottom"/>
            <w:gridSpan w:val="2"/>
          </w:tcPr>
          <w:p>
            <w:pPr>
              <w:jc w:val="right"/>
              <w:ind w:right="180"/>
              <w:spacing w:after="0"/>
              <w:rPr>
                <w:sz w:val="20"/>
                <w:szCs w:val="20"/>
                <w:color w:val="auto"/>
              </w:rPr>
            </w:pPr>
            <w:r>
              <w:rPr>
                <w:rFonts w:ascii="Arial" w:cs="Arial" w:eastAsia="Arial" w:hAnsi="Arial"/>
                <w:sz w:val="16"/>
                <w:szCs w:val="16"/>
                <w:color w:val="auto"/>
              </w:rPr>
              <w:t>(0.3)</w:t>
            </w:r>
          </w:p>
        </w:tc>
        <w:tc>
          <w:tcPr>
            <w:tcW w:w="260" w:type="dxa"/>
            <w:vAlign w:val="bottom"/>
          </w:tcPr>
          <w:p>
            <w:pPr>
              <w:spacing w:after="0"/>
              <w:rPr>
                <w:sz w:val="18"/>
                <w:szCs w:val="18"/>
                <w:color w:val="auto"/>
              </w:rPr>
            </w:pPr>
          </w:p>
        </w:tc>
        <w:tc>
          <w:tcPr>
            <w:tcW w:w="1140" w:type="dxa"/>
            <w:vAlign w:val="bottom"/>
            <w:gridSpan w:val="2"/>
          </w:tcPr>
          <w:p>
            <w:pPr>
              <w:jc w:val="right"/>
              <w:ind w:right="180"/>
              <w:spacing w:after="0"/>
              <w:rPr>
                <w:sz w:val="20"/>
                <w:szCs w:val="20"/>
                <w:color w:val="auto"/>
              </w:rPr>
            </w:pPr>
            <w:r>
              <w:rPr>
                <w:rFonts w:ascii="Arial" w:cs="Arial" w:eastAsia="Arial" w:hAnsi="Arial"/>
                <w:sz w:val="16"/>
                <w:szCs w:val="16"/>
                <w:color w:val="auto"/>
              </w:rPr>
              <w:t>(0.7)</w:t>
            </w:r>
          </w:p>
        </w:tc>
        <w:tc>
          <w:tcPr>
            <w:tcW w:w="220" w:type="dxa"/>
            <w:vAlign w:val="bottom"/>
          </w:tcPr>
          <w:p>
            <w:pPr>
              <w:spacing w:after="0"/>
              <w:rPr>
                <w:sz w:val="18"/>
                <w:szCs w:val="18"/>
                <w:color w:val="auto"/>
              </w:rPr>
            </w:pPr>
          </w:p>
        </w:tc>
        <w:tc>
          <w:tcPr>
            <w:tcW w:w="1180" w:type="dxa"/>
            <w:vAlign w:val="bottom"/>
          </w:tcPr>
          <w:p>
            <w:pPr>
              <w:jc w:val="right"/>
              <w:spacing w:after="0"/>
              <w:rPr>
                <w:sz w:val="20"/>
                <w:szCs w:val="20"/>
                <w:color w:val="auto"/>
              </w:rPr>
            </w:pPr>
            <w:r>
              <w:rPr>
                <w:rFonts w:ascii="Arial" w:cs="Arial" w:eastAsia="Arial" w:hAnsi="Arial"/>
                <w:sz w:val="16"/>
                <w:szCs w:val="16"/>
                <w:color w:val="auto"/>
              </w:rPr>
              <w:t>1.9</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9"/>
        </w:trPr>
        <w:tc>
          <w:tcPr>
            <w:tcW w:w="5820" w:type="dxa"/>
            <w:vAlign w:val="bottom"/>
            <w:shd w:val="clear" w:color="auto" w:fill="CFF0FC"/>
          </w:tcPr>
          <w:p>
            <w:pPr>
              <w:spacing w:after="0"/>
              <w:rPr>
                <w:sz w:val="20"/>
                <w:szCs w:val="20"/>
                <w:color w:val="auto"/>
              </w:rPr>
            </w:pPr>
            <w:r>
              <w:rPr>
                <w:rFonts w:ascii="Arial" w:cs="Arial" w:eastAsia="Arial" w:hAnsi="Arial"/>
                <w:sz w:val="16"/>
                <w:szCs w:val="16"/>
                <w:color w:val="auto"/>
              </w:rPr>
              <w:t>Purchase accounting adjustments (2)</w:t>
            </w:r>
          </w:p>
        </w:tc>
        <w:tc>
          <w:tcPr>
            <w:tcW w:w="180" w:type="dxa"/>
            <w:vAlign w:val="bottom"/>
            <w:shd w:val="clear" w:color="auto" w:fill="CFF0FC"/>
          </w:tcPr>
          <w:p>
            <w:pPr>
              <w:spacing w:after="0"/>
              <w:rPr>
                <w:sz w:val="19"/>
                <w:szCs w:val="19"/>
                <w:color w:val="auto"/>
              </w:rPr>
            </w:pPr>
          </w:p>
        </w:tc>
        <w:tc>
          <w:tcPr>
            <w:tcW w:w="980" w:type="dxa"/>
            <w:vAlign w:val="bottom"/>
            <w:shd w:val="clear" w:color="auto" w:fill="CFF0FC"/>
          </w:tcPr>
          <w:p>
            <w:pPr>
              <w:jc w:val="right"/>
              <w:spacing w:after="0"/>
              <w:rPr>
                <w:sz w:val="20"/>
                <w:szCs w:val="20"/>
                <w:color w:val="auto"/>
              </w:rPr>
            </w:pPr>
            <w:r>
              <w:rPr>
                <w:rFonts w:ascii="Arial" w:cs="Arial" w:eastAsia="Arial" w:hAnsi="Arial"/>
                <w:sz w:val="16"/>
                <w:szCs w:val="16"/>
                <w:color w:val="auto"/>
              </w:rPr>
              <w:t>1.6</w:t>
            </w:r>
          </w:p>
        </w:tc>
        <w:tc>
          <w:tcPr>
            <w:tcW w:w="220" w:type="dxa"/>
            <w:vAlign w:val="bottom"/>
            <w:shd w:val="clear" w:color="auto" w:fill="CFF0FC"/>
          </w:tcPr>
          <w:p>
            <w:pPr>
              <w:spacing w:after="0"/>
              <w:rPr>
                <w:sz w:val="19"/>
                <w:szCs w:val="19"/>
                <w:color w:val="auto"/>
              </w:rPr>
            </w:pPr>
          </w:p>
        </w:tc>
        <w:tc>
          <w:tcPr>
            <w:tcW w:w="260" w:type="dxa"/>
            <w:vAlign w:val="bottom"/>
            <w:shd w:val="clear" w:color="auto" w:fill="CFF0FC"/>
          </w:tcPr>
          <w:p>
            <w:pPr>
              <w:spacing w:after="0"/>
              <w:rPr>
                <w:sz w:val="19"/>
                <w:szCs w:val="19"/>
                <w:color w:val="auto"/>
              </w:rPr>
            </w:pPr>
          </w:p>
        </w:tc>
        <w:tc>
          <w:tcPr>
            <w:tcW w:w="900" w:type="dxa"/>
            <w:vAlign w:val="bottom"/>
            <w:shd w:val="clear" w:color="auto" w:fill="CFF0FC"/>
          </w:tcPr>
          <w:p>
            <w:pPr>
              <w:jc w:val="right"/>
              <w:spacing w:after="0"/>
              <w:rPr>
                <w:sz w:val="20"/>
                <w:szCs w:val="20"/>
                <w:color w:val="auto"/>
              </w:rPr>
            </w:pPr>
            <w:r>
              <w:rPr>
                <w:rFonts w:ascii="Arial" w:cs="Arial" w:eastAsia="Arial" w:hAnsi="Arial"/>
                <w:sz w:val="16"/>
                <w:szCs w:val="16"/>
                <w:color w:val="auto"/>
              </w:rPr>
              <w:t>1.8</w:t>
            </w:r>
          </w:p>
        </w:tc>
        <w:tc>
          <w:tcPr>
            <w:tcW w:w="24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1180" w:type="dxa"/>
            <w:vAlign w:val="bottom"/>
            <w:shd w:val="clear" w:color="auto" w:fill="CFF0FC"/>
          </w:tcPr>
          <w:p>
            <w:pPr>
              <w:jc w:val="right"/>
              <w:spacing w:after="0"/>
              <w:rPr>
                <w:sz w:val="20"/>
                <w:szCs w:val="20"/>
                <w:color w:val="auto"/>
              </w:rPr>
            </w:pPr>
            <w:r>
              <w:rPr>
                <w:rFonts w:ascii="Arial" w:cs="Arial" w:eastAsia="Arial" w:hAnsi="Arial"/>
                <w:sz w:val="16"/>
                <w:szCs w:val="16"/>
                <w:color w:val="auto"/>
              </w:rPr>
              <w:t>6.7</w:t>
            </w: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13"/>
        </w:trPr>
        <w:tc>
          <w:tcPr>
            <w:tcW w:w="5820" w:type="dxa"/>
            <w:vAlign w:val="bottom"/>
          </w:tcPr>
          <w:p>
            <w:pPr>
              <w:spacing w:after="0"/>
              <w:rPr>
                <w:sz w:val="20"/>
                <w:szCs w:val="20"/>
                <w:color w:val="auto"/>
              </w:rPr>
            </w:pPr>
            <w:r>
              <w:rPr>
                <w:rFonts w:ascii="Arial" w:cs="Arial" w:eastAsia="Arial" w:hAnsi="Arial"/>
                <w:sz w:val="16"/>
                <w:szCs w:val="16"/>
                <w:color w:val="auto"/>
              </w:rPr>
              <w:t>ASC 606 adoption impact</w:t>
            </w:r>
          </w:p>
        </w:tc>
        <w:tc>
          <w:tcPr>
            <w:tcW w:w="180" w:type="dxa"/>
            <w:vAlign w:val="bottom"/>
          </w:tcPr>
          <w:p>
            <w:pPr>
              <w:spacing w:after="0"/>
              <w:rPr>
                <w:sz w:val="18"/>
                <w:szCs w:val="18"/>
                <w:color w:val="auto"/>
              </w:rPr>
            </w:pPr>
          </w:p>
        </w:tc>
        <w:tc>
          <w:tcPr>
            <w:tcW w:w="980" w:type="dxa"/>
            <w:vAlign w:val="bottom"/>
          </w:tcPr>
          <w:p>
            <w:pPr>
              <w:jc w:val="right"/>
              <w:spacing w:after="0"/>
              <w:rPr>
                <w:sz w:val="20"/>
                <w:szCs w:val="20"/>
                <w:color w:val="auto"/>
              </w:rPr>
            </w:pPr>
            <w:r>
              <w:rPr>
                <w:rFonts w:ascii="Arial" w:cs="Arial" w:eastAsia="Arial" w:hAnsi="Arial"/>
                <w:sz w:val="16"/>
                <w:szCs w:val="16"/>
                <w:color w:val="auto"/>
              </w:rPr>
              <w:t>0.2</w:t>
            </w:r>
          </w:p>
        </w:tc>
        <w:tc>
          <w:tcPr>
            <w:tcW w:w="2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Arial" w:cs="Arial" w:eastAsia="Arial" w:hAnsi="Arial"/>
                <w:sz w:val="16"/>
                <w:szCs w:val="16"/>
                <w:color w:val="auto"/>
              </w:rPr>
              <w:t>2.3</w:t>
            </w:r>
          </w:p>
        </w:tc>
        <w:tc>
          <w:tcPr>
            <w:tcW w:w="2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180" w:type="dxa"/>
            <w:vAlign w:val="bottom"/>
          </w:tcPr>
          <w:p>
            <w:pPr>
              <w:jc w:val="right"/>
              <w:spacing w:after="0"/>
              <w:rPr>
                <w:sz w:val="20"/>
                <w:szCs w:val="20"/>
                <w:color w:val="auto"/>
              </w:rPr>
            </w:pPr>
            <w:r>
              <w:rPr>
                <w:rFonts w:ascii="Arial" w:cs="Arial" w:eastAsia="Arial" w:hAnsi="Arial"/>
                <w:sz w:val="16"/>
                <w:szCs w:val="16"/>
                <w:color w:val="auto"/>
              </w:rPr>
              <w:t>3.2</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9"/>
        </w:trPr>
        <w:tc>
          <w:tcPr>
            <w:tcW w:w="5820" w:type="dxa"/>
            <w:vAlign w:val="bottom"/>
            <w:shd w:val="clear" w:color="auto" w:fill="CFF0FC"/>
          </w:tcPr>
          <w:p>
            <w:pPr>
              <w:spacing w:after="0"/>
              <w:rPr>
                <w:sz w:val="20"/>
                <w:szCs w:val="20"/>
                <w:color w:val="auto"/>
              </w:rPr>
            </w:pPr>
            <w:r>
              <w:rPr>
                <w:rFonts w:ascii="Arial" w:cs="Arial" w:eastAsia="Arial" w:hAnsi="Arial"/>
                <w:sz w:val="16"/>
                <w:szCs w:val="16"/>
                <w:color w:val="auto"/>
              </w:rPr>
              <w:t>Other (3)</w:t>
            </w:r>
          </w:p>
        </w:tc>
        <w:tc>
          <w:tcPr>
            <w:tcW w:w="180" w:type="dxa"/>
            <w:vAlign w:val="bottom"/>
            <w:shd w:val="clear" w:color="auto" w:fill="CFF0FC"/>
          </w:tcPr>
          <w:p>
            <w:pPr>
              <w:spacing w:after="0"/>
              <w:rPr>
                <w:sz w:val="19"/>
                <w:szCs w:val="19"/>
                <w:color w:val="auto"/>
              </w:rPr>
            </w:pPr>
          </w:p>
        </w:tc>
        <w:tc>
          <w:tcPr>
            <w:tcW w:w="980" w:type="dxa"/>
            <w:vAlign w:val="bottom"/>
            <w:shd w:val="clear" w:color="auto" w:fill="CFF0FC"/>
          </w:tcPr>
          <w:p>
            <w:pPr>
              <w:jc w:val="right"/>
              <w:spacing w:after="0"/>
              <w:rPr>
                <w:sz w:val="20"/>
                <w:szCs w:val="20"/>
                <w:color w:val="auto"/>
              </w:rPr>
            </w:pPr>
            <w:r>
              <w:rPr>
                <w:rFonts w:ascii="Arial" w:cs="Arial" w:eastAsia="Arial" w:hAnsi="Arial"/>
                <w:sz w:val="16"/>
                <w:szCs w:val="16"/>
                <w:color w:val="auto"/>
              </w:rPr>
              <w:t>5.9</w:t>
            </w:r>
          </w:p>
        </w:tc>
        <w:tc>
          <w:tcPr>
            <w:tcW w:w="220" w:type="dxa"/>
            <w:vAlign w:val="bottom"/>
            <w:shd w:val="clear" w:color="auto" w:fill="CFF0FC"/>
          </w:tcPr>
          <w:p>
            <w:pPr>
              <w:spacing w:after="0"/>
              <w:rPr>
                <w:sz w:val="19"/>
                <w:szCs w:val="19"/>
                <w:color w:val="auto"/>
              </w:rPr>
            </w:pPr>
          </w:p>
        </w:tc>
        <w:tc>
          <w:tcPr>
            <w:tcW w:w="260" w:type="dxa"/>
            <w:vAlign w:val="bottom"/>
            <w:shd w:val="clear" w:color="auto" w:fill="CFF0FC"/>
          </w:tcPr>
          <w:p>
            <w:pPr>
              <w:spacing w:after="0"/>
              <w:rPr>
                <w:sz w:val="19"/>
                <w:szCs w:val="19"/>
                <w:color w:val="auto"/>
              </w:rPr>
            </w:pPr>
          </w:p>
        </w:tc>
        <w:tc>
          <w:tcPr>
            <w:tcW w:w="900" w:type="dxa"/>
            <w:vAlign w:val="bottom"/>
            <w:shd w:val="clear" w:color="auto" w:fill="CFF0FC"/>
          </w:tcPr>
          <w:p>
            <w:pPr>
              <w:jc w:val="right"/>
              <w:spacing w:after="0"/>
              <w:rPr>
                <w:sz w:val="20"/>
                <w:szCs w:val="20"/>
                <w:color w:val="auto"/>
              </w:rPr>
            </w:pPr>
            <w:r>
              <w:rPr>
                <w:rFonts w:ascii="Arial" w:cs="Arial" w:eastAsia="Arial" w:hAnsi="Arial"/>
                <w:sz w:val="16"/>
                <w:szCs w:val="16"/>
                <w:color w:val="auto"/>
              </w:rPr>
              <w:t>48.8</w:t>
            </w:r>
          </w:p>
        </w:tc>
        <w:tc>
          <w:tcPr>
            <w:tcW w:w="24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1280" w:type="dxa"/>
            <w:vAlign w:val="bottom"/>
            <w:gridSpan w:val="2"/>
            <w:shd w:val="clear" w:color="auto" w:fill="CFF0FC"/>
          </w:tcPr>
          <w:p>
            <w:pPr>
              <w:jc w:val="right"/>
              <w:ind w:right="40"/>
              <w:spacing w:after="0"/>
              <w:rPr>
                <w:sz w:val="20"/>
                <w:szCs w:val="20"/>
                <w:color w:val="auto"/>
              </w:rPr>
            </w:pPr>
            <w:r>
              <w:rPr>
                <w:rFonts w:ascii="Arial" w:cs="Arial" w:eastAsia="Arial" w:hAnsi="Arial"/>
                <w:sz w:val="16"/>
                <w:szCs w:val="16"/>
                <w:color w:val="auto"/>
              </w:rPr>
              <w:t>(41.5)</w:t>
            </w:r>
          </w:p>
        </w:tc>
        <w:tc>
          <w:tcPr>
            <w:tcW w:w="0" w:type="dxa"/>
            <w:vAlign w:val="bottom"/>
          </w:tcPr>
          <w:p>
            <w:pPr>
              <w:spacing w:after="0"/>
              <w:rPr>
                <w:sz w:val="1"/>
                <w:szCs w:val="1"/>
                <w:color w:val="auto"/>
              </w:rPr>
            </w:pPr>
          </w:p>
        </w:tc>
      </w:tr>
      <w:tr>
        <w:trPr>
          <w:trHeight w:val="207"/>
        </w:trPr>
        <w:tc>
          <w:tcPr>
            <w:tcW w:w="5820" w:type="dxa"/>
            <w:vAlign w:val="bottom"/>
          </w:tcPr>
          <w:p>
            <w:pPr>
              <w:ind w:left="240"/>
              <w:spacing w:after="0"/>
              <w:rPr>
                <w:sz w:val="20"/>
                <w:szCs w:val="20"/>
                <w:color w:val="auto"/>
              </w:rPr>
            </w:pPr>
            <w:r>
              <w:rPr>
                <w:rFonts w:ascii="Arial" w:cs="Arial" w:eastAsia="Arial" w:hAnsi="Arial"/>
                <w:sz w:val="16"/>
                <w:szCs w:val="16"/>
                <w:color w:val="auto"/>
              </w:rPr>
              <w:t>Consolidated EBITDA</w:t>
            </w:r>
          </w:p>
        </w:tc>
        <w:tc>
          <w:tcPr>
            <w:tcW w:w="180" w:type="dxa"/>
            <w:vAlign w:val="bottom"/>
            <w:tcBorders>
              <w:top w:val="single" w:sz="8" w:color="auto"/>
              <w:bottom w:val="single" w:sz="8" w:color="auto"/>
            </w:tcBorders>
          </w:tcPr>
          <w:p>
            <w:pPr>
              <w:jc w:val="right"/>
              <w:ind w:right="24"/>
              <w:spacing w:after="0"/>
              <w:rPr>
                <w:sz w:val="20"/>
                <w:szCs w:val="20"/>
                <w:color w:val="auto"/>
              </w:rPr>
            </w:pPr>
            <w:r>
              <w:rPr>
                <w:rFonts w:ascii="Arial" w:cs="Arial" w:eastAsia="Arial" w:hAnsi="Arial"/>
                <w:sz w:val="15"/>
                <w:szCs w:val="15"/>
                <w:color w:val="auto"/>
                <w:w w:val="71"/>
              </w:rPr>
              <w:t>$</w:t>
            </w:r>
          </w:p>
        </w:tc>
        <w:tc>
          <w:tcPr>
            <w:tcW w:w="9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rPr>
              <w:t>493.2</w:t>
            </w:r>
          </w:p>
        </w:tc>
        <w:tc>
          <w:tcPr>
            <w:tcW w:w="220" w:type="dxa"/>
            <w:vAlign w:val="bottom"/>
          </w:tcPr>
          <w:p>
            <w:pPr>
              <w:spacing w:after="0"/>
              <w:rPr>
                <w:sz w:val="17"/>
                <w:szCs w:val="17"/>
                <w:color w:val="auto"/>
              </w:rPr>
            </w:pPr>
          </w:p>
        </w:tc>
        <w:tc>
          <w:tcPr>
            <w:tcW w:w="260" w:type="dxa"/>
            <w:vAlign w:val="bottom"/>
            <w:tcBorders>
              <w:top w:val="single" w:sz="8" w:color="auto"/>
              <w:bottom w:val="single" w:sz="8" w:color="auto"/>
            </w:tcBorders>
          </w:tcPr>
          <w:p>
            <w:pPr>
              <w:jc w:val="right"/>
              <w:ind w:right="104"/>
              <w:spacing w:after="0"/>
              <w:rPr>
                <w:sz w:val="20"/>
                <w:szCs w:val="20"/>
                <w:color w:val="auto"/>
              </w:rPr>
            </w:pPr>
            <w:r>
              <w:rPr>
                <w:rFonts w:ascii="Arial" w:cs="Arial" w:eastAsia="Arial" w:hAnsi="Arial"/>
                <w:sz w:val="15"/>
                <w:szCs w:val="15"/>
                <w:color w:val="auto"/>
                <w:w w:val="71"/>
              </w:rPr>
              <w:t>$</w:t>
            </w:r>
          </w:p>
        </w:tc>
        <w:tc>
          <w:tcPr>
            <w:tcW w:w="9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rPr>
              <w:t>462.5</w:t>
            </w:r>
          </w:p>
        </w:tc>
        <w:tc>
          <w:tcPr>
            <w:tcW w:w="240" w:type="dxa"/>
            <w:vAlign w:val="bottom"/>
          </w:tcPr>
          <w:p>
            <w:pPr>
              <w:spacing w:after="0"/>
              <w:rPr>
                <w:sz w:val="17"/>
                <w:szCs w:val="17"/>
                <w:color w:val="auto"/>
              </w:rPr>
            </w:pPr>
          </w:p>
        </w:tc>
        <w:tc>
          <w:tcPr>
            <w:tcW w:w="220" w:type="dxa"/>
            <w:vAlign w:val="bottom"/>
            <w:tcBorders>
              <w:top w:val="single" w:sz="8" w:color="auto"/>
              <w:bottom w:val="single" w:sz="8" w:color="auto"/>
            </w:tcBorders>
          </w:tcPr>
          <w:p>
            <w:pPr>
              <w:spacing w:after="0"/>
              <w:rPr>
                <w:sz w:val="20"/>
                <w:szCs w:val="20"/>
                <w:color w:val="auto"/>
              </w:rPr>
            </w:pPr>
            <w:r>
              <w:rPr>
                <w:rFonts w:ascii="Arial" w:cs="Arial" w:eastAsia="Arial" w:hAnsi="Arial"/>
                <w:sz w:val="16"/>
                <w:szCs w:val="16"/>
                <w:color w:val="auto"/>
              </w:rPr>
              <w:t>$</w:t>
            </w:r>
          </w:p>
        </w:tc>
        <w:tc>
          <w:tcPr>
            <w:tcW w:w="11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rPr>
              <w:t>1,886.4</w:t>
            </w: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582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6" w:lineRule="exact"/>
        <w:rPr>
          <w:sz w:val="20"/>
          <w:szCs w:val="20"/>
          <w:color w:val="auto"/>
        </w:rPr>
      </w:pPr>
    </w:p>
    <w:p>
      <w:pPr>
        <w:ind w:left="40"/>
        <w:spacing w:after="0"/>
        <w:rPr>
          <w:sz w:val="20"/>
          <w:szCs w:val="20"/>
          <w:color w:val="auto"/>
        </w:rPr>
      </w:pPr>
      <w:r>
        <w:rPr>
          <w:rFonts w:ascii="Arial" w:cs="Arial" w:eastAsia="Arial" w:hAnsi="Arial"/>
          <w:sz w:val="18"/>
          <w:szCs w:val="18"/>
          <w:color w:val="auto"/>
        </w:rPr>
        <w:t>________________________</w:t>
      </w:r>
    </w:p>
    <w:p>
      <w:pPr>
        <w:spacing w:after="0" w:line="23" w:lineRule="exact"/>
        <w:rPr>
          <w:sz w:val="20"/>
          <w:szCs w:val="20"/>
          <w:color w:val="auto"/>
        </w:rPr>
      </w:pPr>
    </w:p>
    <w:p>
      <w:pPr>
        <w:ind w:left="500" w:right="200" w:hanging="492"/>
        <w:spacing w:after="0" w:line="250" w:lineRule="auto"/>
        <w:tabs>
          <w:tab w:leader="none" w:pos="500" w:val="left"/>
        </w:tabs>
        <w:numPr>
          <w:ilvl w:val="0"/>
          <w:numId w:val="6"/>
        </w:numPr>
        <w:rPr>
          <w:rFonts w:ascii="Arial" w:cs="Arial" w:eastAsia="Arial" w:hAnsi="Arial"/>
          <w:sz w:val="18"/>
          <w:szCs w:val="18"/>
          <w:color w:val="auto"/>
        </w:rPr>
      </w:pPr>
      <w:r>
        <w:rPr>
          <w:rFonts w:ascii="Arial" w:cs="Arial" w:eastAsia="Arial" w:hAnsi="Arial"/>
          <w:sz w:val="18"/>
          <w:szCs w:val="18"/>
          <w:color w:val="auto"/>
        </w:rPr>
        <w:t>Acquired EBITDA reflects the EBITDA impact of significant businesses that were acquired during the period as if the acquisition occurred at the beginning of the period, as well as cost savings enacted in connection with acquisitions.</w:t>
      </w:r>
    </w:p>
    <w:p>
      <w:pPr>
        <w:ind w:left="500" w:right="20" w:hanging="492"/>
        <w:spacing w:after="0" w:line="281" w:lineRule="auto"/>
        <w:tabs>
          <w:tab w:leader="none" w:pos="500" w:val="left"/>
        </w:tabs>
        <w:numPr>
          <w:ilvl w:val="0"/>
          <w:numId w:val="6"/>
        </w:numPr>
        <w:rPr>
          <w:rFonts w:ascii="Arial" w:cs="Arial" w:eastAsia="Arial" w:hAnsi="Arial"/>
          <w:sz w:val="16"/>
          <w:szCs w:val="16"/>
          <w:color w:val="auto"/>
        </w:rPr>
      </w:pPr>
      <w:r>
        <w:rPr>
          <w:rFonts w:ascii="Arial" w:cs="Arial" w:eastAsia="Arial" w:hAnsi="Arial"/>
          <w:sz w:val="16"/>
          <w:szCs w:val="16"/>
          <w:color w:val="auto"/>
        </w:rPr>
        <w:t>Purchase accounting adjustments include (a) an adjustment to increase revenues by the amount that would have been recognized if deferred revenue were not adjusted to fair value at the date of acquisitions, (b) an adjustment to increase personnel and commissions expense by the amount that would have been recognized if prepaid commissions and deferred personnel costs were not adjusted to fair value at the date of the acquisitions and</w:t>
      </w:r>
    </w:p>
    <w:p>
      <w:pPr>
        <w:spacing w:after="0" w:line="1" w:lineRule="exact"/>
        <w:rPr>
          <w:rFonts w:ascii="Arial" w:cs="Arial" w:eastAsia="Arial" w:hAnsi="Arial"/>
          <w:sz w:val="16"/>
          <w:szCs w:val="16"/>
          <w:color w:val="auto"/>
        </w:rPr>
      </w:pPr>
    </w:p>
    <w:p>
      <w:pPr>
        <w:ind w:left="500" w:right="120"/>
        <w:spacing w:after="0" w:line="250" w:lineRule="auto"/>
        <w:rPr>
          <w:rFonts w:ascii="Arial" w:cs="Arial" w:eastAsia="Arial" w:hAnsi="Arial"/>
          <w:sz w:val="16"/>
          <w:szCs w:val="16"/>
          <w:color w:val="auto"/>
        </w:rPr>
      </w:pPr>
      <w:r>
        <w:rPr>
          <w:rFonts w:ascii="Arial" w:cs="Arial" w:eastAsia="Arial" w:hAnsi="Arial"/>
          <w:sz w:val="18"/>
          <w:szCs w:val="18"/>
          <w:color w:val="auto"/>
        </w:rPr>
        <w:t>(c) an adjustment to increase or decrease rent expense by the amount that would have been recognized if lease obligations were not adjusted to fair value at the date of acquisitions.</w:t>
      </w:r>
    </w:p>
    <w:p>
      <w:pPr>
        <w:ind w:left="500" w:hanging="492"/>
        <w:spacing w:after="0" w:line="302" w:lineRule="auto"/>
        <w:tabs>
          <w:tab w:leader="none" w:pos="500" w:val="left"/>
        </w:tabs>
        <w:numPr>
          <w:ilvl w:val="0"/>
          <w:numId w:val="6"/>
        </w:numPr>
        <w:rPr>
          <w:rFonts w:ascii="Arial" w:cs="Arial" w:eastAsia="Arial" w:hAnsi="Arial"/>
          <w:sz w:val="16"/>
          <w:szCs w:val="16"/>
          <w:color w:val="auto"/>
        </w:rPr>
      </w:pPr>
      <w:r>
        <w:rPr>
          <w:rFonts w:ascii="Arial" w:cs="Arial" w:eastAsia="Arial" w:hAnsi="Arial"/>
          <w:sz w:val="16"/>
          <w:szCs w:val="16"/>
          <w:color w:val="auto"/>
        </w:rPr>
        <w:t>Other includes expenses and income that are permitted to be excluded per the terms of our amended senior secured credit facility from Consolidated EBITDA, a financial measure used in calculating our covenant compliance. These include expenses and income related to foreign currency transactions, investment gains and losses, facilities and workforce restructuring, legal settlements, business combinations and other items.</w:t>
      </w:r>
    </w:p>
    <w:p>
      <w:pPr>
        <w:spacing w:after="0" w:line="155" w:lineRule="exact"/>
        <w:rPr>
          <w:rFonts w:ascii="Arial" w:cs="Arial" w:eastAsia="Arial" w:hAnsi="Arial"/>
          <w:sz w:val="16"/>
          <w:szCs w:val="16"/>
          <w:color w:val="auto"/>
        </w:rPr>
      </w:pPr>
    </w:p>
    <w:p>
      <w:pPr>
        <w:ind w:left="520"/>
        <w:spacing w:after="0"/>
        <w:rPr>
          <w:rFonts w:ascii="Arial" w:cs="Arial" w:eastAsia="Arial" w:hAnsi="Arial"/>
          <w:sz w:val="16"/>
          <w:szCs w:val="16"/>
          <w:color w:val="auto"/>
        </w:rPr>
      </w:pPr>
      <w:r>
        <w:rPr>
          <w:rFonts w:ascii="Arial" w:cs="Arial" w:eastAsia="Arial" w:hAnsi="Arial"/>
          <w:sz w:val="18"/>
          <w:szCs w:val="18"/>
          <w:color w:val="auto"/>
        </w:rPr>
        <w:t>Our covenant requirement for consolidated net secured leverage ratio and the actual ratio as of March 31, 2021 are as follows:</w:t>
      </w:r>
    </w:p>
    <w:p>
      <w:pPr>
        <w:spacing w:after="0" w:line="218" w:lineRule="exact"/>
        <w:rPr>
          <w:sz w:val="20"/>
          <w:szCs w:val="20"/>
          <w:color w:val="auto"/>
        </w:rPr>
      </w:pPr>
    </w:p>
    <w:tbl>
      <w:tblPr>
        <w:tblLayout w:type="fixed"/>
        <w:tblInd w:w="40" w:type="dxa"/>
        <w:tblCellMar>
          <w:top w:w="0" w:type="dxa"/>
          <w:left w:w="0" w:type="dxa"/>
          <w:bottom w:w="0" w:type="dxa"/>
          <w:right w:w="0" w:type="dxa"/>
        </w:tblCellMar>
      </w:tblPr>
      <w:tr>
        <w:trPr>
          <w:trHeight w:val="161"/>
        </w:trPr>
        <w:tc>
          <w:tcPr>
            <w:tcW w:w="540" w:type="dxa"/>
            <w:vAlign w:val="bottom"/>
          </w:tcPr>
          <w:p>
            <w:pPr>
              <w:spacing w:after="0"/>
              <w:rPr>
                <w:sz w:val="14"/>
                <w:szCs w:val="14"/>
                <w:color w:val="auto"/>
              </w:rPr>
            </w:pPr>
          </w:p>
        </w:tc>
        <w:tc>
          <w:tcPr>
            <w:tcW w:w="6920" w:type="dxa"/>
            <w:vAlign w:val="bottom"/>
          </w:tcPr>
          <w:p>
            <w:pPr>
              <w:spacing w:after="0"/>
              <w:rPr>
                <w:sz w:val="14"/>
                <w:szCs w:val="14"/>
                <w:color w:val="auto"/>
              </w:rPr>
            </w:pPr>
          </w:p>
        </w:tc>
        <w:tc>
          <w:tcPr>
            <w:tcW w:w="1660" w:type="dxa"/>
            <w:vAlign w:val="bottom"/>
            <w:gridSpan w:val="2"/>
          </w:tcPr>
          <w:p>
            <w:pPr>
              <w:jc w:val="center"/>
              <w:ind w:right="180"/>
              <w:spacing w:after="0"/>
              <w:rPr>
                <w:sz w:val="20"/>
                <w:szCs w:val="20"/>
                <w:color w:val="auto"/>
              </w:rPr>
            </w:pPr>
            <w:r>
              <w:rPr>
                <w:rFonts w:ascii="Arial" w:cs="Arial" w:eastAsia="Arial" w:hAnsi="Arial"/>
                <w:sz w:val="14"/>
                <w:szCs w:val="14"/>
                <w:b w:val="1"/>
                <w:bCs w:val="1"/>
                <w:color w:val="auto"/>
                <w:w w:val="93"/>
              </w:rPr>
              <w:t>Covenant</w:t>
            </w:r>
          </w:p>
        </w:tc>
        <w:tc>
          <w:tcPr>
            <w:tcW w:w="1520" w:type="dxa"/>
            <w:vAlign w:val="bottom"/>
          </w:tcPr>
          <w:p>
            <w:pPr>
              <w:jc w:val="center"/>
              <w:spacing w:after="0"/>
              <w:rPr>
                <w:sz w:val="20"/>
                <w:szCs w:val="20"/>
                <w:color w:val="auto"/>
              </w:rPr>
            </w:pPr>
            <w:r>
              <w:rPr>
                <w:rFonts w:ascii="Arial" w:cs="Arial" w:eastAsia="Arial" w:hAnsi="Arial"/>
                <w:sz w:val="14"/>
                <w:szCs w:val="14"/>
                <w:b w:val="1"/>
                <w:bCs w:val="1"/>
                <w:color w:val="auto"/>
                <w:w w:val="98"/>
              </w:rPr>
              <w:t>Actual</w:t>
            </w:r>
          </w:p>
        </w:tc>
      </w:tr>
      <w:tr>
        <w:trPr>
          <w:trHeight w:val="171"/>
        </w:trPr>
        <w:tc>
          <w:tcPr>
            <w:tcW w:w="540" w:type="dxa"/>
            <w:vAlign w:val="bottom"/>
          </w:tcPr>
          <w:p>
            <w:pPr>
              <w:spacing w:after="0"/>
              <w:rPr>
                <w:sz w:val="14"/>
                <w:szCs w:val="14"/>
                <w:color w:val="auto"/>
              </w:rPr>
            </w:pPr>
          </w:p>
        </w:tc>
        <w:tc>
          <w:tcPr>
            <w:tcW w:w="6920" w:type="dxa"/>
            <w:vAlign w:val="bottom"/>
          </w:tcPr>
          <w:p>
            <w:pPr>
              <w:spacing w:after="0"/>
              <w:rPr>
                <w:sz w:val="14"/>
                <w:szCs w:val="14"/>
                <w:color w:val="auto"/>
              </w:rPr>
            </w:pPr>
          </w:p>
        </w:tc>
        <w:tc>
          <w:tcPr>
            <w:tcW w:w="1660" w:type="dxa"/>
            <w:vAlign w:val="bottom"/>
            <w:gridSpan w:val="2"/>
          </w:tcPr>
          <w:p>
            <w:pPr>
              <w:jc w:val="center"/>
              <w:ind w:right="180"/>
              <w:spacing w:after="0"/>
              <w:rPr>
                <w:sz w:val="20"/>
                <w:szCs w:val="20"/>
                <w:color w:val="auto"/>
              </w:rPr>
            </w:pPr>
            <w:r>
              <w:rPr>
                <w:rFonts w:ascii="Arial" w:cs="Arial" w:eastAsia="Arial" w:hAnsi="Arial"/>
                <w:sz w:val="14"/>
                <w:szCs w:val="14"/>
                <w:b w:val="1"/>
                <w:bCs w:val="1"/>
                <w:color w:val="auto"/>
                <w:w w:val="93"/>
              </w:rPr>
              <w:t>Requirement</w:t>
            </w:r>
          </w:p>
        </w:tc>
        <w:tc>
          <w:tcPr>
            <w:tcW w:w="1520" w:type="dxa"/>
            <w:vAlign w:val="bottom"/>
          </w:tcPr>
          <w:p>
            <w:pPr>
              <w:jc w:val="center"/>
              <w:spacing w:after="0"/>
              <w:rPr>
                <w:sz w:val="20"/>
                <w:szCs w:val="20"/>
                <w:color w:val="auto"/>
              </w:rPr>
            </w:pPr>
            <w:r>
              <w:rPr>
                <w:rFonts w:ascii="Arial" w:cs="Arial" w:eastAsia="Arial" w:hAnsi="Arial"/>
                <w:sz w:val="14"/>
                <w:szCs w:val="14"/>
                <w:b w:val="1"/>
                <w:bCs w:val="1"/>
                <w:color w:val="auto"/>
                <w:w w:val="97"/>
              </w:rPr>
              <w:t>Ratio</w:t>
            </w:r>
          </w:p>
        </w:tc>
      </w:tr>
      <w:tr>
        <w:trPr>
          <w:trHeight w:val="209"/>
        </w:trPr>
        <w:tc>
          <w:tcPr>
            <w:tcW w:w="540" w:type="dxa"/>
            <w:vAlign w:val="bottom"/>
          </w:tcPr>
          <w:p>
            <w:pPr>
              <w:spacing w:after="0"/>
              <w:rPr>
                <w:sz w:val="18"/>
                <w:szCs w:val="18"/>
                <w:color w:val="auto"/>
              </w:rPr>
            </w:pPr>
          </w:p>
        </w:tc>
        <w:tc>
          <w:tcPr>
            <w:tcW w:w="6920" w:type="dxa"/>
            <w:vAlign w:val="bottom"/>
            <w:tcBorders>
              <w:top w:val="single" w:sz="8" w:color="CFF0FC"/>
            </w:tcBorders>
            <w:shd w:val="clear" w:color="auto" w:fill="CFF0FC"/>
          </w:tcPr>
          <w:p>
            <w:pPr>
              <w:jc w:val="right"/>
              <w:ind w:right="3430"/>
              <w:spacing w:after="0"/>
              <w:rPr>
                <w:sz w:val="20"/>
                <w:szCs w:val="20"/>
                <w:color w:val="auto"/>
              </w:rPr>
            </w:pPr>
            <w:r>
              <w:rPr>
                <w:rFonts w:ascii="Arial" w:cs="Arial" w:eastAsia="Arial" w:hAnsi="Arial"/>
                <w:sz w:val="18"/>
                <w:szCs w:val="18"/>
                <w:color w:val="auto"/>
                <w:w w:val="89"/>
              </w:rPr>
              <w:t>Maximum consolidated net secured leverage to</w:t>
            </w:r>
          </w:p>
        </w:tc>
        <w:tc>
          <w:tcPr>
            <w:tcW w:w="1500" w:type="dxa"/>
            <w:vAlign w:val="bottom"/>
            <w:tcBorders>
              <w:top w:val="single" w:sz="8" w:color="auto"/>
            </w:tcBorders>
            <w:shd w:val="clear" w:color="auto" w:fill="CFF0FC"/>
          </w:tcPr>
          <w:p>
            <w:pPr>
              <w:spacing w:after="0"/>
              <w:rPr>
                <w:sz w:val="18"/>
                <w:szCs w:val="18"/>
                <w:color w:val="auto"/>
              </w:rPr>
            </w:pPr>
          </w:p>
        </w:tc>
        <w:tc>
          <w:tcPr>
            <w:tcW w:w="160" w:type="dxa"/>
            <w:vAlign w:val="bottom"/>
            <w:tcBorders>
              <w:top w:val="single" w:sz="8" w:color="CFF0FC"/>
            </w:tcBorders>
            <w:shd w:val="clear" w:color="auto" w:fill="CFF0FC"/>
          </w:tcPr>
          <w:p>
            <w:pPr>
              <w:spacing w:after="0"/>
              <w:rPr>
                <w:sz w:val="18"/>
                <w:szCs w:val="18"/>
                <w:color w:val="auto"/>
              </w:rPr>
            </w:pPr>
          </w:p>
        </w:tc>
        <w:tc>
          <w:tcPr>
            <w:tcW w:w="1520" w:type="dxa"/>
            <w:vAlign w:val="bottom"/>
            <w:tcBorders>
              <w:top w:val="single" w:sz="8" w:color="auto"/>
            </w:tcBorders>
            <w:shd w:val="clear" w:color="auto" w:fill="CFF0FC"/>
          </w:tcPr>
          <w:p>
            <w:pPr>
              <w:spacing w:after="0"/>
              <w:rPr>
                <w:sz w:val="18"/>
                <w:szCs w:val="18"/>
                <w:color w:val="auto"/>
              </w:rPr>
            </w:pPr>
          </w:p>
        </w:tc>
      </w:tr>
      <w:tr>
        <w:trPr>
          <w:trHeight w:val="230"/>
        </w:trPr>
        <w:tc>
          <w:tcPr>
            <w:tcW w:w="540" w:type="dxa"/>
            <w:vAlign w:val="bottom"/>
          </w:tcPr>
          <w:p>
            <w:pPr>
              <w:spacing w:after="0"/>
              <w:rPr>
                <w:sz w:val="20"/>
                <w:szCs w:val="20"/>
                <w:color w:val="auto"/>
              </w:rPr>
            </w:pPr>
          </w:p>
        </w:tc>
        <w:tc>
          <w:tcPr>
            <w:tcW w:w="6920" w:type="dxa"/>
            <w:vAlign w:val="bottom"/>
            <w:shd w:val="clear" w:color="auto" w:fill="CFF0FC"/>
          </w:tcPr>
          <w:p>
            <w:pPr>
              <w:jc w:val="right"/>
              <w:ind w:right="4490"/>
              <w:spacing w:after="0"/>
              <w:rPr>
                <w:sz w:val="20"/>
                <w:szCs w:val="20"/>
                <w:color w:val="auto"/>
              </w:rPr>
            </w:pPr>
            <w:r>
              <w:rPr>
                <w:rFonts w:ascii="Arial" w:cs="Arial" w:eastAsia="Arial" w:hAnsi="Arial"/>
                <w:sz w:val="18"/>
                <w:szCs w:val="18"/>
                <w:color w:val="auto"/>
                <w:w w:val="99"/>
              </w:rPr>
              <w:t>Consolidated EBITDA ratio</w:t>
            </w:r>
            <w:r>
              <w:rPr>
                <w:rFonts w:ascii="Arial" w:cs="Arial" w:eastAsia="Arial" w:hAnsi="Arial"/>
                <w:sz w:val="15"/>
                <w:szCs w:val="15"/>
                <w:color w:val="auto"/>
                <w:w w:val="99"/>
              </w:rPr>
              <w:t>(1)</w:t>
            </w:r>
          </w:p>
        </w:tc>
        <w:tc>
          <w:tcPr>
            <w:tcW w:w="1660" w:type="dxa"/>
            <w:vAlign w:val="bottom"/>
            <w:gridSpan w:val="2"/>
            <w:shd w:val="clear" w:color="auto" w:fill="CFF0FC"/>
          </w:tcPr>
          <w:p>
            <w:pPr>
              <w:jc w:val="center"/>
              <w:ind w:right="180"/>
              <w:spacing w:after="0"/>
              <w:rPr>
                <w:sz w:val="20"/>
                <w:szCs w:val="20"/>
                <w:color w:val="auto"/>
              </w:rPr>
            </w:pPr>
            <w:r>
              <w:rPr>
                <w:rFonts w:ascii="Arial" w:cs="Arial" w:eastAsia="Arial" w:hAnsi="Arial"/>
                <w:sz w:val="18"/>
                <w:szCs w:val="18"/>
                <w:color w:val="auto"/>
                <w:w w:val="90"/>
              </w:rPr>
              <w:t>6.25x</w:t>
            </w:r>
          </w:p>
        </w:tc>
        <w:tc>
          <w:tcPr>
            <w:tcW w:w="1520" w:type="dxa"/>
            <w:vAlign w:val="bottom"/>
            <w:shd w:val="clear" w:color="auto" w:fill="CFF0FC"/>
          </w:tcPr>
          <w:p>
            <w:pPr>
              <w:jc w:val="center"/>
              <w:spacing w:after="0"/>
              <w:rPr>
                <w:sz w:val="20"/>
                <w:szCs w:val="20"/>
                <w:color w:val="auto"/>
              </w:rPr>
            </w:pPr>
            <w:r>
              <w:rPr>
                <w:rFonts w:ascii="Arial" w:cs="Arial" w:eastAsia="Arial" w:hAnsi="Arial"/>
                <w:sz w:val="18"/>
                <w:szCs w:val="18"/>
                <w:color w:val="auto"/>
                <w:w w:val="95"/>
              </w:rPr>
              <w:t>2.29x</w:t>
            </w:r>
          </w:p>
        </w:tc>
      </w:tr>
      <w:tr>
        <w:trPr>
          <w:trHeight w:val="243"/>
        </w:trPr>
        <w:tc>
          <w:tcPr>
            <w:tcW w:w="7460" w:type="dxa"/>
            <w:vAlign w:val="bottom"/>
            <w:gridSpan w:val="2"/>
          </w:tcPr>
          <w:p>
            <w:pPr>
              <w:jc w:val="right"/>
              <w:ind w:right="5210"/>
              <w:spacing w:after="0"/>
              <w:rPr>
                <w:sz w:val="20"/>
                <w:szCs w:val="20"/>
                <w:color w:val="auto"/>
              </w:rPr>
            </w:pPr>
            <w:r>
              <w:rPr>
                <w:rFonts w:ascii="Arial" w:cs="Arial" w:eastAsia="Arial" w:hAnsi="Arial"/>
                <w:sz w:val="18"/>
                <w:szCs w:val="18"/>
                <w:color w:val="auto"/>
                <w:w w:val="89"/>
              </w:rPr>
              <w:t>________________________</w:t>
            </w:r>
          </w:p>
        </w:tc>
        <w:tc>
          <w:tcPr>
            <w:tcW w:w="15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520" w:type="dxa"/>
            <w:vAlign w:val="bottom"/>
          </w:tcPr>
          <w:p>
            <w:pPr>
              <w:spacing w:after="0"/>
              <w:rPr>
                <w:sz w:val="21"/>
                <w:szCs w:val="21"/>
                <w:color w:val="auto"/>
              </w:rPr>
            </w:pPr>
          </w:p>
        </w:tc>
      </w:tr>
    </w:tbl>
    <w:p>
      <w:pPr>
        <w:ind w:left="500" w:right="160" w:hanging="492"/>
        <w:spacing w:after="0" w:line="253" w:lineRule="auto"/>
        <w:tabs>
          <w:tab w:leader="none" w:pos="500" w:val="left"/>
        </w:tabs>
        <w:numPr>
          <w:ilvl w:val="0"/>
          <w:numId w:val="7"/>
        </w:numPr>
        <w:rPr>
          <w:rFonts w:ascii="Arial" w:cs="Arial" w:eastAsia="Arial" w:hAnsi="Arial"/>
          <w:sz w:val="18"/>
          <w:szCs w:val="18"/>
          <w:color w:val="auto"/>
        </w:rPr>
      </w:pPr>
      <w:r>
        <w:rPr>
          <w:rFonts w:ascii="Arial" w:cs="Arial" w:eastAsia="Arial" w:hAnsi="Arial"/>
          <w:sz w:val="18"/>
          <w:szCs w:val="18"/>
          <w:color w:val="auto"/>
        </w:rPr>
        <w:t>Calculated as the ratio of consolidated net secured funded indebtedness, net of cash and cash equivalents, to Consolidated EBITDA, as defined by the amended senior secured credit facility, for the period of four consecutive fiscal quarters ended on the measurement date. Consolidated net secured funded indebtedness is comprised of indebtedness for borrowed money, letters of credit, deferred purchase price obligations and capital lease obligations, all of which is secured by liens on our property.</w:t>
      </w:r>
    </w:p>
    <w:p>
      <w:pPr>
        <w:spacing w:after="0" w:line="301"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Recently Adopted Accounting Pronouncement</w:t>
      </w:r>
    </w:p>
    <w:p>
      <w:pPr>
        <w:spacing w:after="0" w:line="225" w:lineRule="exact"/>
        <w:rPr>
          <w:sz w:val="20"/>
          <w:szCs w:val="20"/>
          <w:color w:val="auto"/>
        </w:rPr>
      </w:pPr>
    </w:p>
    <w:p>
      <w:pPr>
        <w:ind w:firstLine="510"/>
        <w:spacing w:after="0" w:line="254" w:lineRule="auto"/>
        <w:rPr>
          <w:sz w:val="20"/>
          <w:szCs w:val="20"/>
          <w:color w:val="auto"/>
        </w:rPr>
      </w:pPr>
      <w:r>
        <w:rPr>
          <w:rFonts w:ascii="Arial" w:cs="Arial" w:eastAsia="Arial" w:hAnsi="Arial"/>
          <w:sz w:val="18"/>
          <w:szCs w:val="18"/>
          <w:color w:val="auto"/>
        </w:rPr>
        <w:t xml:space="preserve">In December 2019, the FASB issued ASU 2019-12, </w:t>
      </w:r>
      <w:r>
        <w:rPr>
          <w:rFonts w:ascii="Arial" w:cs="Arial" w:eastAsia="Arial" w:hAnsi="Arial"/>
          <w:sz w:val="18"/>
          <w:szCs w:val="18"/>
          <w:i w:val="1"/>
          <w:iCs w:val="1"/>
          <w:color w:val="auto"/>
        </w:rPr>
        <w:t>Simplifying the Accounting for Income Taxes (Topic 740)</w:t>
      </w:r>
      <w:r>
        <w:rPr>
          <w:rFonts w:ascii="Arial" w:cs="Arial" w:eastAsia="Arial" w:hAnsi="Arial"/>
          <w:sz w:val="18"/>
          <w:szCs w:val="18"/>
          <w:color w:val="auto"/>
        </w:rPr>
        <w:t>. ASU 2019-12 simplifies the accounting for income taxes by eliminating certain exceptions to the guidance in ASC 740 related to the approach for intraperiod tax allocation, the methodology for calculating income taxes in an interim period and the recognition of deferred tax liabilities for outside basis differences. The standard also simplifies aspects of the accounting for franchise taxes and enacted changes in tax laws or rates and clarifies the accounting for transactions that result in a step-up in the tax basis of goodwill. Certain amendments in this update must be applied on a prospective basis, certain amendments must be applied on a retrospective basis and certain amendments must be applied on a modified retrospective basis through a cumulative-effect adjustment to retained earnings as of the effective date. We adopted ASU 2019-12 effective January 1, 2021. The adoption of this standard did not have a material impact on our financial position, results of operations or cash flows.</w:t>
      </w:r>
    </w:p>
    <w:p>
      <w:pPr>
        <w:spacing w:after="0" w:line="192"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Recent Accounting Pronouncement Not Yet Effective</w:t>
      </w:r>
    </w:p>
    <w:p>
      <w:pPr>
        <w:spacing w:after="0" w:line="225" w:lineRule="exact"/>
        <w:rPr>
          <w:sz w:val="20"/>
          <w:szCs w:val="20"/>
          <w:color w:val="auto"/>
        </w:rPr>
      </w:pPr>
    </w:p>
    <w:p>
      <w:pPr>
        <w:ind w:left="520"/>
        <w:spacing w:after="0"/>
        <w:rPr>
          <w:sz w:val="20"/>
          <w:szCs w:val="20"/>
          <w:color w:val="auto"/>
        </w:rPr>
      </w:pPr>
      <w:r>
        <w:rPr>
          <w:rFonts w:ascii="Arial" w:cs="Arial" w:eastAsia="Arial" w:hAnsi="Arial"/>
          <w:sz w:val="18"/>
          <w:szCs w:val="18"/>
          <w:color w:val="auto"/>
        </w:rPr>
        <w:t xml:space="preserve">In March 2020, the FASB issued ASU 2020-04, </w:t>
      </w:r>
      <w:r>
        <w:rPr>
          <w:rFonts w:ascii="Arial" w:cs="Arial" w:eastAsia="Arial" w:hAnsi="Arial"/>
          <w:sz w:val="18"/>
          <w:szCs w:val="18"/>
          <w:i w:val="1"/>
          <w:iCs w:val="1"/>
          <w:color w:val="auto"/>
        </w:rPr>
        <w:t>Reference Rate Reform (Topic 848): Facilitation of the Effects of Reference</w:t>
      </w:r>
    </w:p>
    <w:p>
      <w:pPr>
        <w:spacing w:after="0" w:line="225"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180"/>
          </w:cols>
          <w:pgMar w:left="320" w:top="773" w:right="399" w:bottom="1440" w:gutter="0" w:footer="0" w:header="0"/>
        </w:sectPr>
      </w:pPr>
    </w:p>
    <w:bookmarkStart w:id="24" w:name="page25"/>
    <w:bookmarkEnd w:id="24"/>
    <w:p>
      <w:pPr>
        <w:spacing w:after="0" w:line="271" w:lineRule="auto"/>
        <w:rPr>
          <w:sz w:val="20"/>
          <w:szCs w:val="20"/>
          <w:color w:val="auto"/>
        </w:rPr>
      </w:pPr>
      <w:r>
        <w:rPr>
          <w:rFonts w:ascii="Arial" w:cs="Arial" w:eastAsia="Arial" w:hAnsi="Arial"/>
          <w:sz w:val="17"/>
          <w:szCs w:val="17"/>
          <w:i w:val="1"/>
          <w:iCs w:val="1"/>
          <w:color w:val="auto"/>
        </w:rPr>
        <w:t>Rate Reform on Financial Reporting</w:t>
      </w:r>
      <w:r>
        <w:rPr>
          <w:rFonts w:ascii="Arial" w:cs="Arial" w:eastAsia="Arial" w:hAnsi="Arial"/>
          <w:sz w:val="17"/>
          <w:szCs w:val="17"/>
          <w:color w:val="auto"/>
        </w:rPr>
        <w:t>. ASU 2020-04 provides optional expedients and exceptions for applying U.S. GAAP if certain criteria are met to</w:t>
      </w:r>
      <w:r>
        <w:rPr>
          <w:rFonts w:ascii="Arial" w:cs="Arial" w:eastAsia="Arial" w:hAnsi="Arial"/>
          <w:sz w:val="17"/>
          <w:szCs w:val="17"/>
          <w:i w:val="1"/>
          <w:iCs w:val="1"/>
          <w:color w:val="auto"/>
        </w:rPr>
        <w:t xml:space="preserve"> </w:t>
      </w:r>
      <w:r>
        <w:rPr>
          <w:rFonts w:ascii="Arial" w:cs="Arial" w:eastAsia="Arial" w:hAnsi="Arial"/>
          <w:sz w:val="17"/>
          <w:szCs w:val="17"/>
          <w:color w:val="auto"/>
        </w:rPr>
        <w:t xml:space="preserve">contracts, hedging relationships and other transactions that reference LIBOR or another reference rate expected to be discontinued. In January 2021, the FASB issued Update 2021-01, </w:t>
      </w:r>
      <w:r>
        <w:rPr>
          <w:rFonts w:ascii="Arial" w:cs="Arial" w:eastAsia="Arial" w:hAnsi="Arial"/>
          <w:sz w:val="17"/>
          <w:szCs w:val="17"/>
          <w:i w:val="1"/>
          <w:iCs w:val="1"/>
          <w:color w:val="auto"/>
        </w:rPr>
        <w:t>Reference Rate Reform (Topic 848): Scope</w:t>
      </w:r>
      <w:r>
        <w:rPr>
          <w:rFonts w:ascii="Arial" w:cs="Arial" w:eastAsia="Arial" w:hAnsi="Arial"/>
          <w:sz w:val="17"/>
          <w:szCs w:val="17"/>
          <w:color w:val="auto"/>
        </w:rPr>
        <w:t>. The update provides additional optional guidance on the transition from LIBOR to include derivative instruments that use an interest rate for margining, discounting or contract price alignment. The standard will ease, if warranted, the requirements for accounting for the future effects of the rate reform. An entity may elect to apply the amendments prospectively through December 31, 2022. A substantial portion of our indebtedness bears interest at variable interest rates, primarily based on USD-LIBOR. We continue to monitor the impact the discontinuance of LIBOR or another reference rate will have on our contracts, hedging relationships and other transactions. We are currently assessing the impact of this standard on our financial condition and results of operations.</w:t>
      </w:r>
    </w:p>
    <w:p>
      <w:pPr>
        <w:spacing w:after="0" w:line="161" w:lineRule="exact"/>
        <w:rPr>
          <w:sz w:val="20"/>
          <w:szCs w:val="20"/>
          <w:color w:val="auto"/>
        </w:rPr>
      </w:pPr>
    </w:p>
    <w:p>
      <w:pPr>
        <w:spacing w:after="0"/>
        <w:tabs>
          <w:tab w:leader="none" w:pos="1000" w:val="left"/>
        </w:tabs>
        <w:rPr>
          <w:sz w:val="20"/>
          <w:szCs w:val="20"/>
          <w:color w:val="auto"/>
        </w:rPr>
      </w:pPr>
      <w:r>
        <w:rPr>
          <w:rFonts w:ascii="Arial" w:cs="Arial" w:eastAsia="Arial" w:hAnsi="Arial"/>
          <w:sz w:val="18"/>
          <w:szCs w:val="18"/>
          <w:b w:val="1"/>
          <w:bCs w:val="1"/>
          <w:color w:val="auto"/>
        </w:rPr>
        <w:t>Item 3.</w:t>
      </w:r>
      <w:r>
        <w:rPr>
          <w:sz w:val="20"/>
          <w:szCs w:val="20"/>
          <w:color w:val="auto"/>
        </w:rPr>
        <w:tab/>
      </w:r>
      <w:r>
        <w:rPr>
          <w:rFonts w:ascii="Arial" w:cs="Arial" w:eastAsia="Arial" w:hAnsi="Arial"/>
          <w:sz w:val="16"/>
          <w:szCs w:val="16"/>
          <w:b w:val="1"/>
          <w:bCs w:val="1"/>
          <w:color w:val="auto"/>
        </w:rPr>
        <w:t>Quantitative and Qualitative Disclosures About Market Risk</w:t>
      </w:r>
    </w:p>
    <w:p>
      <w:pPr>
        <w:spacing w:after="0" w:line="121" w:lineRule="exact"/>
        <w:rPr>
          <w:sz w:val="20"/>
          <w:szCs w:val="20"/>
          <w:color w:val="auto"/>
        </w:rPr>
      </w:pPr>
    </w:p>
    <w:p>
      <w:pPr>
        <w:ind w:right="380" w:firstLine="510"/>
        <w:spacing w:after="0" w:line="342" w:lineRule="auto"/>
        <w:rPr>
          <w:sz w:val="20"/>
          <w:szCs w:val="20"/>
          <w:color w:val="auto"/>
        </w:rPr>
      </w:pPr>
      <w:r>
        <w:rPr>
          <w:rFonts w:ascii="Arial" w:cs="Arial" w:eastAsia="Arial" w:hAnsi="Arial"/>
          <w:sz w:val="16"/>
          <w:szCs w:val="16"/>
          <w:color w:val="auto"/>
        </w:rPr>
        <w:t>We do not use derivative financial instruments for trading or speculative purposes. We have generally invested our available cash in short-term, highly liquid financial instruments, having initial maturities of three months or less. When necessary, we have borrowed to fund acquisitions.</w:t>
      </w:r>
    </w:p>
    <w:p>
      <w:pPr>
        <w:spacing w:after="0" w:line="12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Interest Rate Risk</w:t>
      </w:r>
    </w:p>
    <w:p>
      <w:pPr>
        <w:spacing w:after="0" w:line="225" w:lineRule="exact"/>
        <w:rPr>
          <w:sz w:val="20"/>
          <w:szCs w:val="20"/>
          <w:color w:val="auto"/>
        </w:rPr>
      </w:pPr>
    </w:p>
    <w:p>
      <w:pPr>
        <w:ind w:left="520"/>
        <w:spacing w:after="0"/>
        <w:rPr>
          <w:sz w:val="20"/>
          <w:szCs w:val="20"/>
          <w:color w:val="auto"/>
        </w:rPr>
      </w:pPr>
      <w:r>
        <w:rPr>
          <w:rFonts w:ascii="Arial" w:cs="Arial" w:eastAsia="Arial" w:hAnsi="Arial"/>
          <w:sz w:val="17"/>
          <w:szCs w:val="17"/>
          <w:color w:val="auto"/>
        </w:rPr>
        <w:t>We derive service revenues from investment earnings related to cash balances maintained in bank accounts on which we are the agent for</w:t>
      </w:r>
    </w:p>
    <w:p>
      <w:pPr>
        <w:spacing w:after="0" w:line="35" w:lineRule="exact"/>
        <w:rPr>
          <w:sz w:val="20"/>
          <w:szCs w:val="20"/>
          <w:color w:val="auto"/>
        </w:rPr>
      </w:pPr>
    </w:p>
    <w:p>
      <w:pPr>
        <w:spacing w:after="0"/>
        <w:rPr>
          <w:sz w:val="20"/>
          <w:szCs w:val="20"/>
          <w:color w:val="auto"/>
        </w:rPr>
      </w:pPr>
      <w:r>
        <w:rPr>
          <w:rFonts w:ascii="Arial" w:cs="Arial" w:eastAsia="Arial" w:hAnsi="Arial"/>
          <w:sz w:val="16"/>
          <w:szCs w:val="16"/>
          <w:color w:val="auto"/>
        </w:rPr>
        <w:t>clients. The balances maintained in the bank accounts will fluctuate. For the three months ended March 31, 2021, we had average daily cash balances of</w:t>
      </w:r>
    </w:p>
    <w:p>
      <w:pPr>
        <w:spacing w:after="0" w:line="32" w:lineRule="exact"/>
        <w:rPr>
          <w:sz w:val="20"/>
          <w:szCs w:val="20"/>
          <w:color w:val="auto"/>
        </w:rPr>
      </w:pPr>
    </w:p>
    <w:p>
      <w:pPr>
        <w:spacing w:after="0"/>
        <w:rPr>
          <w:sz w:val="20"/>
          <w:szCs w:val="20"/>
          <w:color w:val="auto"/>
        </w:rPr>
      </w:pPr>
      <w:r>
        <w:rPr>
          <w:rFonts w:ascii="Arial" w:cs="Arial" w:eastAsia="Arial" w:hAnsi="Arial"/>
          <w:sz w:val="17"/>
          <w:szCs w:val="17"/>
          <w:color w:val="auto"/>
        </w:rPr>
        <w:t>approximately $2,450.1 million maintained in such accounts. We estimate that a 100 basis point change in the interest earnings rate would equal</w:t>
      </w:r>
    </w:p>
    <w:p>
      <w:pPr>
        <w:spacing w:after="0" w:line="21" w:lineRule="exact"/>
        <w:rPr>
          <w:sz w:val="20"/>
          <w:szCs w:val="20"/>
          <w:color w:val="auto"/>
        </w:rPr>
      </w:pPr>
    </w:p>
    <w:p>
      <w:pPr>
        <w:spacing w:after="0"/>
        <w:rPr>
          <w:sz w:val="20"/>
          <w:szCs w:val="20"/>
          <w:color w:val="auto"/>
        </w:rPr>
      </w:pPr>
      <w:r>
        <w:rPr>
          <w:rFonts w:ascii="Arial" w:cs="Arial" w:eastAsia="Arial" w:hAnsi="Arial"/>
          <w:sz w:val="16"/>
          <w:szCs w:val="16"/>
          <w:color w:val="auto"/>
        </w:rPr>
        <w:t>approximately $9.7 million of net income, net of income taxes, on an annual basis. The effect of changes in interest rates attributable to earnings derived</w:t>
      </w:r>
    </w:p>
    <w:p>
      <w:pPr>
        <w:spacing w:after="0" w:line="32" w:lineRule="exact"/>
        <w:rPr>
          <w:sz w:val="20"/>
          <w:szCs w:val="20"/>
          <w:color w:val="auto"/>
        </w:rPr>
      </w:pPr>
    </w:p>
    <w:p>
      <w:pPr>
        <w:spacing w:after="0"/>
        <w:rPr>
          <w:sz w:val="20"/>
          <w:szCs w:val="20"/>
          <w:color w:val="auto"/>
        </w:rPr>
      </w:pPr>
      <w:r>
        <w:rPr>
          <w:rFonts w:ascii="Arial" w:cs="Arial" w:eastAsia="Arial" w:hAnsi="Arial"/>
          <w:sz w:val="18"/>
          <w:szCs w:val="18"/>
          <w:color w:val="auto"/>
        </w:rPr>
        <w:t>from cash balances we hold for clients is offset by changes in interest rates on our variable debt.</w:t>
      </w:r>
    </w:p>
    <w:p>
      <w:pPr>
        <w:spacing w:after="0" w:line="211" w:lineRule="exact"/>
        <w:rPr>
          <w:sz w:val="20"/>
          <w:szCs w:val="20"/>
          <w:color w:val="auto"/>
        </w:rPr>
      </w:pPr>
    </w:p>
    <w:p>
      <w:pPr>
        <w:ind w:right="60" w:firstLine="510"/>
        <w:spacing w:after="0" w:line="277" w:lineRule="auto"/>
        <w:rPr>
          <w:sz w:val="20"/>
          <w:szCs w:val="20"/>
          <w:color w:val="auto"/>
        </w:rPr>
      </w:pPr>
      <w:r>
        <w:rPr>
          <w:rFonts w:ascii="Arial" w:cs="Arial" w:eastAsia="Arial" w:hAnsi="Arial"/>
          <w:sz w:val="18"/>
          <w:szCs w:val="18"/>
          <w:color w:val="auto"/>
        </w:rPr>
        <w:t>At March 31, 2021, we had total variable interest rate debt of approximately $4,558.0 million. As of March 31, 2021, a 1% increase in interest rates would result in an increase in interest expense of approximately $45.6 million per year.</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Equity Price Risk</w:t>
      </w:r>
    </w:p>
    <w:p>
      <w:pPr>
        <w:spacing w:after="0" w:line="225" w:lineRule="exact"/>
        <w:rPr>
          <w:sz w:val="20"/>
          <w:szCs w:val="20"/>
          <w:color w:val="auto"/>
        </w:rPr>
      </w:pPr>
    </w:p>
    <w:p>
      <w:pPr>
        <w:ind w:firstLine="510"/>
        <w:spacing w:after="0" w:line="257" w:lineRule="auto"/>
        <w:rPr>
          <w:sz w:val="20"/>
          <w:szCs w:val="20"/>
          <w:color w:val="auto"/>
        </w:rPr>
      </w:pPr>
      <w:r>
        <w:rPr>
          <w:rFonts w:ascii="Arial" w:cs="Arial" w:eastAsia="Arial" w:hAnsi="Arial"/>
          <w:sz w:val="18"/>
          <w:szCs w:val="18"/>
          <w:color w:val="auto"/>
        </w:rPr>
        <w:t>We have exposure to equity price risk as a result of our investments in equity securities. Equity price risk results from changes in the level or volatility of equity prices which affect the value of equity securities or instruments that derive their value from such securities or indexes. The fair value of our investments that are subject to equity price risk as of March 31, 2021 was approximately $89.1 million. The impact of a 10% change in fair value of these investments would have been approximately $6.6 million to net income, net of income taxes. Changes in equity values of our investments could have a material effect on our results of operations and our financial position.</w:t>
      </w:r>
    </w:p>
    <w:p>
      <w:pPr>
        <w:spacing w:after="0" w:line="18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Foreign Currency Exchange Rate Risk</w:t>
      </w:r>
    </w:p>
    <w:p>
      <w:pPr>
        <w:spacing w:after="0" w:line="225" w:lineRule="exact"/>
        <w:rPr>
          <w:sz w:val="20"/>
          <w:szCs w:val="20"/>
          <w:color w:val="auto"/>
        </w:rPr>
      </w:pPr>
    </w:p>
    <w:p>
      <w:pPr>
        <w:ind w:right="20" w:firstLine="510"/>
        <w:spacing w:after="0" w:line="289" w:lineRule="auto"/>
        <w:rPr>
          <w:sz w:val="20"/>
          <w:szCs w:val="20"/>
          <w:color w:val="auto"/>
        </w:rPr>
      </w:pPr>
      <w:r>
        <w:rPr>
          <w:rFonts w:ascii="Arial" w:cs="Arial" w:eastAsia="Arial" w:hAnsi="Arial"/>
          <w:sz w:val="16"/>
          <w:szCs w:val="16"/>
          <w:color w:val="auto"/>
        </w:rPr>
        <w:t>During the three months ended March 31, 2021, approximately 29% of our revenues were from clients located outside the United States. A portion of the revenues from clients located outside the United States is denominated in foreign currencies, the majority being the British pound. While revenues and expenses of our foreign operations are primarily denominated in their respective local currencies, some subsidiaries do enter into certain transactions in currencies that are different from their local currency. These transactions consist primarily of cross-currency intercompany balances and trade receivables and payables. As a result of these transactions, we have exposure to changes in foreign currency exchange rates that result in foreign currency transaction gains and losses, which we report in other income (expense). These amounts were not material for the three months ended March 31, 2021. The amount of these balances can fluctuate in the future as we bill customers and buy products or services in currencies other than our functional currency, which could increase our exposure to foreign currency exchange rates. We continue to monitor our exposure to foreign exchange rates because of our acquisitions and changes in our operations. We do not enter into any market risk sensitive instruments for trading purposes.</w:t>
      </w:r>
    </w:p>
    <w:p>
      <w:pPr>
        <w:spacing w:after="0" w:line="166" w:lineRule="exact"/>
        <w:rPr>
          <w:sz w:val="20"/>
          <w:szCs w:val="20"/>
          <w:color w:val="auto"/>
        </w:rPr>
      </w:pPr>
    </w:p>
    <w:p>
      <w:pPr>
        <w:ind w:right="160" w:firstLine="510"/>
        <w:spacing w:after="0" w:line="263" w:lineRule="auto"/>
        <w:rPr>
          <w:sz w:val="20"/>
          <w:szCs w:val="20"/>
          <w:color w:val="auto"/>
        </w:rPr>
      </w:pPr>
      <w:r>
        <w:rPr>
          <w:rFonts w:ascii="Arial" w:cs="Arial" w:eastAsia="Arial" w:hAnsi="Arial"/>
          <w:sz w:val="18"/>
          <w:szCs w:val="18"/>
          <w:color w:val="auto"/>
        </w:rPr>
        <w:t>The foregoing risk management discussion and the effect thereof are forward-looking statements. Actual results in the future may differ materially from these projected results due to actual developments in global financial markets. The analytical methods used by us to assess and minimize risk discussed above should not be considered projections of future events or losses.</w:t>
      </w:r>
    </w:p>
    <w:p>
      <w:pPr>
        <w:spacing w:after="0" w:line="369" w:lineRule="exact"/>
        <w:rPr>
          <w:sz w:val="20"/>
          <w:szCs w:val="20"/>
          <w:color w:val="auto"/>
        </w:rPr>
      </w:pPr>
    </w:p>
    <w:p>
      <w:pPr>
        <w:spacing w:after="0"/>
        <w:tabs>
          <w:tab w:leader="none" w:pos="1000" w:val="left"/>
        </w:tabs>
        <w:rPr>
          <w:sz w:val="20"/>
          <w:szCs w:val="20"/>
          <w:color w:val="auto"/>
        </w:rPr>
      </w:pPr>
      <w:r>
        <w:rPr>
          <w:rFonts w:ascii="Arial" w:cs="Arial" w:eastAsia="Arial" w:hAnsi="Arial"/>
          <w:sz w:val="18"/>
          <w:szCs w:val="18"/>
          <w:b w:val="1"/>
          <w:bCs w:val="1"/>
          <w:color w:val="auto"/>
        </w:rPr>
        <w:t>Item 4.</w:t>
      </w:r>
      <w:r>
        <w:rPr>
          <w:sz w:val="20"/>
          <w:szCs w:val="20"/>
          <w:color w:val="auto"/>
        </w:rPr>
        <w:tab/>
      </w:r>
      <w:r>
        <w:rPr>
          <w:rFonts w:ascii="Arial" w:cs="Arial" w:eastAsia="Arial" w:hAnsi="Arial"/>
          <w:sz w:val="15"/>
          <w:szCs w:val="15"/>
          <w:b w:val="1"/>
          <w:bCs w:val="1"/>
          <w:color w:val="auto"/>
        </w:rPr>
        <w:t>Controls and Procedures</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Evaluation of Disclosure Controls and Procedures</w:t>
      </w:r>
    </w:p>
    <w:p>
      <w:pPr>
        <w:spacing w:after="0" w:line="117" w:lineRule="exact"/>
        <w:rPr>
          <w:sz w:val="20"/>
          <w:szCs w:val="20"/>
          <w:color w:val="auto"/>
        </w:rPr>
      </w:pPr>
    </w:p>
    <w:p>
      <w:pPr>
        <w:ind w:right="80" w:firstLine="510"/>
        <w:spacing w:after="0" w:line="287" w:lineRule="auto"/>
        <w:rPr>
          <w:sz w:val="20"/>
          <w:szCs w:val="20"/>
          <w:color w:val="auto"/>
        </w:rPr>
      </w:pPr>
      <w:r>
        <w:rPr>
          <w:rFonts w:ascii="Arial" w:cs="Arial" w:eastAsia="Arial" w:hAnsi="Arial"/>
          <w:sz w:val="16"/>
          <w:szCs w:val="16"/>
          <w:color w:val="auto"/>
        </w:rPr>
        <w:t>Our management, with the participation of our chief executive officer and chief financial officer (our principal executive officer and principal financial officer, respectively), evaluated the effectiveness of our disclosure controls and procedures as of March 31, 2021. The term “disclosure controls and procedures,” as defined in Rules 13a-15(e) and 15d-15(e) under the Securities Exchange Act of 1934, as amended, or Exchange Act, means controls and other procedures of a company that are designed to ensure that information required to be disclosed by a company in the reports that it files or submits under the Exchange Act is recorded, processed, summarized and reported, within the time periods specified in the rules and forms of the Securities and Exchange Commission. Disclosure controls and procedures include, without limitation, controls and procedures designed to ensure that information required to be disclosed by a company in the reports that it files or submits under the Exchange Act is accumulated and communicated to the company’s management, including its principal executive and principal financial officers, as appropriate to allow timely decisions regarding required disclosure. Management recognizes that any controls and procedures, no matter how well designed and operated, can provide only reasonable assurance of achieving their objectives, and management necessarily applies its judgment in evaluating the cost-benefit relationship of possible controls and procedures. Based on the evaluation of our disclosure controls and procedures as of March 31, 2021, our chief executive officer and chief financial officer concluded that, as of such date, our disclosure controls and procedures were effective at the reasonable assurance level.</w:t>
      </w:r>
    </w:p>
    <w:p>
      <w:pPr>
        <w:spacing w:after="0" w:line="16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341" w:right="359" w:bottom="1440" w:gutter="0" w:footer="0" w:header="0"/>
        </w:sectPr>
      </w:pPr>
    </w:p>
    <w:bookmarkStart w:id="25" w:name="page26"/>
    <w:bookmarkEnd w:id="25"/>
    <w:p>
      <w:pPr>
        <w:spacing w:after="0"/>
        <w:rPr>
          <w:sz w:val="20"/>
          <w:szCs w:val="20"/>
          <w:color w:val="auto"/>
        </w:rPr>
      </w:pPr>
      <w:r>
        <w:rPr>
          <w:rFonts w:ascii="Arial" w:cs="Arial" w:eastAsia="Arial" w:hAnsi="Arial"/>
          <w:sz w:val="18"/>
          <w:szCs w:val="18"/>
          <w:b w:val="1"/>
          <w:bCs w:val="1"/>
          <w:i w:val="1"/>
          <w:iCs w:val="1"/>
          <w:color w:val="auto"/>
        </w:rPr>
        <w:t>Changes in Internal Control Over Financial Reporting</w:t>
      </w:r>
    </w:p>
    <w:p>
      <w:pPr>
        <w:spacing w:after="0" w:line="117" w:lineRule="exact"/>
        <w:rPr>
          <w:sz w:val="20"/>
          <w:szCs w:val="20"/>
          <w:color w:val="auto"/>
        </w:rPr>
      </w:pPr>
    </w:p>
    <w:p>
      <w:pPr>
        <w:jc w:val="both"/>
        <w:ind w:right="200" w:firstLine="510"/>
        <w:spacing w:after="0" w:line="263" w:lineRule="auto"/>
        <w:rPr>
          <w:sz w:val="20"/>
          <w:szCs w:val="20"/>
          <w:color w:val="auto"/>
        </w:rPr>
      </w:pPr>
      <w:r>
        <w:rPr>
          <w:rFonts w:ascii="Arial" w:cs="Arial" w:eastAsia="Arial" w:hAnsi="Arial"/>
          <w:sz w:val="18"/>
          <w:szCs w:val="18"/>
          <w:color w:val="auto"/>
        </w:rPr>
        <w:t>There have not been any changes in our internal control over financial reporting (as defined in Rules 13a-15(f) and 15d-15(f) under the Exchange Act) that occurred during the fiscal quarter ended March 31, 2021 that have materially affected, or are reasonably likely to materially affect, our internal control over financial reporting.</w:t>
      </w:r>
    </w:p>
    <w:p>
      <w:pPr>
        <w:spacing w:after="0" w:line="200" w:lineRule="exact"/>
        <w:rPr>
          <w:sz w:val="20"/>
          <w:szCs w:val="20"/>
          <w:color w:val="auto"/>
        </w:rPr>
      </w:pPr>
    </w:p>
    <w:p>
      <w:pPr>
        <w:spacing w:after="0" w:line="371" w:lineRule="exact"/>
        <w:rPr>
          <w:sz w:val="20"/>
          <w:szCs w:val="20"/>
          <w:color w:val="auto"/>
        </w:rPr>
      </w:pPr>
    </w:p>
    <w:p>
      <w:pPr>
        <w:jc w:val="center"/>
        <w:ind w:right="-59"/>
        <w:spacing w:after="0"/>
        <w:rPr>
          <w:sz w:val="20"/>
          <w:szCs w:val="20"/>
          <w:color w:val="auto"/>
        </w:rPr>
      </w:pPr>
      <w:r>
        <w:rPr>
          <w:rFonts w:ascii="Arial" w:cs="Arial" w:eastAsia="Arial" w:hAnsi="Arial"/>
          <w:sz w:val="18"/>
          <w:szCs w:val="18"/>
          <w:b w:val="1"/>
          <w:bCs w:val="1"/>
          <w:color w:val="auto"/>
        </w:rPr>
        <w:t>PART II – OTHER INFORMATION</w:t>
      </w:r>
    </w:p>
    <w:p>
      <w:pPr>
        <w:spacing w:after="0" w:line="252" w:lineRule="exact"/>
        <w:rPr>
          <w:sz w:val="20"/>
          <w:szCs w:val="20"/>
          <w:color w:val="auto"/>
        </w:rPr>
      </w:pPr>
    </w:p>
    <w:p>
      <w:pPr>
        <w:spacing w:after="0"/>
        <w:tabs>
          <w:tab w:leader="none" w:pos="1000" w:val="left"/>
        </w:tabs>
        <w:rPr>
          <w:sz w:val="20"/>
          <w:szCs w:val="20"/>
          <w:color w:val="auto"/>
        </w:rPr>
      </w:pPr>
      <w:r>
        <w:rPr>
          <w:rFonts w:ascii="Arial" w:cs="Arial" w:eastAsia="Arial" w:hAnsi="Arial"/>
          <w:sz w:val="18"/>
          <w:szCs w:val="18"/>
          <w:b w:val="1"/>
          <w:bCs w:val="1"/>
          <w:color w:val="auto"/>
        </w:rPr>
        <w:t>Item 1.</w:t>
      </w:r>
      <w:r>
        <w:rPr>
          <w:sz w:val="20"/>
          <w:szCs w:val="20"/>
          <w:color w:val="auto"/>
        </w:rPr>
        <w:tab/>
      </w:r>
      <w:r>
        <w:rPr>
          <w:rFonts w:ascii="Arial" w:cs="Arial" w:eastAsia="Arial" w:hAnsi="Arial"/>
          <w:sz w:val="15"/>
          <w:szCs w:val="15"/>
          <w:b w:val="1"/>
          <w:bCs w:val="1"/>
          <w:color w:val="auto"/>
        </w:rPr>
        <w:t>Legal Proceedings</w:t>
      </w:r>
    </w:p>
    <w:p>
      <w:pPr>
        <w:spacing w:after="0" w:line="121" w:lineRule="exact"/>
        <w:rPr>
          <w:sz w:val="20"/>
          <w:szCs w:val="20"/>
          <w:color w:val="auto"/>
        </w:rPr>
      </w:pPr>
    </w:p>
    <w:p>
      <w:pPr>
        <w:ind w:right="260" w:firstLine="510"/>
        <w:spacing w:after="0" w:line="263" w:lineRule="auto"/>
        <w:rPr>
          <w:sz w:val="20"/>
          <w:szCs w:val="20"/>
          <w:color w:val="auto"/>
        </w:rPr>
      </w:pPr>
      <w:r>
        <w:rPr>
          <w:rFonts w:ascii="Arial" w:cs="Arial" w:eastAsia="Arial" w:hAnsi="Arial"/>
          <w:sz w:val="18"/>
          <w:szCs w:val="18"/>
          <w:color w:val="auto"/>
        </w:rPr>
        <w:t>The information regarding certain legal proceedings in which we are involved as set forth in Note 13 – Commitments and Contingencies of the Notes to the Condensed Consolidated Financial Statements (Part I, Item 1 of this Quarterly Report on Form 10-Q) is incorporated by reference into this Item 1.</w:t>
      </w:r>
    </w:p>
    <w:p>
      <w:pPr>
        <w:spacing w:after="0" w:line="76" w:lineRule="exact"/>
        <w:rPr>
          <w:sz w:val="20"/>
          <w:szCs w:val="20"/>
          <w:color w:val="auto"/>
        </w:rPr>
      </w:pPr>
    </w:p>
    <w:p>
      <w:pPr>
        <w:ind w:right="180" w:firstLine="510"/>
        <w:spacing w:after="0" w:line="279" w:lineRule="auto"/>
        <w:rPr>
          <w:sz w:val="20"/>
          <w:szCs w:val="20"/>
          <w:color w:val="auto"/>
        </w:rPr>
      </w:pPr>
      <w:r>
        <w:rPr>
          <w:rFonts w:ascii="Arial" w:cs="Arial" w:eastAsia="Arial" w:hAnsi="Arial"/>
          <w:sz w:val="17"/>
          <w:szCs w:val="17"/>
          <w:color w:val="auto"/>
        </w:rPr>
        <w:t>In addition, we are involved in various other legal proceedings arising in the normal course of our businesses. At this time, we do not believe any material losses under these claims to be probable. While the ultimate outcome of such legal proceedings cannot be predicted with certainty, it is in the opinion of management, after consultation with legal counsel, that the final outcome in such proceedings, in the aggregate, would not have a material adverse effect on our consolidated financial condition, results of operations or cash flows.</w:t>
      </w:r>
    </w:p>
    <w:p>
      <w:pPr>
        <w:spacing w:after="0" w:line="154" w:lineRule="exact"/>
        <w:rPr>
          <w:sz w:val="20"/>
          <w:szCs w:val="20"/>
          <w:color w:val="auto"/>
        </w:rPr>
      </w:pPr>
    </w:p>
    <w:p>
      <w:pPr>
        <w:spacing w:after="0"/>
        <w:tabs>
          <w:tab w:leader="none" w:pos="1000" w:val="left"/>
        </w:tabs>
        <w:rPr>
          <w:sz w:val="20"/>
          <w:szCs w:val="20"/>
          <w:color w:val="auto"/>
        </w:rPr>
      </w:pPr>
      <w:r>
        <w:rPr>
          <w:rFonts w:ascii="Arial" w:cs="Arial" w:eastAsia="Arial" w:hAnsi="Arial"/>
          <w:sz w:val="18"/>
          <w:szCs w:val="18"/>
          <w:b w:val="1"/>
          <w:bCs w:val="1"/>
          <w:color w:val="auto"/>
        </w:rPr>
        <w:t>Item 1A.</w:t>
      </w:r>
      <w:r>
        <w:rPr>
          <w:sz w:val="20"/>
          <w:szCs w:val="20"/>
          <w:color w:val="auto"/>
        </w:rPr>
        <w:tab/>
      </w:r>
      <w:r>
        <w:rPr>
          <w:rFonts w:ascii="Arial" w:cs="Arial" w:eastAsia="Arial" w:hAnsi="Arial"/>
          <w:sz w:val="16"/>
          <w:szCs w:val="16"/>
          <w:b w:val="1"/>
          <w:bCs w:val="1"/>
          <w:color w:val="auto"/>
        </w:rPr>
        <w:t>Risk Factors</w:t>
      </w:r>
    </w:p>
    <w:p>
      <w:pPr>
        <w:spacing w:after="0" w:line="121" w:lineRule="exact"/>
        <w:rPr>
          <w:sz w:val="20"/>
          <w:szCs w:val="20"/>
          <w:color w:val="auto"/>
        </w:rPr>
      </w:pPr>
    </w:p>
    <w:p>
      <w:pPr>
        <w:ind w:firstLine="510"/>
        <w:spacing w:after="0" w:line="277" w:lineRule="auto"/>
        <w:rPr>
          <w:sz w:val="20"/>
          <w:szCs w:val="20"/>
          <w:color w:val="auto"/>
        </w:rPr>
      </w:pPr>
      <w:r>
        <w:rPr>
          <w:rFonts w:ascii="Arial" w:cs="Arial" w:eastAsia="Arial" w:hAnsi="Arial"/>
          <w:sz w:val="18"/>
          <w:szCs w:val="18"/>
          <w:color w:val="auto"/>
        </w:rPr>
        <w:t>As of the date of this report, there have been no material changes to the risk factors we previously disclosed in our Annual Report on Form 10-K for the year ended December 31, 2020.</w:t>
      </w:r>
    </w:p>
    <w:p>
      <w:pPr>
        <w:spacing w:after="0" w:line="153" w:lineRule="exact"/>
        <w:rPr>
          <w:sz w:val="20"/>
          <w:szCs w:val="20"/>
          <w:color w:val="auto"/>
        </w:rPr>
      </w:pPr>
    </w:p>
    <w:p>
      <w:pPr>
        <w:spacing w:after="0"/>
        <w:tabs>
          <w:tab w:leader="none" w:pos="1000" w:val="left"/>
        </w:tabs>
        <w:rPr>
          <w:sz w:val="20"/>
          <w:szCs w:val="20"/>
          <w:color w:val="auto"/>
        </w:rPr>
      </w:pPr>
      <w:r>
        <w:rPr>
          <w:rFonts w:ascii="Arial" w:cs="Arial" w:eastAsia="Arial" w:hAnsi="Arial"/>
          <w:sz w:val="18"/>
          <w:szCs w:val="18"/>
          <w:b w:val="1"/>
          <w:bCs w:val="1"/>
          <w:color w:val="auto"/>
        </w:rPr>
        <w:t>Item 2.</w:t>
      </w:r>
      <w:r>
        <w:rPr>
          <w:sz w:val="20"/>
          <w:szCs w:val="20"/>
          <w:color w:val="auto"/>
        </w:rPr>
        <w:tab/>
      </w:r>
      <w:r>
        <w:rPr>
          <w:rFonts w:ascii="Arial" w:cs="Arial" w:eastAsia="Arial" w:hAnsi="Arial"/>
          <w:sz w:val="15"/>
          <w:szCs w:val="15"/>
          <w:b w:val="1"/>
          <w:bCs w:val="1"/>
          <w:color w:val="auto"/>
        </w:rPr>
        <w:t>Unregistered Sales of Equity Securities and Use of Proceeds</w:t>
      </w:r>
    </w:p>
    <w:p>
      <w:pPr>
        <w:spacing w:after="0" w:line="12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The following is a summary of the repurchases of our common stock in the first quarter of 2021 (in millions, except average price per share):</w:t>
      </w:r>
    </w:p>
    <w:p>
      <w:pPr>
        <w:spacing w:after="0" w:line="2" w:lineRule="exact"/>
        <w:rPr>
          <w:sz w:val="20"/>
          <w:szCs w:val="20"/>
          <w:color w:val="auto"/>
        </w:rPr>
      </w:pPr>
    </w:p>
    <w:tbl>
      <w:tblPr>
        <w:tblLayout w:type="fixed"/>
        <w:tblInd w:w="580" w:type="dxa"/>
        <w:tblCellMar>
          <w:top w:w="0" w:type="dxa"/>
          <w:left w:w="0" w:type="dxa"/>
          <w:bottom w:w="0" w:type="dxa"/>
          <w:right w:w="0" w:type="dxa"/>
        </w:tblCellMar>
      </w:tblPr>
      <w:tr>
        <w:trPr>
          <w:trHeight w:val="161"/>
        </w:trPr>
        <w:tc>
          <w:tcPr>
            <w:tcW w:w="43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02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180" w:type="dxa"/>
            <w:vAlign w:val="bottom"/>
            <w:vMerge w:val="restart"/>
          </w:tcPr>
          <w:p>
            <w:pPr>
              <w:jc w:val="center"/>
              <w:spacing w:after="0"/>
              <w:rPr>
                <w:sz w:val="20"/>
                <w:szCs w:val="20"/>
                <w:color w:val="auto"/>
              </w:rPr>
            </w:pPr>
            <w:r>
              <w:rPr>
                <w:rFonts w:ascii="Arial" w:cs="Arial" w:eastAsia="Arial" w:hAnsi="Arial"/>
                <w:sz w:val="14"/>
                <w:szCs w:val="14"/>
                <w:b w:val="1"/>
                <w:bCs w:val="1"/>
                <w:color w:val="auto"/>
                <w:w w:val="93"/>
              </w:rPr>
              <w:t>(c)</w:t>
            </w:r>
          </w:p>
        </w:tc>
        <w:tc>
          <w:tcPr>
            <w:tcW w:w="3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500" w:type="dxa"/>
            <w:vAlign w:val="bottom"/>
            <w:gridSpan w:val="2"/>
          </w:tcPr>
          <w:p>
            <w:pPr>
              <w:jc w:val="center"/>
              <w:ind w:right="200"/>
              <w:spacing w:after="0"/>
              <w:rPr>
                <w:sz w:val="20"/>
                <w:szCs w:val="20"/>
                <w:color w:val="auto"/>
              </w:rPr>
            </w:pPr>
            <w:r>
              <w:rPr>
                <w:rFonts w:ascii="Arial" w:cs="Arial" w:eastAsia="Arial" w:hAnsi="Arial"/>
                <w:sz w:val="14"/>
                <w:szCs w:val="14"/>
                <w:b w:val="1"/>
                <w:bCs w:val="1"/>
                <w:color w:val="auto"/>
              </w:rPr>
              <w:t>(d)</w:t>
            </w:r>
          </w:p>
        </w:tc>
        <w:tc>
          <w:tcPr>
            <w:tcW w:w="0" w:type="dxa"/>
            <w:vAlign w:val="bottom"/>
          </w:tcPr>
          <w:p>
            <w:pPr>
              <w:spacing w:after="0"/>
              <w:rPr>
                <w:sz w:val="1"/>
                <w:szCs w:val="1"/>
                <w:color w:val="auto"/>
              </w:rPr>
            </w:pPr>
          </w:p>
        </w:tc>
      </w:tr>
      <w:tr>
        <w:trPr>
          <w:trHeight w:val="148"/>
        </w:trPr>
        <w:tc>
          <w:tcPr>
            <w:tcW w:w="43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02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1180" w:type="dxa"/>
            <w:vAlign w:val="bottom"/>
            <w:vMerge w:val="continue"/>
          </w:tcPr>
          <w:p>
            <w:pPr>
              <w:spacing w:after="0"/>
              <w:rPr>
                <w:sz w:val="12"/>
                <w:szCs w:val="12"/>
                <w:color w:val="auto"/>
              </w:rPr>
            </w:pPr>
          </w:p>
        </w:tc>
        <w:tc>
          <w:tcPr>
            <w:tcW w:w="320" w:type="dxa"/>
            <w:vAlign w:val="bottom"/>
          </w:tcPr>
          <w:p>
            <w:pPr>
              <w:spacing w:after="0"/>
              <w:rPr>
                <w:sz w:val="12"/>
                <w:szCs w:val="12"/>
                <w:color w:val="auto"/>
              </w:rPr>
            </w:pPr>
          </w:p>
        </w:tc>
        <w:tc>
          <w:tcPr>
            <w:tcW w:w="1600" w:type="dxa"/>
            <w:vAlign w:val="bottom"/>
            <w:gridSpan w:val="3"/>
          </w:tcPr>
          <w:p>
            <w:pPr>
              <w:jc w:val="center"/>
              <w:ind w:right="120"/>
              <w:spacing w:after="0" w:line="149" w:lineRule="exact"/>
              <w:rPr>
                <w:sz w:val="20"/>
                <w:szCs w:val="20"/>
                <w:color w:val="auto"/>
              </w:rPr>
            </w:pPr>
            <w:r>
              <w:rPr>
                <w:rFonts w:ascii="Arial" w:cs="Arial" w:eastAsia="Arial" w:hAnsi="Arial"/>
                <w:sz w:val="14"/>
                <w:szCs w:val="14"/>
                <w:b w:val="1"/>
                <w:bCs w:val="1"/>
                <w:color w:val="auto"/>
                <w:w w:val="97"/>
              </w:rPr>
              <w:t>Maximum Number (or</w:t>
            </w:r>
          </w:p>
        </w:tc>
        <w:tc>
          <w:tcPr>
            <w:tcW w:w="0" w:type="dxa"/>
            <w:vAlign w:val="bottom"/>
          </w:tcPr>
          <w:p>
            <w:pPr>
              <w:spacing w:after="0"/>
              <w:rPr>
                <w:sz w:val="1"/>
                <w:szCs w:val="1"/>
                <w:color w:val="auto"/>
              </w:rPr>
            </w:pPr>
          </w:p>
        </w:tc>
      </w:tr>
      <w:tr>
        <w:trPr>
          <w:trHeight w:val="149"/>
        </w:trPr>
        <w:tc>
          <w:tcPr>
            <w:tcW w:w="43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020" w:type="dxa"/>
            <w:vAlign w:val="bottom"/>
            <w:vMerge w:val="restart"/>
          </w:tcPr>
          <w:p>
            <w:pPr>
              <w:jc w:val="center"/>
              <w:spacing w:after="0"/>
              <w:rPr>
                <w:sz w:val="20"/>
                <w:szCs w:val="20"/>
                <w:color w:val="auto"/>
              </w:rPr>
            </w:pPr>
            <w:r>
              <w:rPr>
                <w:rFonts w:ascii="Arial" w:cs="Arial" w:eastAsia="Arial" w:hAnsi="Arial"/>
                <w:sz w:val="14"/>
                <w:szCs w:val="14"/>
                <w:b w:val="1"/>
                <w:bCs w:val="1"/>
                <w:color w:val="auto"/>
                <w:w w:val="93"/>
              </w:rPr>
              <w:t>(a)</w:t>
            </w:r>
          </w:p>
        </w:tc>
        <w:tc>
          <w:tcPr>
            <w:tcW w:w="3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60" w:type="dxa"/>
            <w:vAlign w:val="bottom"/>
            <w:gridSpan w:val="2"/>
            <w:vMerge w:val="restart"/>
          </w:tcPr>
          <w:p>
            <w:pPr>
              <w:jc w:val="center"/>
              <w:ind w:right="440"/>
              <w:spacing w:after="0"/>
              <w:rPr>
                <w:sz w:val="20"/>
                <w:szCs w:val="20"/>
                <w:color w:val="auto"/>
              </w:rPr>
            </w:pPr>
            <w:r>
              <w:rPr>
                <w:rFonts w:ascii="Arial" w:cs="Arial" w:eastAsia="Arial" w:hAnsi="Arial"/>
                <w:sz w:val="14"/>
                <w:szCs w:val="14"/>
                <w:b w:val="1"/>
                <w:bCs w:val="1"/>
                <w:color w:val="auto"/>
              </w:rPr>
              <w:t>(b)</w:t>
            </w:r>
          </w:p>
        </w:tc>
        <w:tc>
          <w:tcPr>
            <w:tcW w:w="118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94"/>
              </w:rPr>
              <w:t>Total Number of</w:t>
            </w:r>
          </w:p>
        </w:tc>
        <w:tc>
          <w:tcPr>
            <w:tcW w:w="3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500" w:type="dxa"/>
            <w:vAlign w:val="bottom"/>
            <w:gridSpan w:val="2"/>
          </w:tcPr>
          <w:p>
            <w:pPr>
              <w:jc w:val="center"/>
              <w:ind w:right="220"/>
              <w:spacing w:after="0" w:line="149" w:lineRule="exact"/>
              <w:rPr>
                <w:sz w:val="20"/>
                <w:szCs w:val="20"/>
                <w:color w:val="auto"/>
              </w:rPr>
            </w:pPr>
            <w:r>
              <w:rPr>
                <w:rFonts w:ascii="Arial" w:cs="Arial" w:eastAsia="Arial" w:hAnsi="Arial"/>
                <w:sz w:val="14"/>
                <w:szCs w:val="14"/>
                <w:b w:val="1"/>
                <w:bCs w:val="1"/>
                <w:color w:val="auto"/>
                <w:w w:val="95"/>
              </w:rPr>
              <w:t>Approximate Dollar</w:t>
            </w:r>
          </w:p>
        </w:tc>
        <w:tc>
          <w:tcPr>
            <w:tcW w:w="0" w:type="dxa"/>
            <w:vAlign w:val="bottom"/>
          </w:tcPr>
          <w:p>
            <w:pPr>
              <w:spacing w:after="0"/>
              <w:rPr>
                <w:sz w:val="1"/>
                <w:szCs w:val="1"/>
                <w:color w:val="auto"/>
              </w:rPr>
            </w:pPr>
          </w:p>
        </w:tc>
      </w:tr>
      <w:tr>
        <w:trPr>
          <w:trHeight w:val="148"/>
        </w:trPr>
        <w:tc>
          <w:tcPr>
            <w:tcW w:w="43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020" w:type="dxa"/>
            <w:vAlign w:val="bottom"/>
            <w:vMerge w:val="continue"/>
          </w:tcPr>
          <w:p>
            <w:pPr>
              <w:spacing w:after="0"/>
              <w:rPr>
                <w:sz w:val="12"/>
                <w:szCs w:val="12"/>
                <w:color w:val="auto"/>
              </w:rPr>
            </w:pPr>
          </w:p>
        </w:tc>
        <w:tc>
          <w:tcPr>
            <w:tcW w:w="3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60" w:type="dxa"/>
            <w:vAlign w:val="bottom"/>
            <w:gridSpan w:val="2"/>
            <w:vMerge w:val="continue"/>
          </w:tcPr>
          <w:p>
            <w:pPr>
              <w:spacing w:after="0"/>
              <w:rPr>
                <w:sz w:val="12"/>
                <w:szCs w:val="12"/>
                <w:color w:val="auto"/>
              </w:rPr>
            </w:pPr>
          </w:p>
        </w:tc>
        <w:tc>
          <w:tcPr>
            <w:tcW w:w="118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90"/>
              </w:rPr>
              <w:t>Shares Purchased</w:t>
            </w:r>
          </w:p>
        </w:tc>
        <w:tc>
          <w:tcPr>
            <w:tcW w:w="3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500" w:type="dxa"/>
            <w:vAlign w:val="bottom"/>
            <w:gridSpan w:val="2"/>
          </w:tcPr>
          <w:p>
            <w:pPr>
              <w:jc w:val="center"/>
              <w:ind w:right="220"/>
              <w:spacing w:after="0" w:line="149" w:lineRule="exact"/>
              <w:rPr>
                <w:sz w:val="20"/>
                <w:szCs w:val="20"/>
                <w:color w:val="auto"/>
              </w:rPr>
            </w:pPr>
            <w:r>
              <w:rPr>
                <w:rFonts w:ascii="Arial" w:cs="Arial" w:eastAsia="Arial" w:hAnsi="Arial"/>
                <w:sz w:val="14"/>
                <w:szCs w:val="14"/>
                <w:b w:val="1"/>
                <w:bCs w:val="1"/>
                <w:color w:val="auto"/>
                <w:w w:val="91"/>
              </w:rPr>
              <w:t>Value) of Shares that</w:t>
            </w:r>
          </w:p>
        </w:tc>
        <w:tc>
          <w:tcPr>
            <w:tcW w:w="0" w:type="dxa"/>
            <w:vAlign w:val="bottom"/>
          </w:tcPr>
          <w:p>
            <w:pPr>
              <w:spacing w:after="0"/>
              <w:rPr>
                <w:sz w:val="1"/>
                <w:szCs w:val="1"/>
                <w:color w:val="auto"/>
              </w:rPr>
            </w:pPr>
          </w:p>
        </w:tc>
      </w:tr>
      <w:tr>
        <w:trPr>
          <w:trHeight w:val="148"/>
        </w:trPr>
        <w:tc>
          <w:tcPr>
            <w:tcW w:w="4360" w:type="dxa"/>
            <w:vAlign w:val="bottom"/>
          </w:tcPr>
          <w:p>
            <w:pPr>
              <w:spacing w:after="0"/>
              <w:rPr>
                <w:sz w:val="12"/>
                <w:szCs w:val="12"/>
                <w:color w:val="auto"/>
              </w:rPr>
            </w:pPr>
          </w:p>
        </w:tc>
        <w:tc>
          <w:tcPr>
            <w:tcW w:w="1160" w:type="dxa"/>
            <w:vAlign w:val="bottom"/>
            <w:gridSpan w:val="2"/>
          </w:tcPr>
          <w:p>
            <w:pPr>
              <w:jc w:val="center"/>
              <w:ind w:left="42"/>
              <w:spacing w:after="0" w:line="149" w:lineRule="exact"/>
              <w:rPr>
                <w:sz w:val="20"/>
                <w:szCs w:val="20"/>
                <w:color w:val="auto"/>
              </w:rPr>
            </w:pPr>
            <w:r>
              <w:rPr>
                <w:rFonts w:ascii="Arial" w:cs="Arial" w:eastAsia="Arial" w:hAnsi="Arial"/>
                <w:sz w:val="14"/>
                <w:szCs w:val="14"/>
                <w:b w:val="1"/>
                <w:bCs w:val="1"/>
                <w:color w:val="auto"/>
                <w:w w:val="93"/>
              </w:rPr>
              <w:t>Total Number of</w:t>
            </w:r>
          </w:p>
        </w:tc>
        <w:tc>
          <w:tcPr>
            <w:tcW w:w="300" w:type="dxa"/>
            <w:vAlign w:val="bottom"/>
          </w:tcPr>
          <w:p>
            <w:pPr>
              <w:spacing w:after="0"/>
              <w:rPr>
                <w:sz w:val="12"/>
                <w:szCs w:val="12"/>
                <w:color w:val="auto"/>
              </w:rPr>
            </w:pPr>
          </w:p>
        </w:tc>
        <w:tc>
          <w:tcPr>
            <w:tcW w:w="1180" w:type="dxa"/>
            <w:vAlign w:val="bottom"/>
            <w:gridSpan w:val="3"/>
          </w:tcPr>
          <w:p>
            <w:pPr>
              <w:spacing w:after="0" w:line="149" w:lineRule="exact"/>
              <w:rPr>
                <w:sz w:val="20"/>
                <w:szCs w:val="20"/>
                <w:color w:val="auto"/>
              </w:rPr>
            </w:pPr>
            <w:r>
              <w:rPr>
                <w:rFonts w:ascii="Arial" w:cs="Arial" w:eastAsia="Arial" w:hAnsi="Arial"/>
                <w:sz w:val="14"/>
                <w:szCs w:val="14"/>
                <w:b w:val="1"/>
                <w:bCs w:val="1"/>
                <w:color w:val="auto"/>
              </w:rPr>
              <w:t>Average Price</w:t>
            </w:r>
          </w:p>
        </w:tc>
        <w:tc>
          <w:tcPr>
            <w:tcW w:w="118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93"/>
              </w:rPr>
              <w:t>as Part of Publicly</w:t>
            </w:r>
          </w:p>
        </w:tc>
        <w:tc>
          <w:tcPr>
            <w:tcW w:w="320" w:type="dxa"/>
            <w:vAlign w:val="bottom"/>
          </w:tcPr>
          <w:p>
            <w:pPr>
              <w:spacing w:after="0"/>
              <w:rPr>
                <w:sz w:val="12"/>
                <w:szCs w:val="12"/>
                <w:color w:val="auto"/>
              </w:rPr>
            </w:pPr>
          </w:p>
        </w:tc>
        <w:tc>
          <w:tcPr>
            <w:tcW w:w="1600" w:type="dxa"/>
            <w:vAlign w:val="bottom"/>
            <w:gridSpan w:val="3"/>
          </w:tcPr>
          <w:p>
            <w:pPr>
              <w:jc w:val="center"/>
              <w:ind w:right="120"/>
              <w:spacing w:after="0" w:line="149" w:lineRule="exact"/>
              <w:rPr>
                <w:sz w:val="20"/>
                <w:szCs w:val="20"/>
                <w:color w:val="auto"/>
              </w:rPr>
            </w:pPr>
            <w:r>
              <w:rPr>
                <w:rFonts w:ascii="Arial" w:cs="Arial" w:eastAsia="Arial" w:hAnsi="Arial"/>
                <w:sz w:val="14"/>
                <w:szCs w:val="14"/>
                <w:b w:val="1"/>
                <w:bCs w:val="1"/>
                <w:color w:val="auto"/>
                <w:w w:val="91"/>
              </w:rPr>
              <w:t>May Yet be Purchased</w:t>
            </w:r>
          </w:p>
        </w:tc>
        <w:tc>
          <w:tcPr>
            <w:tcW w:w="0" w:type="dxa"/>
            <w:vAlign w:val="bottom"/>
          </w:tcPr>
          <w:p>
            <w:pPr>
              <w:spacing w:after="0"/>
              <w:rPr>
                <w:sz w:val="1"/>
                <w:szCs w:val="1"/>
                <w:color w:val="auto"/>
              </w:rPr>
            </w:pPr>
          </w:p>
        </w:tc>
      </w:tr>
      <w:tr>
        <w:trPr>
          <w:trHeight w:val="149"/>
        </w:trPr>
        <w:tc>
          <w:tcPr>
            <w:tcW w:w="4360" w:type="dxa"/>
            <w:vAlign w:val="bottom"/>
            <w:vMerge w:val="restart"/>
          </w:tcPr>
          <w:p>
            <w:pPr>
              <w:spacing w:after="0"/>
              <w:rPr>
                <w:sz w:val="20"/>
                <w:szCs w:val="20"/>
                <w:color w:val="auto"/>
              </w:rPr>
            </w:pPr>
            <w:r>
              <w:rPr>
                <w:rFonts w:ascii="Arial" w:cs="Arial" w:eastAsia="Arial" w:hAnsi="Arial"/>
                <w:sz w:val="14"/>
                <w:szCs w:val="14"/>
                <w:b w:val="1"/>
                <w:bCs w:val="1"/>
                <w:color w:val="auto"/>
              </w:rPr>
              <w:t>Period (1)</w:t>
            </w:r>
          </w:p>
        </w:tc>
        <w:tc>
          <w:tcPr>
            <w:tcW w:w="140" w:type="dxa"/>
            <w:vAlign w:val="bottom"/>
          </w:tcPr>
          <w:p>
            <w:pPr>
              <w:spacing w:after="0"/>
              <w:rPr>
                <w:sz w:val="12"/>
                <w:szCs w:val="12"/>
                <w:color w:val="auto"/>
              </w:rPr>
            </w:pPr>
          </w:p>
        </w:tc>
        <w:tc>
          <w:tcPr>
            <w:tcW w:w="102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85"/>
              </w:rPr>
              <w:t>Shares</w:t>
            </w:r>
          </w:p>
        </w:tc>
        <w:tc>
          <w:tcPr>
            <w:tcW w:w="3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60" w:type="dxa"/>
            <w:vAlign w:val="bottom"/>
            <w:gridSpan w:val="2"/>
          </w:tcPr>
          <w:p>
            <w:pPr>
              <w:jc w:val="center"/>
              <w:ind w:right="420"/>
              <w:spacing w:after="0" w:line="149" w:lineRule="exact"/>
              <w:rPr>
                <w:sz w:val="20"/>
                <w:szCs w:val="20"/>
                <w:color w:val="auto"/>
              </w:rPr>
            </w:pPr>
            <w:r>
              <w:rPr>
                <w:rFonts w:ascii="Arial" w:cs="Arial" w:eastAsia="Arial" w:hAnsi="Arial"/>
                <w:sz w:val="14"/>
                <w:szCs w:val="14"/>
                <w:b w:val="1"/>
                <w:bCs w:val="1"/>
                <w:color w:val="auto"/>
                <w:w w:val="94"/>
              </w:rPr>
              <w:t>Paid per</w:t>
            </w:r>
          </w:p>
        </w:tc>
        <w:tc>
          <w:tcPr>
            <w:tcW w:w="118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89"/>
              </w:rPr>
              <w:t>Announced Plans</w:t>
            </w:r>
          </w:p>
        </w:tc>
        <w:tc>
          <w:tcPr>
            <w:tcW w:w="3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500" w:type="dxa"/>
            <w:vAlign w:val="bottom"/>
            <w:gridSpan w:val="2"/>
          </w:tcPr>
          <w:p>
            <w:pPr>
              <w:jc w:val="center"/>
              <w:ind w:right="220"/>
              <w:spacing w:after="0" w:line="149" w:lineRule="exact"/>
              <w:rPr>
                <w:sz w:val="20"/>
                <w:szCs w:val="20"/>
                <w:color w:val="auto"/>
              </w:rPr>
            </w:pPr>
            <w:r>
              <w:rPr>
                <w:rFonts w:ascii="Arial" w:cs="Arial" w:eastAsia="Arial" w:hAnsi="Arial"/>
                <w:sz w:val="14"/>
                <w:szCs w:val="14"/>
                <w:b w:val="1"/>
                <w:bCs w:val="1"/>
                <w:color w:val="auto"/>
                <w:w w:val="92"/>
              </w:rPr>
              <w:t>Under Plans or</w:t>
            </w:r>
          </w:p>
        </w:tc>
        <w:tc>
          <w:tcPr>
            <w:tcW w:w="0" w:type="dxa"/>
            <w:vAlign w:val="bottom"/>
          </w:tcPr>
          <w:p>
            <w:pPr>
              <w:spacing w:after="0"/>
              <w:rPr>
                <w:sz w:val="1"/>
                <w:szCs w:val="1"/>
                <w:color w:val="auto"/>
              </w:rPr>
            </w:pPr>
          </w:p>
        </w:tc>
      </w:tr>
      <w:tr>
        <w:trPr>
          <w:trHeight w:val="171"/>
        </w:trPr>
        <w:tc>
          <w:tcPr>
            <w:tcW w:w="4360" w:type="dxa"/>
            <w:vAlign w:val="bottom"/>
            <w:tcBorders>
              <w:bottom w:val="single" w:sz="8" w:color="auto"/>
            </w:tcBorders>
            <w:vMerge w:val="continue"/>
          </w:tcPr>
          <w:p>
            <w:pPr>
              <w:spacing w:after="0"/>
              <w:rPr>
                <w:sz w:val="14"/>
                <w:szCs w:val="14"/>
                <w:color w:val="auto"/>
              </w:rPr>
            </w:pPr>
          </w:p>
        </w:tc>
        <w:tc>
          <w:tcPr>
            <w:tcW w:w="140" w:type="dxa"/>
            <w:vAlign w:val="bottom"/>
            <w:tcBorders>
              <w:bottom w:val="single" w:sz="8" w:color="CFF0FC"/>
            </w:tcBorders>
          </w:tcPr>
          <w:p>
            <w:pPr>
              <w:spacing w:after="0"/>
              <w:rPr>
                <w:sz w:val="14"/>
                <w:szCs w:val="14"/>
                <w:color w:val="auto"/>
              </w:rPr>
            </w:pPr>
          </w:p>
        </w:tc>
        <w:tc>
          <w:tcPr>
            <w:tcW w:w="102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0"/>
              </w:rPr>
              <w:t>Purchased (2)</w:t>
            </w:r>
          </w:p>
        </w:tc>
        <w:tc>
          <w:tcPr>
            <w:tcW w:w="300" w:type="dxa"/>
            <w:vAlign w:val="bottom"/>
            <w:tcBorders>
              <w:bottom w:val="single" w:sz="8" w:color="CFF0FC"/>
            </w:tcBorders>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760" w:type="dxa"/>
            <w:vAlign w:val="bottom"/>
            <w:tcBorders>
              <w:bottom w:val="single" w:sz="8" w:color="auto"/>
            </w:tcBorders>
          </w:tcPr>
          <w:p>
            <w:pPr>
              <w:jc w:val="center"/>
              <w:ind w:right="44"/>
              <w:spacing w:after="0"/>
              <w:rPr>
                <w:sz w:val="20"/>
                <w:szCs w:val="20"/>
                <w:color w:val="auto"/>
              </w:rPr>
            </w:pPr>
            <w:r>
              <w:rPr>
                <w:rFonts w:ascii="Arial" w:cs="Arial" w:eastAsia="Arial" w:hAnsi="Arial"/>
                <w:sz w:val="14"/>
                <w:szCs w:val="14"/>
                <w:b w:val="1"/>
                <w:bCs w:val="1"/>
                <w:color w:val="auto"/>
                <w:w w:val="92"/>
              </w:rPr>
              <w:t>Share</w:t>
            </w:r>
          </w:p>
        </w:tc>
        <w:tc>
          <w:tcPr>
            <w:tcW w:w="300" w:type="dxa"/>
            <w:vAlign w:val="bottom"/>
            <w:tcBorders>
              <w:bottom w:val="single" w:sz="8" w:color="CFF0FC"/>
            </w:tcBorders>
          </w:tcPr>
          <w:p>
            <w:pPr>
              <w:spacing w:after="0"/>
              <w:rPr>
                <w:sz w:val="14"/>
                <w:szCs w:val="14"/>
                <w:color w:val="auto"/>
              </w:rPr>
            </w:pPr>
          </w:p>
        </w:tc>
        <w:tc>
          <w:tcPr>
            <w:tcW w:w="118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3"/>
              </w:rPr>
              <w:t>or Programs (3)</w:t>
            </w:r>
          </w:p>
        </w:tc>
        <w:tc>
          <w:tcPr>
            <w:tcW w:w="320" w:type="dxa"/>
            <w:vAlign w:val="bottom"/>
            <w:tcBorders>
              <w:bottom w:val="single" w:sz="8" w:color="CFF0FC"/>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1400" w:type="dxa"/>
            <w:vAlign w:val="bottom"/>
            <w:tcBorders>
              <w:bottom w:val="single" w:sz="8" w:color="auto"/>
            </w:tcBorders>
          </w:tcPr>
          <w:p>
            <w:pPr>
              <w:jc w:val="center"/>
              <w:ind w:right="45"/>
              <w:spacing w:after="0"/>
              <w:rPr>
                <w:sz w:val="20"/>
                <w:szCs w:val="20"/>
                <w:color w:val="auto"/>
              </w:rPr>
            </w:pPr>
            <w:r>
              <w:rPr>
                <w:rFonts w:ascii="Arial" w:cs="Arial" w:eastAsia="Arial" w:hAnsi="Arial"/>
                <w:sz w:val="14"/>
                <w:szCs w:val="14"/>
                <w:b w:val="1"/>
                <w:bCs w:val="1"/>
                <w:color w:val="auto"/>
                <w:w w:val="92"/>
              </w:rPr>
              <w:t>Programs (3)</w:t>
            </w:r>
          </w:p>
        </w:tc>
        <w:tc>
          <w:tcPr>
            <w:tcW w:w="100" w:type="dxa"/>
            <w:vAlign w:val="bottom"/>
            <w:tcBorders>
              <w:bottom w:val="single" w:sz="8" w:color="CFF0FC"/>
            </w:tcBorders>
          </w:tcPr>
          <w:p>
            <w:pPr>
              <w:spacing w:after="0"/>
              <w:rPr>
                <w:sz w:val="14"/>
                <w:szCs w:val="14"/>
                <w:color w:val="auto"/>
              </w:rPr>
            </w:pPr>
          </w:p>
        </w:tc>
        <w:tc>
          <w:tcPr>
            <w:tcW w:w="0" w:type="dxa"/>
            <w:vAlign w:val="bottom"/>
          </w:tcPr>
          <w:p>
            <w:pPr>
              <w:spacing w:after="0"/>
              <w:rPr>
                <w:sz w:val="1"/>
                <w:szCs w:val="1"/>
                <w:color w:val="auto"/>
              </w:rPr>
            </w:pPr>
          </w:p>
        </w:tc>
      </w:tr>
      <w:tr>
        <w:trPr>
          <w:trHeight w:val="223"/>
        </w:trPr>
        <w:tc>
          <w:tcPr>
            <w:tcW w:w="4360" w:type="dxa"/>
            <w:vAlign w:val="bottom"/>
            <w:shd w:val="clear" w:color="auto" w:fill="CFF0FC"/>
          </w:tcPr>
          <w:p>
            <w:pPr>
              <w:spacing w:after="0"/>
              <w:rPr>
                <w:sz w:val="20"/>
                <w:szCs w:val="20"/>
                <w:color w:val="auto"/>
              </w:rPr>
            </w:pPr>
            <w:r>
              <w:rPr>
                <w:rFonts w:ascii="Arial" w:cs="Arial" w:eastAsia="Arial" w:hAnsi="Arial"/>
                <w:sz w:val="18"/>
                <w:szCs w:val="18"/>
                <w:color w:val="auto"/>
              </w:rPr>
              <w:t>January 1, 2021 – January 31, 2021</w:t>
            </w:r>
          </w:p>
        </w:tc>
        <w:tc>
          <w:tcPr>
            <w:tcW w:w="140" w:type="dxa"/>
            <w:vAlign w:val="bottom"/>
            <w:shd w:val="clear" w:color="auto" w:fill="CFF0FC"/>
          </w:tcPr>
          <w:p>
            <w:pPr>
              <w:spacing w:after="0"/>
              <w:rPr>
                <w:sz w:val="19"/>
                <w:szCs w:val="19"/>
                <w:color w:val="auto"/>
              </w:rPr>
            </w:pPr>
          </w:p>
        </w:tc>
        <w:tc>
          <w:tcPr>
            <w:tcW w:w="1020" w:type="dxa"/>
            <w:vAlign w:val="bottom"/>
            <w:shd w:val="clear" w:color="auto" w:fill="CFF0FC"/>
          </w:tcPr>
          <w:p>
            <w:pPr>
              <w:jc w:val="right"/>
              <w:spacing w:after="0"/>
              <w:rPr>
                <w:sz w:val="20"/>
                <w:szCs w:val="20"/>
                <w:color w:val="auto"/>
              </w:rPr>
            </w:pPr>
            <w:r>
              <w:rPr>
                <w:rFonts w:ascii="Arial" w:cs="Arial" w:eastAsia="Arial" w:hAnsi="Arial"/>
                <w:sz w:val="16"/>
                <w:szCs w:val="16"/>
                <w:color w:val="auto"/>
              </w:rPr>
              <w:t>—</w:t>
            </w:r>
          </w:p>
        </w:tc>
        <w:tc>
          <w:tcPr>
            <w:tcW w:w="420" w:type="dxa"/>
            <w:vAlign w:val="bottom"/>
            <w:gridSpan w:val="2"/>
            <w:shd w:val="clear" w:color="auto" w:fill="CFF0FC"/>
          </w:tcPr>
          <w:p>
            <w:pPr>
              <w:ind w:left="300"/>
              <w:spacing w:after="0"/>
              <w:rPr>
                <w:sz w:val="20"/>
                <w:szCs w:val="20"/>
                <w:color w:val="auto"/>
              </w:rPr>
            </w:pPr>
            <w:r>
              <w:rPr>
                <w:rFonts w:ascii="Arial" w:cs="Arial" w:eastAsia="Arial" w:hAnsi="Arial"/>
                <w:sz w:val="16"/>
                <w:szCs w:val="16"/>
                <w:color w:val="auto"/>
              </w:rPr>
              <w:t>$</w:t>
            </w:r>
          </w:p>
        </w:tc>
        <w:tc>
          <w:tcPr>
            <w:tcW w:w="1060" w:type="dxa"/>
            <w:vAlign w:val="bottom"/>
            <w:gridSpan w:val="2"/>
            <w:shd w:val="clear" w:color="auto" w:fill="CFF0FC"/>
          </w:tcPr>
          <w:p>
            <w:pPr>
              <w:jc w:val="right"/>
              <w:ind w:right="320"/>
              <w:spacing w:after="0"/>
              <w:rPr>
                <w:sz w:val="20"/>
                <w:szCs w:val="20"/>
                <w:color w:val="auto"/>
              </w:rPr>
            </w:pPr>
            <w:r>
              <w:rPr>
                <w:rFonts w:ascii="Arial" w:cs="Arial" w:eastAsia="Arial" w:hAnsi="Arial"/>
                <w:sz w:val="16"/>
                <w:szCs w:val="16"/>
                <w:color w:val="auto"/>
              </w:rPr>
              <w:t>—</w:t>
            </w:r>
          </w:p>
        </w:tc>
        <w:tc>
          <w:tcPr>
            <w:tcW w:w="1180" w:type="dxa"/>
            <w:vAlign w:val="bottom"/>
            <w:shd w:val="clear" w:color="auto" w:fill="CFF0FC"/>
          </w:tcPr>
          <w:p>
            <w:pPr>
              <w:jc w:val="right"/>
              <w:spacing w:after="0"/>
              <w:rPr>
                <w:sz w:val="20"/>
                <w:szCs w:val="20"/>
                <w:color w:val="auto"/>
              </w:rPr>
            </w:pPr>
            <w:r>
              <w:rPr>
                <w:rFonts w:ascii="Arial" w:cs="Arial" w:eastAsia="Arial" w:hAnsi="Arial"/>
                <w:sz w:val="16"/>
                <w:szCs w:val="16"/>
                <w:color w:val="auto"/>
              </w:rPr>
              <w:t>—</w:t>
            </w:r>
          </w:p>
        </w:tc>
        <w:tc>
          <w:tcPr>
            <w:tcW w:w="420" w:type="dxa"/>
            <w:vAlign w:val="bottom"/>
            <w:gridSpan w:val="2"/>
            <w:shd w:val="clear" w:color="auto" w:fill="CFF0FC"/>
          </w:tcPr>
          <w:p>
            <w:pPr>
              <w:jc w:val="right"/>
              <w:spacing w:after="0"/>
              <w:rPr>
                <w:sz w:val="20"/>
                <w:szCs w:val="20"/>
                <w:color w:val="auto"/>
              </w:rPr>
            </w:pPr>
            <w:r>
              <w:rPr>
                <w:rFonts w:ascii="Arial" w:cs="Arial" w:eastAsia="Arial" w:hAnsi="Arial"/>
                <w:sz w:val="16"/>
                <w:szCs w:val="16"/>
                <w:color w:val="auto"/>
              </w:rPr>
              <w:t>$</w:t>
            </w:r>
          </w:p>
        </w:tc>
        <w:tc>
          <w:tcPr>
            <w:tcW w:w="1400" w:type="dxa"/>
            <w:vAlign w:val="bottom"/>
            <w:shd w:val="clear" w:color="auto" w:fill="CFF0FC"/>
          </w:tcPr>
          <w:p>
            <w:pPr>
              <w:jc w:val="right"/>
              <w:spacing w:after="0"/>
              <w:rPr>
                <w:sz w:val="20"/>
                <w:szCs w:val="20"/>
                <w:color w:val="auto"/>
              </w:rPr>
            </w:pPr>
            <w:r>
              <w:rPr>
                <w:rFonts w:ascii="Arial" w:cs="Arial" w:eastAsia="Arial" w:hAnsi="Arial"/>
                <w:sz w:val="16"/>
                <w:szCs w:val="16"/>
                <w:color w:val="auto"/>
              </w:rPr>
              <w:t>462.0</w:t>
            </w: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4360" w:type="dxa"/>
            <w:vAlign w:val="bottom"/>
          </w:tcPr>
          <w:p>
            <w:pPr>
              <w:spacing w:after="0"/>
              <w:rPr>
                <w:sz w:val="20"/>
                <w:szCs w:val="20"/>
                <w:color w:val="auto"/>
              </w:rPr>
            </w:pPr>
            <w:r>
              <w:rPr>
                <w:rFonts w:ascii="Arial" w:cs="Arial" w:eastAsia="Arial" w:hAnsi="Arial"/>
                <w:sz w:val="18"/>
                <w:szCs w:val="18"/>
                <w:color w:val="auto"/>
              </w:rPr>
              <w:t>February 1, 2021 – February 28, 2021</w:t>
            </w:r>
          </w:p>
        </w:tc>
        <w:tc>
          <w:tcPr>
            <w:tcW w:w="1160" w:type="dxa"/>
            <w:vAlign w:val="bottom"/>
            <w:gridSpan w:val="2"/>
          </w:tcPr>
          <w:p>
            <w:pPr>
              <w:jc w:val="right"/>
              <w:spacing w:after="0"/>
              <w:rPr>
                <w:sz w:val="20"/>
                <w:szCs w:val="20"/>
                <w:color w:val="auto"/>
              </w:rPr>
            </w:pPr>
            <w:r>
              <w:rPr>
                <w:rFonts w:ascii="Arial" w:cs="Arial" w:eastAsia="Arial" w:hAnsi="Arial"/>
                <w:sz w:val="16"/>
                <w:szCs w:val="16"/>
                <w:color w:val="auto"/>
              </w:rPr>
              <w:t>0.6</w:t>
            </w:r>
          </w:p>
        </w:tc>
        <w:tc>
          <w:tcPr>
            <w:tcW w:w="420" w:type="dxa"/>
            <w:vAlign w:val="bottom"/>
            <w:gridSpan w:val="2"/>
          </w:tcPr>
          <w:p>
            <w:pPr>
              <w:ind w:left="300"/>
              <w:spacing w:after="0"/>
              <w:rPr>
                <w:sz w:val="20"/>
                <w:szCs w:val="20"/>
                <w:color w:val="auto"/>
              </w:rPr>
            </w:pPr>
            <w:r>
              <w:rPr>
                <w:rFonts w:ascii="Arial" w:cs="Arial" w:eastAsia="Arial" w:hAnsi="Arial"/>
                <w:sz w:val="16"/>
                <w:szCs w:val="16"/>
                <w:color w:val="auto"/>
              </w:rPr>
              <w:t>$</w:t>
            </w:r>
          </w:p>
        </w:tc>
        <w:tc>
          <w:tcPr>
            <w:tcW w:w="760" w:type="dxa"/>
            <w:vAlign w:val="bottom"/>
          </w:tcPr>
          <w:p>
            <w:pPr>
              <w:jc w:val="right"/>
              <w:spacing w:after="0"/>
              <w:rPr>
                <w:sz w:val="20"/>
                <w:szCs w:val="20"/>
                <w:color w:val="auto"/>
              </w:rPr>
            </w:pPr>
            <w:r>
              <w:rPr>
                <w:rFonts w:ascii="Arial" w:cs="Arial" w:eastAsia="Arial" w:hAnsi="Arial"/>
                <w:sz w:val="16"/>
                <w:szCs w:val="16"/>
                <w:color w:val="auto"/>
              </w:rPr>
              <w:t>66.19</w:t>
            </w:r>
          </w:p>
        </w:tc>
        <w:tc>
          <w:tcPr>
            <w:tcW w:w="30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Arial" w:cs="Arial" w:eastAsia="Arial" w:hAnsi="Arial"/>
                <w:sz w:val="16"/>
                <w:szCs w:val="16"/>
                <w:color w:val="auto"/>
              </w:rPr>
              <w:t>0.6</w:t>
            </w:r>
          </w:p>
        </w:tc>
        <w:tc>
          <w:tcPr>
            <w:tcW w:w="420" w:type="dxa"/>
            <w:vAlign w:val="bottom"/>
            <w:gridSpan w:val="2"/>
          </w:tcPr>
          <w:p>
            <w:pPr>
              <w:jc w:val="right"/>
              <w:spacing w:after="0"/>
              <w:rPr>
                <w:sz w:val="20"/>
                <w:szCs w:val="20"/>
                <w:color w:val="auto"/>
              </w:rPr>
            </w:pPr>
            <w:r>
              <w:rPr>
                <w:rFonts w:ascii="Arial" w:cs="Arial" w:eastAsia="Arial" w:hAnsi="Arial"/>
                <w:sz w:val="16"/>
                <w:szCs w:val="16"/>
                <w:color w:val="auto"/>
              </w:rPr>
              <w:t>$</w:t>
            </w:r>
          </w:p>
        </w:tc>
        <w:tc>
          <w:tcPr>
            <w:tcW w:w="1400" w:type="dxa"/>
            <w:vAlign w:val="bottom"/>
          </w:tcPr>
          <w:p>
            <w:pPr>
              <w:jc w:val="right"/>
              <w:spacing w:after="0"/>
              <w:rPr>
                <w:sz w:val="20"/>
                <w:szCs w:val="20"/>
                <w:color w:val="auto"/>
              </w:rPr>
            </w:pPr>
            <w:r>
              <w:rPr>
                <w:rFonts w:ascii="Arial" w:cs="Arial" w:eastAsia="Arial" w:hAnsi="Arial"/>
                <w:sz w:val="16"/>
                <w:szCs w:val="16"/>
                <w:color w:val="auto"/>
              </w:rPr>
              <w:t>422.1</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4360" w:type="dxa"/>
            <w:vAlign w:val="bottom"/>
            <w:shd w:val="clear" w:color="auto" w:fill="CFF0FC"/>
          </w:tcPr>
          <w:p>
            <w:pPr>
              <w:spacing w:after="0"/>
              <w:rPr>
                <w:sz w:val="20"/>
                <w:szCs w:val="20"/>
                <w:color w:val="auto"/>
              </w:rPr>
            </w:pPr>
            <w:r>
              <w:rPr>
                <w:rFonts w:ascii="Arial" w:cs="Arial" w:eastAsia="Arial" w:hAnsi="Arial"/>
                <w:sz w:val="18"/>
                <w:szCs w:val="18"/>
                <w:color w:val="auto"/>
              </w:rPr>
              <w:t>March 1, 2021 – March 31, 2021</w:t>
            </w:r>
          </w:p>
        </w:tc>
        <w:tc>
          <w:tcPr>
            <w:tcW w:w="140" w:type="dxa"/>
            <w:vAlign w:val="bottom"/>
            <w:shd w:val="clear" w:color="auto" w:fill="CFF0FC"/>
          </w:tcPr>
          <w:p>
            <w:pPr>
              <w:spacing w:after="0"/>
              <w:rPr>
                <w:sz w:val="19"/>
                <w:szCs w:val="19"/>
                <w:color w:val="auto"/>
              </w:rPr>
            </w:pPr>
          </w:p>
        </w:tc>
        <w:tc>
          <w:tcPr>
            <w:tcW w:w="10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6"/>
                <w:szCs w:val="16"/>
                <w:color w:val="auto"/>
              </w:rPr>
              <w:t>2.1</w:t>
            </w:r>
          </w:p>
        </w:tc>
        <w:tc>
          <w:tcPr>
            <w:tcW w:w="420" w:type="dxa"/>
            <w:vAlign w:val="bottom"/>
            <w:gridSpan w:val="2"/>
            <w:shd w:val="clear" w:color="auto" w:fill="CFF0FC"/>
          </w:tcPr>
          <w:p>
            <w:pPr>
              <w:ind w:left="300"/>
              <w:spacing w:after="0"/>
              <w:rPr>
                <w:sz w:val="20"/>
                <w:szCs w:val="20"/>
                <w:color w:val="auto"/>
              </w:rPr>
            </w:pPr>
            <w:r>
              <w:rPr>
                <w:rFonts w:ascii="Arial" w:cs="Arial" w:eastAsia="Arial" w:hAnsi="Arial"/>
                <w:sz w:val="16"/>
                <w:szCs w:val="16"/>
                <w:color w:val="auto"/>
              </w:rPr>
              <w:t>$</w:t>
            </w:r>
          </w:p>
        </w:tc>
        <w:tc>
          <w:tcPr>
            <w:tcW w:w="760" w:type="dxa"/>
            <w:vAlign w:val="bottom"/>
            <w:shd w:val="clear" w:color="auto" w:fill="CFF0FC"/>
          </w:tcPr>
          <w:p>
            <w:pPr>
              <w:jc w:val="right"/>
              <w:spacing w:after="0"/>
              <w:rPr>
                <w:sz w:val="20"/>
                <w:szCs w:val="20"/>
                <w:color w:val="auto"/>
              </w:rPr>
            </w:pPr>
            <w:r>
              <w:rPr>
                <w:rFonts w:ascii="Arial" w:cs="Arial" w:eastAsia="Arial" w:hAnsi="Arial"/>
                <w:sz w:val="16"/>
                <w:szCs w:val="16"/>
                <w:color w:val="auto"/>
              </w:rPr>
              <w:t>67.43</w:t>
            </w:r>
          </w:p>
        </w:tc>
        <w:tc>
          <w:tcPr>
            <w:tcW w:w="300" w:type="dxa"/>
            <w:vAlign w:val="bottom"/>
            <w:shd w:val="clear" w:color="auto" w:fill="CFF0FC"/>
          </w:tcPr>
          <w:p>
            <w:pPr>
              <w:spacing w:after="0"/>
              <w:rPr>
                <w:sz w:val="19"/>
                <w:szCs w:val="19"/>
                <w:color w:val="auto"/>
              </w:rPr>
            </w:pPr>
          </w:p>
        </w:tc>
        <w:tc>
          <w:tcPr>
            <w:tcW w:w="11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6"/>
                <w:szCs w:val="16"/>
                <w:color w:val="auto"/>
              </w:rPr>
              <w:t>2.1</w:t>
            </w:r>
          </w:p>
        </w:tc>
        <w:tc>
          <w:tcPr>
            <w:tcW w:w="420" w:type="dxa"/>
            <w:vAlign w:val="bottom"/>
            <w:gridSpan w:val="2"/>
            <w:shd w:val="clear" w:color="auto" w:fill="CFF0FC"/>
          </w:tcPr>
          <w:p>
            <w:pPr>
              <w:jc w:val="right"/>
              <w:spacing w:after="0"/>
              <w:rPr>
                <w:sz w:val="20"/>
                <w:szCs w:val="20"/>
                <w:color w:val="auto"/>
              </w:rPr>
            </w:pPr>
            <w:r>
              <w:rPr>
                <w:rFonts w:ascii="Arial" w:cs="Arial" w:eastAsia="Arial" w:hAnsi="Arial"/>
                <w:sz w:val="16"/>
                <w:szCs w:val="16"/>
                <w:color w:val="auto"/>
              </w:rPr>
              <w:t>$</w:t>
            </w:r>
          </w:p>
        </w:tc>
        <w:tc>
          <w:tcPr>
            <w:tcW w:w="1400" w:type="dxa"/>
            <w:vAlign w:val="bottom"/>
            <w:shd w:val="clear" w:color="auto" w:fill="CFF0FC"/>
          </w:tcPr>
          <w:p>
            <w:pPr>
              <w:jc w:val="right"/>
              <w:spacing w:after="0"/>
              <w:rPr>
                <w:sz w:val="20"/>
                <w:szCs w:val="20"/>
                <w:color w:val="auto"/>
              </w:rPr>
            </w:pPr>
            <w:r>
              <w:rPr>
                <w:rFonts w:ascii="Arial" w:cs="Arial" w:eastAsia="Arial" w:hAnsi="Arial"/>
                <w:sz w:val="16"/>
                <w:szCs w:val="16"/>
                <w:color w:val="auto"/>
              </w:rPr>
              <w:t>280.5</w:t>
            </w: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4360" w:type="dxa"/>
            <w:vAlign w:val="bottom"/>
          </w:tcPr>
          <w:p>
            <w:pPr>
              <w:ind w:left="220"/>
              <w:spacing w:after="0"/>
              <w:rPr>
                <w:sz w:val="20"/>
                <w:szCs w:val="20"/>
                <w:color w:val="auto"/>
              </w:rPr>
            </w:pPr>
            <w:r>
              <w:rPr>
                <w:rFonts w:ascii="Arial" w:cs="Arial" w:eastAsia="Arial" w:hAnsi="Arial"/>
                <w:sz w:val="18"/>
                <w:szCs w:val="18"/>
                <w:color w:val="auto"/>
              </w:rPr>
              <w:t>Total</w:t>
            </w:r>
          </w:p>
        </w:tc>
        <w:tc>
          <w:tcPr>
            <w:tcW w:w="1160" w:type="dxa"/>
            <w:vAlign w:val="bottom"/>
            <w:gridSpan w:val="2"/>
          </w:tcPr>
          <w:p>
            <w:pPr>
              <w:jc w:val="right"/>
              <w:spacing w:after="0"/>
              <w:rPr>
                <w:sz w:val="20"/>
                <w:szCs w:val="20"/>
                <w:color w:val="auto"/>
              </w:rPr>
            </w:pPr>
            <w:r>
              <w:rPr>
                <w:rFonts w:ascii="Arial" w:cs="Arial" w:eastAsia="Arial" w:hAnsi="Arial"/>
                <w:sz w:val="16"/>
                <w:szCs w:val="16"/>
                <w:color w:val="auto"/>
              </w:rPr>
              <w:t>2.7</w:t>
            </w:r>
          </w:p>
        </w:tc>
        <w:tc>
          <w:tcPr>
            <w:tcW w:w="3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Arial" w:cs="Arial" w:eastAsia="Arial" w:hAnsi="Arial"/>
                <w:sz w:val="16"/>
                <w:szCs w:val="16"/>
                <w:color w:val="auto"/>
              </w:rPr>
              <w:t>2.7</w:t>
            </w:r>
          </w:p>
        </w:tc>
        <w:tc>
          <w:tcPr>
            <w:tcW w:w="3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4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4813935</wp:posOffset>
            </wp:positionH>
            <wp:positionV relativeFrom="paragraph">
              <wp:posOffset>0</wp:posOffset>
            </wp:positionV>
            <wp:extent cx="754380" cy="8890"/>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754380" cy="8890"/>
                    </a:xfrm>
                    <a:prstGeom prst="rect">
                      <a:avLst/>
                    </a:prstGeom>
                    <a:noFill/>
                  </pic:spPr>
                </pic:pic>
              </a:graphicData>
            </a:graphic>
          </wp:anchor>
        </w:drawing>
        <w:drawing>
          <wp:anchor simplePos="0" relativeHeight="251657728" behindDoc="1" locked="0" layoutInCell="0" allowOverlap="1">
            <wp:simplePos x="0" y="0"/>
            <wp:positionH relativeFrom="column">
              <wp:posOffset>4813935</wp:posOffset>
            </wp:positionH>
            <wp:positionV relativeFrom="paragraph">
              <wp:posOffset>17145</wp:posOffset>
            </wp:positionV>
            <wp:extent cx="754380" cy="8255"/>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754380" cy="8255"/>
                    </a:xfrm>
                    <a:prstGeom prst="rect">
                      <a:avLst/>
                    </a:prstGeom>
                    <a:noFill/>
                  </pic:spPr>
                </pic:pic>
              </a:graphicData>
            </a:graphic>
          </wp:anchor>
        </w:drawing>
        <w:drawing>
          <wp:anchor simplePos="0" relativeHeight="251657728" behindDoc="1" locked="0" layoutInCell="0" allowOverlap="1">
            <wp:simplePos x="0" y="0"/>
            <wp:positionH relativeFrom="column">
              <wp:posOffset>3219450</wp:posOffset>
            </wp:positionH>
            <wp:positionV relativeFrom="paragraph">
              <wp:posOffset>0</wp:posOffset>
            </wp:positionV>
            <wp:extent cx="651510" cy="8890"/>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651510" cy="8890"/>
                    </a:xfrm>
                    <a:prstGeom prst="rect">
                      <a:avLst/>
                    </a:prstGeom>
                    <a:noFill/>
                  </pic:spPr>
                </pic:pic>
              </a:graphicData>
            </a:graphic>
          </wp:anchor>
        </w:drawing>
        <w:drawing>
          <wp:anchor simplePos="0" relativeHeight="251657728" behindDoc="1" locked="0" layoutInCell="0" allowOverlap="1">
            <wp:simplePos x="0" y="0"/>
            <wp:positionH relativeFrom="column">
              <wp:posOffset>3219450</wp:posOffset>
            </wp:positionH>
            <wp:positionV relativeFrom="paragraph">
              <wp:posOffset>17145</wp:posOffset>
            </wp:positionV>
            <wp:extent cx="651510" cy="8255"/>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651510" cy="8255"/>
                    </a:xfrm>
                    <a:prstGeom prst="rect">
                      <a:avLst/>
                    </a:prstGeom>
                    <a:noFill/>
                  </pic:spPr>
                </pic:pic>
              </a:graphicData>
            </a:graphic>
          </wp:anchor>
        </w:drawing>
      </w:r>
    </w:p>
    <w:p>
      <w:pPr>
        <w:spacing w:after="0" w:line="11" w:lineRule="exact"/>
        <w:rPr>
          <w:sz w:val="20"/>
          <w:szCs w:val="20"/>
          <w:color w:val="auto"/>
        </w:rPr>
      </w:pPr>
    </w:p>
    <w:p>
      <w:pPr>
        <w:ind w:left="920" w:hanging="359"/>
        <w:spacing w:after="0"/>
        <w:tabs>
          <w:tab w:leader="none" w:pos="920" w:val="left"/>
        </w:tabs>
        <w:numPr>
          <w:ilvl w:val="0"/>
          <w:numId w:val="8"/>
        </w:numPr>
        <w:rPr>
          <w:rFonts w:ascii="Arial" w:cs="Arial" w:eastAsia="Arial" w:hAnsi="Arial"/>
          <w:sz w:val="16"/>
          <w:szCs w:val="16"/>
          <w:color w:val="auto"/>
        </w:rPr>
      </w:pPr>
      <w:r>
        <w:rPr>
          <w:rFonts w:ascii="Arial" w:cs="Arial" w:eastAsia="Arial" w:hAnsi="Arial"/>
          <w:sz w:val="16"/>
          <w:szCs w:val="16"/>
          <w:color w:val="auto"/>
        </w:rPr>
        <w:t>Information is based on trade dates of repurchase transactions.</w:t>
      </w:r>
    </w:p>
    <w:p>
      <w:pPr>
        <w:spacing w:after="0" w:line="32" w:lineRule="exact"/>
        <w:rPr>
          <w:rFonts w:ascii="Arial" w:cs="Arial" w:eastAsia="Arial" w:hAnsi="Arial"/>
          <w:sz w:val="16"/>
          <w:szCs w:val="16"/>
          <w:color w:val="auto"/>
        </w:rPr>
      </w:pPr>
    </w:p>
    <w:p>
      <w:pPr>
        <w:ind w:left="920" w:hanging="359"/>
        <w:spacing w:after="0"/>
        <w:tabs>
          <w:tab w:leader="none" w:pos="920" w:val="left"/>
        </w:tabs>
        <w:numPr>
          <w:ilvl w:val="0"/>
          <w:numId w:val="8"/>
        </w:numPr>
        <w:rPr>
          <w:rFonts w:ascii="Arial" w:cs="Arial" w:eastAsia="Arial" w:hAnsi="Arial"/>
          <w:sz w:val="16"/>
          <w:szCs w:val="16"/>
          <w:color w:val="auto"/>
        </w:rPr>
      </w:pPr>
      <w:r>
        <w:rPr>
          <w:rFonts w:ascii="Arial" w:cs="Arial" w:eastAsia="Arial" w:hAnsi="Arial"/>
          <w:sz w:val="16"/>
          <w:szCs w:val="16"/>
          <w:color w:val="auto"/>
        </w:rPr>
        <w:t>Represents shares repurchased in open market transactions pursuant to the Common Stock Repurchase Program</w:t>
      </w:r>
    </w:p>
    <w:p>
      <w:pPr>
        <w:spacing w:after="0" w:line="32" w:lineRule="exact"/>
        <w:rPr>
          <w:rFonts w:ascii="Arial" w:cs="Arial" w:eastAsia="Arial" w:hAnsi="Arial"/>
          <w:sz w:val="16"/>
          <w:szCs w:val="16"/>
          <w:color w:val="auto"/>
        </w:rPr>
      </w:pPr>
    </w:p>
    <w:p>
      <w:pPr>
        <w:ind w:left="920" w:right="160" w:hanging="359"/>
        <w:spacing w:after="0" w:line="369" w:lineRule="auto"/>
        <w:tabs>
          <w:tab w:leader="none" w:pos="920" w:val="left"/>
        </w:tabs>
        <w:numPr>
          <w:ilvl w:val="0"/>
          <w:numId w:val="8"/>
        </w:numPr>
        <w:rPr>
          <w:rFonts w:ascii="Arial" w:cs="Arial" w:eastAsia="Arial" w:hAnsi="Arial"/>
          <w:sz w:val="14"/>
          <w:szCs w:val="14"/>
          <w:color w:val="auto"/>
        </w:rPr>
      </w:pPr>
      <w:r>
        <w:rPr>
          <w:rFonts w:ascii="Arial" w:cs="Arial" w:eastAsia="Arial" w:hAnsi="Arial"/>
          <w:sz w:val="14"/>
          <w:szCs w:val="14"/>
          <w:color w:val="auto"/>
        </w:rPr>
        <w:t>Share repurchases were made pursuant to our Common Stock Repurchase Program authorized by our Board of Directors in July 2020. The program allows for the purchase of up to $750 million of outstanding common stock in one or more transactions on the open market or in privately negotiated purchases.</w:t>
      </w:r>
    </w:p>
    <w:p>
      <w:pPr>
        <w:spacing w:after="0" w:line="200" w:lineRule="exact"/>
        <w:rPr>
          <w:sz w:val="20"/>
          <w:szCs w:val="20"/>
          <w:color w:val="auto"/>
        </w:rPr>
      </w:pPr>
    </w:p>
    <w:p>
      <w:pPr>
        <w:spacing w:after="0" w:line="340"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180"/>
          </w:cols>
          <w:pgMar w:left="320" w:top="881" w:right="399" w:bottom="1440" w:gutter="0" w:footer="0" w:header="0"/>
        </w:sectPr>
      </w:pPr>
    </w:p>
    <w:bookmarkStart w:id="26" w:name="page27"/>
    <w:bookmarkEnd w:id="26"/>
    <w:p>
      <w:pPr>
        <w:spacing w:after="0"/>
        <w:tabs>
          <w:tab w:leader="none" w:pos="1000" w:val="left"/>
        </w:tabs>
        <w:rPr>
          <w:sz w:val="20"/>
          <w:szCs w:val="20"/>
          <w:color w:val="auto"/>
        </w:rPr>
      </w:pPr>
      <w:r>
        <w:rPr>
          <w:rFonts w:ascii="Arial" w:cs="Arial" w:eastAsia="Arial" w:hAnsi="Arial"/>
          <w:sz w:val="18"/>
          <w:szCs w:val="18"/>
          <w:b w:val="1"/>
          <w:bCs w:val="1"/>
          <w:color w:val="auto"/>
        </w:rPr>
        <w:t>Item 6.</w:t>
      </w:r>
      <w:r>
        <w:rPr>
          <w:sz w:val="20"/>
          <w:szCs w:val="20"/>
          <w:color w:val="auto"/>
        </w:rPr>
        <w:tab/>
      </w:r>
      <w:r>
        <w:rPr>
          <w:rFonts w:ascii="Arial" w:cs="Arial" w:eastAsia="Arial" w:hAnsi="Arial"/>
          <w:sz w:val="16"/>
          <w:szCs w:val="16"/>
          <w:b w:val="1"/>
          <w:bCs w:val="1"/>
          <w:color w:val="auto"/>
        </w:rPr>
        <w:t>Exhibits</w:t>
      </w:r>
    </w:p>
    <w:p>
      <w:pPr>
        <w:spacing w:after="0" w:line="121" w:lineRule="exact"/>
        <w:rPr>
          <w:sz w:val="20"/>
          <w:szCs w:val="20"/>
          <w:color w:val="auto"/>
        </w:rPr>
      </w:pPr>
    </w:p>
    <w:p>
      <w:pPr>
        <w:ind w:left="520"/>
        <w:spacing w:after="0"/>
        <w:rPr>
          <w:sz w:val="20"/>
          <w:szCs w:val="20"/>
          <w:color w:val="auto"/>
        </w:rPr>
      </w:pPr>
      <w:r>
        <w:rPr>
          <w:rFonts w:ascii="Arial" w:cs="Arial" w:eastAsia="Arial" w:hAnsi="Arial"/>
          <w:sz w:val="18"/>
          <w:szCs w:val="18"/>
          <w:color w:val="auto"/>
        </w:rPr>
        <w:t>The exhibits listed in the Exhibit Index immediately preceding such exhibits are filed as part of this Report.</w:t>
      </w:r>
    </w:p>
    <w:p>
      <w:pPr>
        <w:spacing w:after="0" w:line="208"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9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040" w:type="dxa"/>
            <w:vAlign w:val="bottom"/>
          </w:tcPr>
          <w:p>
            <w:pPr>
              <w:spacing w:after="0"/>
              <w:rPr>
                <w:sz w:val="20"/>
                <w:szCs w:val="20"/>
                <w:color w:val="auto"/>
              </w:rPr>
            </w:pPr>
          </w:p>
        </w:tc>
        <w:tc>
          <w:tcPr>
            <w:tcW w:w="520" w:type="dxa"/>
            <w:vAlign w:val="bottom"/>
          </w:tcPr>
          <w:p>
            <w:pPr>
              <w:spacing w:after="0"/>
              <w:rPr>
                <w:sz w:val="20"/>
                <w:szCs w:val="20"/>
                <w:color w:val="auto"/>
              </w:rPr>
            </w:pPr>
          </w:p>
        </w:tc>
        <w:tc>
          <w:tcPr>
            <w:tcW w:w="8660" w:type="dxa"/>
            <w:vAlign w:val="bottom"/>
            <w:gridSpan w:val="5"/>
          </w:tcPr>
          <w:p>
            <w:pPr>
              <w:ind w:left="2340"/>
              <w:spacing w:after="0"/>
              <w:rPr>
                <w:sz w:val="20"/>
                <w:szCs w:val="20"/>
                <w:color w:val="auto"/>
              </w:rPr>
            </w:pPr>
            <w:r>
              <w:rPr>
                <w:rFonts w:ascii="Arial" w:cs="Arial" w:eastAsia="Arial" w:hAnsi="Arial"/>
                <w:sz w:val="18"/>
                <w:szCs w:val="18"/>
                <w:b w:val="1"/>
                <w:bCs w:val="1"/>
                <w:color w:val="auto"/>
              </w:rPr>
              <w:t>EXHIBIT INDEX</w:t>
            </w:r>
          </w:p>
        </w:tc>
        <w:tc>
          <w:tcPr>
            <w:tcW w:w="0" w:type="dxa"/>
            <w:vAlign w:val="bottom"/>
          </w:tcPr>
          <w:p>
            <w:pPr>
              <w:spacing w:after="0"/>
              <w:rPr>
                <w:sz w:val="1"/>
                <w:szCs w:val="1"/>
                <w:color w:val="auto"/>
              </w:rPr>
            </w:pPr>
          </w:p>
        </w:tc>
      </w:tr>
      <w:tr>
        <w:trPr>
          <w:trHeight w:val="342"/>
        </w:trPr>
        <w:tc>
          <w:tcPr>
            <w:tcW w:w="1020" w:type="dxa"/>
            <w:vAlign w:val="bottom"/>
            <w:gridSpan w:val="2"/>
          </w:tcPr>
          <w:p>
            <w:pPr>
              <w:spacing w:after="0"/>
              <w:rPr>
                <w:sz w:val="20"/>
                <w:szCs w:val="20"/>
                <w:color w:val="auto"/>
              </w:rPr>
            </w:pPr>
            <w:r>
              <w:rPr>
                <w:rFonts w:ascii="Arial" w:cs="Arial" w:eastAsia="Arial" w:hAnsi="Arial"/>
                <w:sz w:val="14"/>
                <w:szCs w:val="14"/>
                <w:b w:val="1"/>
                <w:bCs w:val="1"/>
                <w:color w:val="auto"/>
              </w:rPr>
              <w:t>Exhibit</w:t>
            </w:r>
          </w:p>
        </w:tc>
        <w:tc>
          <w:tcPr>
            <w:tcW w:w="10220" w:type="dxa"/>
            <w:vAlign w:val="bottom"/>
            <w:gridSpan w:val="7"/>
            <w:vMerge w:val="restart"/>
          </w:tcPr>
          <w:p>
            <w:pPr>
              <w:spacing w:after="0"/>
              <w:rPr>
                <w:sz w:val="20"/>
                <w:szCs w:val="20"/>
                <w:color w:val="auto"/>
              </w:rPr>
            </w:pPr>
            <w:r>
              <w:rPr>
                <w:rFonts w:ascii="Arial" w:cs="Arial" w:eastAsia="Arial" w:hAnsi="Arial"/>
                <w:sz w:val="14"/>
                <w:szCs w:val="14"/>
                <w:b w:val="1"/>
                <w:bCs w:val="1"/>
                <w:color w:val="auto"/>
              </w:rPr>
              <w:t>Description of Exhibit</w:t>
            </w:r>
          </w:p>
        </w:tc>
        <w:tc>
          <w:tcPr>
            <w:tcW w:w="0" w:type="dxa"/>
            <w:vAlign w:val="bottom"/>
          </w:tcPr>
          <w:p>
            <w:pPr>
              <w:spacing w:after="0"/>
              <w:rPr>
                <w:sz w:val="1"/>
                <w:szCs w:val="1"/>
                <w:color w:val="auto"/>
              </w:rPr>
            </w:pPr>
          </w:p>
        </w:tc>
      </w:tr>
      <w:tr>
        <w:trPr>
          <w:trHeight w:val="171"/>
        </w:trPr>
        <w:tc>
          <w:tcPr>
            <w:tcW w:w="1020" w:type="dxa"/>
            <w:vAlign w:val="bottom"/>
            <w:gridSpan w:val="2"/>
          </w:tcPr>
          <w:p>
            <w:pPr>
              <w:spacing w:after="0"/>
              <w:rPr>
                <w:sz w:val="20"/>
                <w:szCs w:val="20"/>
                <w:color w:val="auto"/>
              </w:rPr>
            </w:pPr>
            <w:r>
              <w:rPr>
                <w:rFonts w:ascii="Arial" w:cs="Arial" w:eastAsia="Arial" w:hAnsi="Arial"/>
                <w:sz w:val="14"/>
                <w:szCs w:val="14"/>
                <w:b w:val="1"/>
                <w:bCs w:val="1"/>
                <w:color w:val="auto"/>
              </w:rPr>
              <w:t>Number</w:t>
            </w:r>
          </w:p>
        </w:tc>
        <w:tc>
          <w:tcPr>
            <w:tcW w:w="10220" w:type="dxa"/>
            <w:vAlign w:val="bottom"/>
            <w:gridSpan w:val="7"/>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291"/>
        </w:trPr>
        <w:tc>
          <w:tcPr>
            <w:tcW w:w="920" w:type="dxa"/>
            <w:vAlign w:val="bottom"/>
            <w:tcBorders>
              <w:top w:val="single" w:sz="8" w:color="auto"/>
            </w:tcBorders>
          </w:tcPr>
          <w:p>
            <w:pPr>
              <w:spacing w:after="0"/>
              <w:rPr>
                <w:sz w:val="20"/>
                <w:szCs w:val="20"/>
                <w:color w:val="auto"/>
              </w:rPr>
            </w:pPr>
            <w:r>
              <w:rPr>
                <w:rFonts w:ascii="Arial" w:cs="Arial" w:eastAsia="Arial" w:hAnsi="Arial"/>
                <w:sz w:val="18"/>
                <w:szCs w:val="18"/>
                <w:color w:val="auto"/>
              </w:rPr>
              <w:t>10.1</w:t>
            </w:r>
          </w:p>
        </w:tc>
        <w:tc>
          <w:tcPr>
            <w:tcW w:w="100" w:type="dxa"/>
            <w:vAlign w:val="bottom"/>
          </w:tcPr>
          <w:p>
            <w:pPr>
              <w:spacing w:after="0"/>
              <w:rPr>
                <w:sz w:val="24"/>
                <w:szCs w:val="24"/>
                <w:color w:val="auto"/>
              </w:rPr>
            </w:pPr>
          </w:p>
        </w:tc>
        <w:tc>
          <w:tcPr>
            <w:tcW w:w="10200" w:type="dxa"/>
            <w:vAlign w:val="bottom"/>
            <w:tcBorders>
              <w:top w:val="single" w:sz="8" w:color="auto"/>
              <w:bottom w:val="single" w:sz="8" w:color="0000EE"/>
            </w:tcBorders>
            <w:gridSpan w:val="6"/>
          </w:tcPr>
          <w:p>
            <w:pPr>
              <w:spacing w:after="0"/>
              <w:rPr>
                <w:rFonts w:ascii="Arial" w:cs="Arial" w:eastAsia="Arial" w:hAnsi="Arial"/>
                <w:sz w:val="18"/>
                <w:szCs w:val="18"/>
                <w:color w:val="0000EE"/>
                <w:w w:val="90"/>
              </w:rPr>
            </w:pPr>
            <w:hyperlink w:anchor="page29">
              <w:r>
                <w:rPr>
                  <w:rFonts w:ascii="Arial" w:cs="Arial" w:eastAsia="Arial" w:hAnsi="Arial"/>
                  <w:sz w:val="18"/>
                  <w:szCs w:val="18"/>
                  <w:color w:val="0000EE"/>
                  <w:w w:val="90"/>
                </w:rPr>
                <w:t>Amendment No. 1 to Amended and Restated Employment Agreement, dated as of April 1, 2021, between SS&amp;C Technologies Holdings, Inc.</w:t>
              </w:r>
            </w:hyperlink>
          </w:p>
        </w:tc>
        <w:tc>
          <w:tcPr>
            <w:tcW w:w="20" w:type="dxa"/>
            <w:vAlign w:val="bottom"/>
            <w:tcBorders>
              <w:top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196"/>
        </w:trPr>
        <w:tc>
          <w:tcPr>
            <w:tcW w:w="9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560" w:type="dxa"/>
            <w:vAlign w:val="bottom"/>
            <w:tcBorders>
              <w:bottom w:val="single" w:sz="8" w:color="0000EE"/>
            </w:tcBorders>
            <w:gridSpan w:val="2"/>
          </w:tcPr>
          <w:p>
            <w:pPr>
              <w:spacing w:after="0" w:line="196" w:lineRule="exact"/>
              <w:rPr>
                <w:rFonts w:ascii="Arial" w:cs="Arial" w:eastAsia="Arial" w:hAnsi="Arial"/>
                <w:sz w:val="18"/>
                <w:szCs w:val="18"/>
                <w:color w:val="0000EE"/>
                <w:w w:val="91"/>
              </w:rPr>
            </w:pPr>
            <w:hyperlink w:anchor="page29">
              <w:r>
                <w:rPr>
                  <w:rFonts w:ascii="Arial" w:cs="Arial" w:eastAsia="Arial" w:hAnsi="Arial"/>
                  <w:sz w:val="18"/>
                  <w:szCs w:val="18"/>
                  <w:color w:val="0000EE"/>
                  <w:w w:val="91"/>
                </w:rPr>
                <w:t>and William C. Stone</w:t>
              </w:r>
            </w:hyperlink>
          </w:p>
        </w:tc>
        <w:tc>
          <w:tcPr>
            <w:tcW w:w="8660" w:type="dxa"/>
            <w:vAlign w:val="bottom"/>
            <w:gridSpan w:val="5"/>
          </w:tcPr>
          <w:p>
            <w:pPr>
              <w:spacing w:after="0"/>
              <w:rPr>
                <w:sz w:val="17"/>
                <w:szCs w:val="17"/>
                <w:color w:val="auto"/>
              </w:rPr>
            </w:pPr>
          </w:p>
        </w:tc>
        <w:tc>
          <w:tcPr>
            <w:tcW w:w="0" w:type="dxa"/>
            <w:vAlign w:val="bottom"/>
          </w:tcPr>
          <w:p>
            <w:pPr>
              <w:spacing w:after="0"/>
              <w:rPr>
                <w:sz w:val="1"/>
                <w:szCs w:val="1"/>
                <w:color w:val="auto"/>
              </w:rPr>
            </w:pPr>
          </w:p>
        </w:tc>
      </w:tr>
      <w:tr>
        <w:trPr>
          <w:trHeight w:val="304"/>
        </w:trPr>
        <w:tc>
          <w:tcPr>
            <w:tcW w:w="920" w:type="dxa"/>
            <w:vAlign w:val="bottom"/>
          </w:tcPr>
          <w:p>
            <w:pPr>
              <w:spacing w:after="0"/>
              <w:rPr>
                <w:sz w:val="20"/>
                <w:szCs w:val="20"/>
                <w:color w:val="auto"/>
              </w:rPr>
            </w:pPr>
            <w:r>
              <w:rPr>
                <w:rFonts w:ascii="Arial" w:cs="Arial" w:eastAsia="Arial" w:hAnsi="Arial"/>
                <w:sz w:val="18"/>
                <w:szCs w:val="18"/>
                <w:color w:val="auto"/>
              </w:rPr>
              <w:t>10.2</w:t>
            </w:r>
          </w:p>
        </w:tc>
        <w:tc>
          <w:tcPr>
            <w:tcW w:w="100" w:type="dxa"/>
            <w:vAlign w:val="bottom"/>
          </w:tcPr>
          <w:p>
            <w:pPr>
              <w:spacing w:after="0"/>
              <w:rPr>
                <w:sz w:val="24"/>
                <w:szCs w:val="24"/>
                <w:color w:val="auto"/>
              </w:rPr>
            </w:pPr>
          </w:p>
        </w:tc>
        <w:tc>
          <w:tcPr>
            <w:tcW w:w="9840" w:type="dxa"/>
            <w:vAlign w:val="bottom"/>
            <w:tcBorders>
              <w:bottom w:val="single" w:sz="8" w:color="0000EE"/>
            </w:tcBorders>
            <w:gridSpan w:val="5"/>
          </w:tcPr>
          <w:p>
            <w:pPr>
              <w:spacing w:after="0"/>
              <w:rPr>
                <w:rFonts w:ascii="Arial" w:cs="Arial" w:eastAsia="Arial" w:hAnsi="Arial"/>
                <w:sz w:val="18"/>
                <w:szCs w:val="18"/>
                <w:color w:val="0000EE"/>
                <w:w w:val="90"/>
              </w:rPr>
            </w:pPr>
            <w:hyperlink w:anchor="page31">
              <w:r>
                <w:rPr>
                  <w:rFonts w:ascii="Arial" w:cs="Arial" w:eastAsia="Arial" w:hAnsi="Arial"/>
                  <w:sz w:val="18"/>
                  <w:szCs w:val="18"/>
                  <w:color w:val="0000EE"/>
                  <w:w w:val="90"/>
                </w:rPr>
                <w:t>Form of Performance Stock Option Agreement under the SS&amp;C Technologies Holdings, Inc. Second Amended and Restated 2014 Stock</w:t>
              </w:r>
            </w:hyperlink>
          </w:p>
        </w:tc>
        <w:tc>
          <w:tcPr>
            <w:tcW w:w="380" w:type="dxa"/>
            <w:vAlign w:val="bottom"/>
            <w:gridSpan w:val="2"/>
          </w:tcPr>
          <w:p>
            <w:pPr>
              <w:spacing w:after="0"/>
              <w:rPr>
                <w:sz w:val="24"/>
                <w:szCs w:val="24"/>
                <w:color w:val="auto"/>
              </w:rPr>
            </w:pPr>
          </w:p>
        </w:tc>
        <w:tc>
          <w:tcPr>
            <w:tcW w:w="0" w:type="dxa"/>
            <w:vAlign w:val="bottom"/>
          </w:tcPr>
          <w:p>
            <w:pPr>
              <w:spacing w:after="0"/>
              <w:rPr>
                <w:sz w:val="1"/>
                <w:szCs w:val="1"/>
                <w:color w:val="auto"/>
              </w:rPr>
            </w:pPr>
          </w:p>
        </w:tc>
      </w:tr>
      <w:tr>
        <w:trPr>
          <w:trHeight w:val="196"/>
        </w:trPr>
        <w:tc>
          <w:tcPr>
            <w:tcW w:w="9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220" w:type="dxa"/>
            <w:vAlign w:val="bottom"/>
            <w:gridSpan w:val="7"/>
          </w:tcPr>
          <w:p>
            <w:pPr>
              <w:spacing w:after="0" w:line="196" w:lineRule="exact"/>
              <w:rPr>
                <w:rFonts w:ascii="Arial" w:cs="Arial" w:eastAsia="Arial" w:hAnsi="Arial"/>
                <w:sz w:val="18"/>
                <w:szCs w:val="18"/>
                <w:color w:val="0000EE"/>
              </w:rPr>
            </w:pPr>
            <w:hyperlink w:anchor="page31">
              <w:r>
                <w:rPr>
                  <w:rFonts w:ascii="Arial" w:cs="Arial" w:eastAsia="Arial" w:hAnsi="Arial"/>
                  <w:sz w:val="18"/>
                  <w:szCs w:val="18"/>
                  <w:color w:val="0000EE"/>
                </w:rPr>
                <w:t xml:space="preserve">Incentive Plan </w:t>
              </w:r>
              <w:r>
                <w:rPr>
                  <w:rFonts w:ascii="Arial" w:cs="Arial" w:eastAsia="Arial" w:hAnsi="Arial"/>
                  <w:sz w:val="18"/>
                  <w:szCs w:val="18"/>
                  <w:color w:val="000000"/>
                </w:rPr>
                <w:t>*</w:t>
              </w:r>
            </w:hyperlink>
          </w:p>
        </w:tc>
        <w:tc>
          <w:tcPr>
            <w:tcW w:w="0" w:type="dxa"/>
            <w:vAlign w:val="bottom"/>
          </w:tcPr>
          <w:p>
            <w:pPr>
              <w:spacing w:after="0"/>
              <w:rPr>
                <w:sz w:val="1"/>
                <w:szCs w:val="1"/>
                <w:color w:val="auto"/>
              </w:rPr>
            </w:pPr>
          </w:p>
        </w:tc>
      </w:tr>
      <w:tr>
        <w:trPr>
          <w:trHeight w:val="20"/>
        </w:trPr>
        <w:tc>
          <w:tcPr>
            <w:tcW w:w="9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40" w:type="dxa"/>
            <w:vAlign w:val="bottom"/>
            <w:shd w:val="clear" w:color="auto" w:fill="0000EE"/>
          </w:tcPr>
          <w:p>
            <w:pPr>
              <w:spacing w:after="0" w:line="20" w:lineRule="exact"/>
              <w:rPr>
                <w:sz w:val="1"/>
                <w:szCs w:val="1"/>
                <w:color w:val="auto"/>
              </w:rPr>
            </w:pPr>
          </w:p>
        </w:tc>
        <w:tc>
          <w:tcPr>
            <w:tcW w:w="7260" w:type="dxa"/>
            <w:vAlign w:val="bottom"/>
            <w:gridSpan w:val="2"/>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860" w:type="dxa"/>
            <w:vAlign w:val="bottom"/>
            <w:gridSpan w:val="3"/>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04"/>
        </w:trPr>
        <w:tc>
          <w:tcPr>
            <w:tcW w:w="920" w:type="dxa"/>
            <w:vAlign w:val="bottom"/>
          </w:tcPr>
          <w:p>
            <w:pPr>
              <w:spacing w:after="0"/>
              <w:rPr>
                <w:sz w:val="20"/>
                <w:szCs w:val="20"/>
                <w:color w:val="auto"/>
              </w:rPr>
            </w:pPr>
            <w:r>
              <w:rPr>
                <w:rFonts w:ascii="Arial" w:cs="Arial" w:eastAsia="Arial" w:hAnsi="Arial"/>
                <w:sz w:val="18"/>
                <w:szCs w:val="18"/>
                <w:color w:val="auto"/>
              </w:rPr>
              <w:t>31.1</w:t>
            </w:r>
          </w:p>
        </w:tc>
        <w:tc>
          <w:tcPr>
            <w:tcW w:w="100" w:type="dxa"/>
            <w:vAlign w:val="bottom"/>
          </w:tcPr>
          <w:p>
            <w:pPr>
              <w:spacing w:after="0"/>
              <w:rPr>
                <w:sz w:val="24"/>
                <w:szCs w:val="24"/>
                <w:color w:val="auto"/>
              </w:rPr>
            </w:pPr>
          </w:p>
        </w:tc>
        <w:tc>
          <w:tcPr>
            <w:tcW w:w="8360" w:type="dxa"/>
            <w:vAlign w:val="bottom"/>
            <w:tcBorders>
              <w:bottom w:val="single" w:sz="8" w:color="0000EE"/>
            </w:tcBorders>
            <w:gridSpan w:val="4"/>
          </w:tcPr>
          <w:p>
            <w:pPr>
              <w:spacing w:after="0"/>
              <w:rPr>
                <w:rFonts w:ascii="Arial" w:cs="Arial" w:eastAsia="Arial" w:hAnsi="Arial"/>
                <w:sz w:val="18"/>
                <w:szCs w:val="18"/>
                <w:color w:val="0000EE"/>
                <w:w w:val="91"/>
              </w:rPr>
            </w:pPr>
            <w:hyperlink w:anchor="page35">
              <w:r>
                <w:rPr>
                  <w:rFonts w:ascii="Arial" w:cs="Arial" w:eastAsia="Arial" w:hAnsi="Arial"/>
                  <w:sz w:val="18"/>
                  <w:szCs w:val="18"/>
                  <w:color w:val="0000EE"/>
                  <w:w w:val="91"/>
                </w:rPr>
                <w:t>Certification of the Registrant’s Chief Executive Officer pursuant to Section 302 of the Sarbanes-Oxley Act of 2002</w:t>
              </w:r>
            </w:hyperlink>
          </w:p>
        </w:tc>
        <w:tc>
          <w:tcPr>
            <w:tcW w:w="1860" w:type="dxa"/>
            <w:vAlign w:val="bottom"/>
            <w:gridSpan w:val="3"/>
          </w:tcPr>
          <w:p>
            <w:pPr>
              <w:spacing w:after="0"/>
              <w:rPr>
                <w:sz w:val="24"/>
                <w:szCs w:val="24"/>
                <w:color w:val="auto"/>
              </w:rPr>
            </w:pPr>
          </w:p>
        </w:tc>
        <w:tc>
          <w:tcPr>
            <w:tcW w:w="0" w:type="dxa"/>
            <w:vAlign w:val="bottom"/>
          </w:tcPr>
          <w:p>
            <w:pPr>
              <w:spacing w:after="0"/>
              <w:rPr>
                <w:sz w:val="1"/>
                <w:szCs w:val="1"/>
                <w:color w:val="auto"/>
              </w:rPr>
            </w:pPr>
          </w:p>
        </w:tc>
      </w:tr>
      <w:tr>
        <w:trPr>
          <w:trHeight w:val="318"/>
        </w:trPr>
        <w:tc>
          <w:tcPr>
            <w:tcW w:w="920" w:type="dxa"/>
            <w:vAlign w:val="bottom"/>
          </w:tcPr>
          <w:p>
            <w:pPr>
              <w:spacing w:after="0"/>
              <w:rPr>
                <w:sz w:val="20"/>
                <w:szCs w:val="20"/>
                <w:color w:val="auto"/>
              </w:rPr>
            </w:pPr>
            <w:r>
              <w:rPr>
                <w:rFonts w:ascii="Arial" w:cs="Arial" w:eastAsia="Arial" w:hAnsi="Arial"/>
                <w:sz w:val="18"/>
                <w:szCs w:val="18"/>
                <w:color w:val="auto"/>
              </w:rPr>
              <w:t>31.2</w:t>
            </w:r>
          </w:p>
        </w:tc>
        <w:tc>
          <w:tcPr>
            <w:tcW w:w="100" w:type="dxa"/>
            <w:vAlign w:val="bottom"/>
          </w:tcPr>
          <w:p>
            <w:pPr>
              <w:spacing w:after="0"/>
              <w:rPr>
                <w:sz w:val="24"/>
                <w:szCs w:val="24"/>
                <w:color w:val="auto"/>
              </w:rPr>
            </w:pPr>
          </w:p>
        </w:tc>
        <w:tc>
          <w:tcPr>
            <w:tcW w:w="10220" w:type="dxa"/>
            <w:vAlign w:val="bottom"/>
            <w:gridSpan w:val="7"/>
          </w:tcPr>
          <w:p>
            <w:pPr>
              <w:spacing w:after="0"/>
              <w:rPr>
                <w:rFonts w:ascii="Arial" w:cs="Arial" w:eastAsia="Arial" w:hAnsi="Arial"/>
                <w:sz w:val="18"/>
                <w:szCs w:val="18"/>
                <w:color w:val="0000EE"/>
              </w:rPr>
            </w:pPr>
            <w:hyperlink w:anchor="page36">
              <w:r>
                <w:rPr>
                  <w:rFonts w:ascii="Arial" w:cs="Arial" w:eastAsia="Arial" w:hAnsi="Arial"/>
                  <w:sz w:val="18"/>
                  <w:szCs w:val="18"/>
                  <w:color w:val="0000EE"/>
                </w:rPr>
                <w:t>Certification of the Registrant’s Chief Financial Officer pursuant to Section 302 of the Sarbanes-Oxley Act of 2002</w:t>
              </w:r>
            </w:hyperlink>
          </w:p>
        </w:tc>
        <w:tc>
          <w:tcPr>
            <w:tcW w:w="0" w:type="dxa"/>
            <w:vAlign w:val="bottom"/>
          </w:tcPr>
          <w:p>
            <w:pPr>
              <w:spacing w:after="0"/>
              <w:rPr>
                <w:sz w:val="1"/>
                <w:szCs w:val="1"/>
                <w:color w:val="auto"/>
              </w:rPr>
            </w:pPr>
          </w:p>
        </w:tc>
      </w:tr>
      <w:tr>
        <w:trPr>
          <w:trHeight w:val="20"/>
        </w:trPr>
        <w:tc>
          <w:tcPr>
            <w:tcW w:w="9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40" w:type="dxa"/>
            <w:vAlign w:val="bottom"/>
            <w:shd w:val="clear" w:color="auto" w:fill="0000EE"/>
          </w:tcPr>
          <w:p>
            <w:pPr>
              <w:spacing w:after="0" w:line="20" w:lineRule="exact"/>
              <w:rPr>
                <w:sz w:val="1"/>
                <w:szCs w:val="1"/>
                <w:color w:val="auto"/>
              </w:rPr>
            </w:pPr>
          </w:p>
        </w:tc>
        <w:tc>
          <w:tcPr>
            <w:tcW w:w="520" w:type="dxa"/>
            <w:vAlign w:val="bottom"/>
            <w:shd w:val="clear" w:color="auto" w:fill="0000EE"/>
          </w:tcPr>
          <w:p>
            <w:pPr>
              <w:spacing w:after="0" w:line="20" w:lineRule="exact"/>
              <w:rPr>
                <w:sz w:val="1"/>
                <w:szCs w:val="1"/>
                <w:color w:val="auto"/>
              </w:rPr>
            </w:pPr>
          </w:p>
        </w:tc>
        <w:tc>
          <w:tcPr>
            <w:tcW w:w="6740" w:type="dxa"/>
            <w:vAlign w:val="bottom"/>
            <w:shd w:val="clear" w:color="auto" w:fill="0000EE"/>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48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34" w:lineRule="exact"/>
        <w:rPr>
          <w:sz w:val="20"/>
          <w:szCs w:val="20"/>
          <w:color w:val="auto"/>
        </w:rPr>
      </w:pPr>
    </w:p>
    <w:p>
      <w:pPr>
        <w:ind w:left="1020" w:right="40" w:hanging="1012"/>
        <w:spacing w:after="0" w:line="263" w:lineRule="auto"/>
        <w:tabs>
          <w:tab w:leader="none" w:pos="1020" w:val="left"/>
        </w:tabs>
        <w:numPr>
          <w:ilvl w:val="0"/>
          <w:numId w:val="9"/>
        </w:numPr>
        <w:rPr>
          <w:rFonts w:ascii="Arial" w:cs="Arial" w:eastAsia="Arial" w:hAnsi="Arial"/>
          <w:sz w:val="18"/>
          <w:szCs w:val="18"/>
          <w:u w:val="single" w:color="auto"/>
          <w:color w:val="0000EE"/>
        </w:rPr>
      </w:pPr>
      <w:hyperlink w:anchor="page37">
        <w:r>
          <w:rPr>
            <w:rFonts w:ascii="Arial" w:cs="Arial" w:eastAsia="Arial" w:hAnsi="Arial"/>
            <w:sz w:val="18"/>
            <w:szCs w:val="18"/>
            <w:u w:val="single" w:color="auto"/>
            <w:color w:val="0000EE"/>
          </w:rPr>
          <w:t>Certification of the Registrant’s Chief Executive Officer and Chief Financial Officer pursuant to 18 U.S.C. Section 1350, as adopted pursuant</w:t>
        </w:r>
      </w:hyperlink>
      <w:r>
        <w:rPr>
          <w:rFonts w:ascii="Arial" w:cs="Arial" w:eastAsia="Arial" w:hAnsi="Arial"/>
          <w:sz w:val="18"/>
          <w:szCs w:val="18"/>
          <w:u w:val="single" w:color="auto"/>
          <w:color w:val="0000EE"/>
        </w:rPr>
        <w:t xml:space="preserve"> </w:t>
      </w:r>
      <w:hyperlink w:anchor="page37">
        <w:r>
          <w:rPr>
            <w:rFonts w:ascii="Arial" w:cs="Arial" w:eastAsia="Arial" w:hAnsi="Arial"/>
            <w:sz w:val="18"/>
            <w:szCs w:val="18"/>
            <w:u w:val="single" w:color="auto"/>
            <w:color w:val="0000EE"/>
          </w:rPr>
          <w:t>to Section 906 of the Sarbanes-Oxley Act of 2002 (furnished and not filed for purposes of sections 11 or 12 of the Securities Act and section</w:t>
        </w:r>
      </w:hyperlink>
      <w:r>
        <w:rPr>
          <w:rFonts w:ascii="Arial" w:cs="Arial" w:eastAsia="Arial" w:hAnsi="Arial"/>
          <w:sz w:val="18"/>
          <w:szCs w:val="18"/>
          <w:u w:val="single" w:color="auto"/>
          <w:color w:val="0000EE"/>
        </w:rPr>
        <w:t xml:space="preserve"> </w:t>
      </w:r>
      <w:hyperlink w:anchor="page37">
        <w:r>
          <w:rPr>
            <w:rFonts w:ascii="Arial" w:cs="Arial" w:eastAsia="Arial" w:hAnsi="Arial"/>
            <w:sz w:val="18"/>
            <w:szCs w:val="18"/>
            <w:u w:val="single" w:color="auto"/>
            <w:color w:val="0000EE"/>
          </w:rPr>
          <w:t>18 of the Exchange Act)</w:t>
        </w:r>
      </w:hyperlink>
    </w:p>
    <w:p>
      <w:pPr>
        <w:spacing w:after="0" w:line="89" w:lineRule="exact"/>
        <w:rPr>
          <w:rFonts w:ascii="Arial" w:cs="Arial" w:eastAsia="Arial" w:hAnsi="Arial"/>
          <w:sz w:val="18"/>
          <w:szCs w:val="18"/>
          <w:u w:val="single" w:color="auto"/>
          <w:color w:val="0000EE"/>
        </w:rPr>
      </w:pPr>
    </w:p>
    <w:tbl>
      <w:tblPr>
        <w:tblLayout w:type="fixed"/>
        <w:tblInd w:w="0" w:type="dxa"/>
        <w:tblCellMar>
          <w:top w:w="0" w:type="dxa"/>
          <w:left w:w="0" w:type="dxa"/>
          <w:bottom w:w="0" w:type="dxa"/>
          <w:right w:w="0" w:type="dxa"/>
        </w:tblCellMar>
      </w:tblPr>
      <w:tr>
        <w:trPr>
          <w:trHeight w:val="216"/>
        </w:trPr>
        <w:tc>
          <w:tcPr>
            <w:tcW w:w="860" w:type="dxa"/>
            <w:vAlign w:val="bottom"/>
          </w:tcPr>
          <w:p>
            <w:pPr>
              <w:spacing w:after="0"/>
              <w:rPr>
                <w:sz w:val="20"/>
                <w:szCs w:val="20"/>
                <w:color w:val="auto"/>
              </w:rPr>
            </w:pPr>
            <w:r>
              <w:rPr>
                <w:rFonts w:ascii="Arial" w:cs="Arial" w:eastAsia="Arial" w:hAnsi="Arial"/>
                <w:sz w:val="18"/>
                <w:szCs w:val="18"/>
                <w:color w:val="auto"/>
              </w:rPr>
              <w:t>101.INS</w:t>
            </w:r>
          </w:p>
        </w:tc>
        <w:tc>
          <w:tcPr>
            <w:tcW w:w="10180" w:type="dxa"/>
            <w:vAlign w:val="bottom"/>
          </w:tcPr>
          <w:p>
            <w:pPr>
              <w:ind w:left="160"/>
              <w:spacing w:after="0"/>
              <w:rPr>
                <w:sz w:val="20"/>
                <w:szCs w:val="20"/>
                <w:color w:val="auto"/>
              </w:rPr>
            </w:pPr>
            <w:r>
              <w:rPr>
                <w:rFonts w:ascii="Arial" w:cs="Arial" w:eastAsia="Arial" w:hAnsi="Arial"/>
                <w:sz w:val="18"/>
                <w:szCs w:val="18"/>
                <w:color w:val="auto"/>
                <w:w w:val="90"/>
              </w:rPr>
              <w:t>Inline XBRL Instance Document - the instance document does not appear in the Interactive Data File because its XBRL tags are embedded</w:t>
            </w:r>
          </w:p>
        </w:tc>
      </w:tr>
      <w:tr>
        <w:trPr>
          <w:trHeight w:val="230"/>
        </w:trPr>
        <w:tc>
          <w:tcPr>
            <w:tcW w:w="860" w:type="dxa"/>
            <w:vAlign w:val="bottom"/>
          </w:tcPr>
          <w:p>
            <w:pPr>
              <w:spacing w:after="0"/>
              <w:rPr>
                <w:sz w:val="20"/>
                <w:szCs w:val="20"/>
                <w:color w:val="auto"/>
              </w:rPr>
            </w:pPr>
          </w:p>
        </w:tc>
        <w:tc>
          <w:tcPr>
            <w:tcW w:w="10180" w:type="dxa"/>
            <w:vAlign w:val="bottom"/>
          </w:tcPr>
          <w:p>
            <w:pPr>
              <w:ind w:left="160"/>
              <w:spacing w:after="0"/>
              <w:rPr>
                <w:sz w:val="20"/>
                <w:szCs w:val="20"/>
                <w:color w:val="auto"/>
              </w:rPr>
            </w:pPr>
            <w:r>
              <w:rPr>
                <w:rFonts w:ascii="Arial" w:cs="Arial" w:eastAsia="Arial" w:hAnsi="Arial"/>
                <w:sz w:val="18"/>
                <w:szCs w:val="18"/>
                <w:color w:val="auto"/>
              </w:rPr>
              <w:t>within the Inline XBRL document.</w:t>
            </w:r>
          </w:p>
        </w:tc>
      </w:tr>
      <w:tr>
        <w:trPr>
          <w:trHeight w:val="338"/>
        </w:trPr>
        <w:tc>
          <w:tcPr>
            <w:tcW w:w="860" w:type="dxa"/>
            <w:vAlign w:val="bottom"/>
          </w:tcPr>
          <w:p>
            <w:pPr>
              <w:spacing w:after="0"/>
              <w:rPr>
                <w:sz w:val="20"/>
                <w:szCs w:val="20"/>
                <w:color w:val="auto"/>
              </w:rPr>
            </w:pPr>
            <w:r>
              <w:rPr>
                <w:rFonts w:ascii="Arial" w:cs="Arial" w:eastAsia="Arial" w:hAnsi="Arial"/>
                <w:sz w:val="18"/>
                <w:szCs w:val="18"/>
                <w:color w:val="auto"/>
              </w:rPr>
              <w:t>101.SCH</w:t>
            </w:r>
          </w:p>
        </w:tc>
        <w:tc>
          <w:tcPr>
            <w:tcW w:w="10180" w:type="dxa"/>
            <w:vAlign w:val="bottom"/>
          </w:tcPr>
          <w:p>
            <w:pPr>
              <w:ind w:left="160"/>
              <w:spacing w:after="0"/>
              <w:rPr>
                <w:sz w:val="20"/>
                <w:szCs w:val="20"/>
                <w:color w:val="auto"/>
              </w:rPr>
            </w:pPr>
            <w:r>
              <w:rPr>
                <w:rFonts w:ascii="Arial" w:cs="Arial" w:eastAsia="Arial" w:hAnsi="Arial"/>
                <w:sz w:val="18"/>
                <w:szCs w:val="18"/>
                <w:color w:val="auto"/>
              </w:rPr>
              <w:t>Inline XBRL Taxonomy Extension Schema Document.</w:t>
            </w:r>
          </w:p>
        </w:tc>
      </w:tr>
      <w:tr>
        <w:trPr>
          <w:trHeight w:val="338"/>
        </w:trPr>
        <w:tc>
          <w:tcPr>
            <w:tcW w:w="860" w:type="dxa"/>
            <w:vAlign w:val="bottom"/>
          </w:tcPr>
          <w:p>
            <w:pPr>
              <w:spacing w:after="0"/>
              <w:rPr>
                <w:sz w:val="20"/>
                <w:szCs w:val="20"/>
                <w:color w:val="auto"/>
              </w:rPr>
            </w:pPr>
            <w:r>
              <w:rPr>
                <w:rFonts w:ascii="Arial" w:cs="Arial" w:eastAsia="Arial" w:hAnsi="Arial"/>
                <w:sz w:val="18"/>
                <w:szCs w:val="18"/>
                <w:color w:val="auto"/>
              </w:rPr>
              <w:t>101.CAL</w:t>
            </w:r>
          </w:p>
        </w:tc>
        <w:tc>
          <w:tcPr>
            <w:tcW w:w="10180" w:type="dxa"/>
            <w:vAlign w:val="bottom"/>
          </w:tcPr>
          <w:p>
            <w:pPr>
              <w:ind w:left="160"/>
              <w:spacing w:after="0"/>
              <w:rPr>
                <w:sz w:val="20"/>
                <w:szCs w:val="20"/>
                <w:color w:val="auto"/>
              </w:rPr>
            </w:pPr>
            <w:r>
              <w:rPr>
                <w:rFonts w:ascii="Arial" w:cs="Arial" w:eastAsia="Arial" w:hAnsi="Arial"/>
                <w:sz w:val="18"/>
                <w:szCs w:val="18"/>
                <w:color w:val="auto"/>
              </w:rPr>
              <w:t>Inline XBRL Taxonomy Calculation Linkbase Document.</w:t>
            </w:r>
          </w:p>
        </w:tc>
      </w:tr>
      <w:tr>
        <w:trPr>
          <w:trHeight w:val="338"/>
        </w:trPr>
        <w:tc>
          <w:tcPr>
            <w:tcW w:w="860" w:type="dxa"/>
            <w:vAlign w:val="bottom"/>
          </w:tcPr>
          <w:p>
            <w:pPr>
              <w:spacing w:after="0"/>
              <w:rPr>
                <w:sz w:val="20"/>
                <w:szCs w:val="20"/>
                <w:color w:val="auto"/>
              </w:rPr>
            </w:pPr>
            <w:r>
              <w:rPr>
                <w:rFonts w:ascii="Arial" w:cs="Arial" w:eastAsia="Arial" w:hAnsi="Arial"/>
                <w:sz w:val="18"/>
                <w:szCs w:val="18"/>
                <w:color w:val="auto"/>
              </w:rPr>
              <w:t>101.LAB</w:t>
            </w:r>
          </w:p>
        </w:tc>
        <w:tc>
          <w:tcPr>
            <w:tcW w:w="10180" w:type="dxa"/>
            <w:vAlign w:val="bottom"/>
          </w:tcPr>
          <w:p>
            <w:pPr>
              <w:ind w:left="160"/>
              <w:spacing w:after="0"/>
              <w:rPr>
                <w:sz w:val="20"/>
                <w:szCs w:val="20"/>
                <w:color w:val="auto"/>
              </w:rPr>
            </w:pPr>
            <w:r>
              <w:rPr>
                <w:rFonts w:ascii="Arial" w:cs="Arial" w:eastAsia="Arial" w:hAnsi="Arial"/>
                <w:sz w:val="18"/>
                <w:szCs w:val="18"/>
                <w:color w:val="auto"/>
              </w:rPr>
              <w:t>Inline XBRL Taxonomy Label Linkbase Document.</w:t>
            </w:r>
          </w:p>
        </w:tc>
      </w:tr>
      <w:tr>
        <w:trPr>
          <w:trHeight w:val="338"/>
        </w:trPr>
        <w:tc>
          <w:tcPr>
            <w:tcW w:w="860" w:type="dxa"/>
            <w:vAlign w:val="bottom"/>
          </w:tcPr>
          <w:p>
            <w:pPr>
              <w:spacing w:after="0"/>
              <w:rPr>
                <w:sz w:val="20"/>
                <w:szCs w:val="20"/>
                <w:color w:val="auto"/>
              </w:rPr>
            </w:pPr>
            <w:r>
              <w:rPr>
                <w:rFonts w:ascii="Arial" w:cs="Arial" w:eastAsia="Arial" w:hAnsi="Arial"/>
                <w:sz w:val="18"/>
                <w:szCs w:val="18"/>
                <w:color w:val="auto"/>
              </w:rPr>
              <w:t>101.PRE</w:t>
            </w:r>
          </w:p>
        </w:tc>
        <w:tc>
          <w:tcPr>
            <w:tcW w:w="10180" w:type="dxa"/>
            <w:vAlign w:val="bottom"/>
          </w:tcPr>
          <w:p>
            <w:pPr>
              <w:ind w:left="160"/>
              <w:spacing w:after="0"/>
              <w:rPr>
                <w:sz w:val="20"/>
                <w:szCs w:val="20"/>
                <w:color w:val="auto"/>
              </w:rPr>
            </w:pPr>
            <w:r>
              <w:rPr>
                <w:rFonts w:ascii="Arial" w:cs="Arial" w:eastAsia="Arial" w:hAnsi="Arial"/>
                <w:sz w:val="18"/>
                <w:szCs w:val="18"/>
                <w:color w:val="auto"/>
              </w:rPr>
              <w:t>Inline XBRL Taxonomy Presentation Linkbase Document.</w:t>
            </w:r>
          </w:p>
        </w:tc>
      </w:tr>
      <w:tr>
        <w:trPr>
          <w:trHeight w:val="337"/>
        </w:trPr>
        <w:tc>
          <w:tcPr>
            <w:tcW w:w="860" w:type="dxa"/>
            <w:vAlign w:val="bottom"/>
          </w:tcPr>
          <w:p>
            <w:pPr>
              <w:spacing w:after="0"/>
              <w:rPr>
                <w:sz w:val="20"/>
                <w:szCs w:val="20"/>
                <w:color w:val="auto"/>
              </w:rPr>
            </w:pPr>
            <w:r>
              <w:rPr>
                <w:rFonts w:ascii="Arial" w:cs="Arial" w:eastAsia="Arial" w:hAnsi="Arial"/>
                <w:sz w:val="18"/>
                <w:szCs w:val="18"/>
                <w:color w:val="auto"/>
              </w:rPr>
              <w:t>101.DEF</w:t>
            </w:r>
          </w:p>
        </w:tc>
        <w:tc>
          <w:tcPr>
            <w:tcW w:w="10180" w:type="dxa"/>
            <w:vAlign w:val="bottom"/>
          </w:tcPr>
          <w:p>
            <w:pPr>
              <w:ind w:left="160"/>
              <w:spacing w:after="0"/>
              <w:rPr>
                <w:sz w:val="20"/>
                <w:szCs w:val="20"/>
                <w:color w:val="auto"/>
              </w:rPr>
            </w:pPr>
            <w:r>
              <w:rPr>
                <w:rFonts w:ascii="Arial" w:cs="Arial" w:eastAsia="Arial" w:hAnsi="Arial"/>
                <w:sz w:val="18"/>
                <w:szCs w:val="18"/>
                <w:color w:val="auto"/>
              </w:rPr>
              <w:t>Inline XBRL Taxonomy Extension Definition Linkbase Document.</w:t>
            </w:r>
          </w:p>
        </w:tc>
      </w:tr>
      <w:tr>
        <w:trPr>
          <w:trHeight w:val="338"/>
        </w:trPr>
        <w:tc>
          <w:tcPr>
            <w:tcW w:w="860" w:type="dxa"/>
            <w:vAlign w:val="bottom"/>
          </w:tcPr>
          <w:p>
            <w:pPr>
              <w:spacing w:after="0"/>
              <w:rPr>
                <w:sz w:val="20"/>
                <w:szCs w:val="20"/>
                <w:color w:val="auto"/>
              </w:rPr>
            </w:pPr>
            <w:r>
              <w:rPr>
                <w:rFonts w:ascii="Arial" w:cs="Arial" w:eastAsia="Arial" w:hAnsi="Arial"/>
                <w:sz w:val="18"/>
                <w:szCs w:val="18"/>
                <w:color w:val="auto"/>
              </w:rPr>
              <w:t>104</w:t>
            </w:r>
          </w:p>
        </w:tc>
        <w:tc>
          <w:tcPr>
            <w:tcW w:w="10180" w:type="dxa"/>
            <w:vAlign w:val="bottom"/>
          </w:tcPr>
          <w:p>
            <w:pPr>
              <w:ind w:left="160"/>
              <w:spacing w:after="0"/>
              <w:rPr>
                <w:sz w:val="20"/>
                <w:szCs w:val="20"/>
                <w:color w:val="auto"/>
              </w:rPr>
            </w:pPr>
            <w:r>
              <w:rPr>
                <w:rFonts w:ascii="Arial" w:cs="Arial" w:eastAsia="Arial" w:hAnsi="Arial"/>
                <w:sz w:val="18"/>
                <w:szCs w:val="18"/>
                <w:color w:val="auto"/>
              </w:rPr>
              <w:t>Cover Page Interactive Data File (formatted as Inline XBRL and contained in Exhibit 101).</w:t>
            </w:r>
          </w:p>
        </w:tc>
      </w:tr>
    </w:tbl>
    <w:p>
      <w:pPr>
        <w:spacing w:after="0" w:line="242" w:lineRule="exact"/>
        <w:rPr>
          <w:rFonts w:ascii="Arial" w:cs="Arial" w:eastAsia="Arial" w:hAnsi="Arial"/>
          <w:sz w:val="18"/>
          <w:szCs w:val="18"/>
          <w:u w:val="single" w:color="auto"/>
          <w:color w:val="0000EE"/>
        </w:rPr>
      </w:pPr>
    </w:p>
    <w:p>
      <w:pPr>
        <w:ind w:left="500" w:right="460" w:hanging="492"/>
        <w:spacing w:after="0" w:line="277" w:lineRule="auto"/>
        <w:tabs>
          <w:tab w:leader="none" w:pos="500" w:val="left"/>
        </w:tabs>
        <w:numPr>
          <w:ilvl w:val="0"/>
          <w:numId w:val="10"/>
        </w:numPr>
        <w:rPr>
          <w:rFonts w:ascii="Arial" w:cs="Arial" w:eastAsia="Arial" w:hAnsi="Arial"/>
          <w:sz w:val="18"/>
          <w:szCs w:val="18"/>
          <w:color w:val="auto"/>
        </w:rPr>
      </w:pPr>
      <w:r>
        <w:rPr>
          <w:rFonts w:ascii="Arial" w:cs="Arial" w:eastAsia="Arial" w:hAnsi="Arial"/>
          <w:sz w:val="18"/>
          <w:szCs w:val="18"/>
          <w:color w:val="auto"/>
        </w:rPr>
        <w:t>Certain exhibits and schedules have been omitted and the Company agrees to furnish supplementally to the Commission a copy of any omitted exhibits upon request.</w:t>
      </w:r>
    </w:p>
    <w:p>
      <w:pPr>
        <w:spacing w:after="0" w:line="200" w:lineRule="exact"/>
        <w:rPr>
          <w:rFonts w:ascii="Arial" w:cs="Arial" w:eastAsia="Arial" w:hAnsi="Arial"/>
          <w:sz w:val="18"/>
          <w:szCs w:val="18"/>
          <w:u w:val="single" w:color="auto"/>
          <w:color w:val="0000EE"/>
        </w:rPr>
      </w:pPr>
    </w:p>
    <w:p>
      <w:pPr>
        <w:spacing w:after="0" w:line="375" w:lineRule="exact"/>
        <w:rPr>
          <w:rFonts w:ascii="Arial" w:cs="Arial" w:eastAsia="Arial" w:hAnsi="Arial"/>
          <w:sz w:val="18"/>
          <w:szCs w:val="18"/>
          <w:u w:val="single" w:color="auto"/>
          <w:color w:val="0000EE"/>
        </w:rPr>
      </w:pPr>
    </w:p>
    <w:p>
      <w:pPr>
        <w:jc w:val="center"/>
        <w:spacing w:after="0"/>
        <w:rPr>
          <w:sz w:val="20"/>
          <w:szCs w:val="20"/>
          <w:color w:val="auto"/>
        </w:rPr>
      </w:pPr>
      <w:r>
        <w:rPr>
          <w:rFonts w:ascii="Arial" w:cs="Arial" w:eastAsia="Arial" w:hAnsi="Arial"/>
          <w:sz w:val="18"/>
          <w:szCs w:val="18"/>
          <w:color w:val="auto"/>
        </w:rPr>
        <w:t>27</w:t>
      </w:r>
    </w:p>
    <w:p>
      <w:pPr>
        <w:spacing w:after="0" w:line="20" w:lineRule="exact"/>
        <w:rPr>
          <w:rFonts w:ascii="Arial" w:cs="Arial" w:eastAsia="Arial" w:hAnsi="Arial"/>
          <w:sz w:val="18"/>
          <w:szCs w:val="18"/>
          <w:u w:val="single" w:color="auto"/>
          <w:color w:val="0000EE"/>
        </w:rPr>
      </w:pPr>
      <w:r>
        <w:rPr>
          <w:rFonts w:ascii="Arial" w:cs="Arial" w:eastAsia="Arial" w:hAnsi="Arial"/>
          <w:sz w:val="18"/>
          <w:szCs w:val="18"/>
          <w:u w:val="single" w:color="auto"/>
          <w:color w:val="0000EE"/>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553" w:right="339" w:bottom="1440" w:gutter="0" w:footer="0" w:header="0"/>
        </w:sectPr>
      </w:pPr>
    </w:p>
    <w:bookmarkStart w:id="27" w:name="page28"/>
    <w:bookmarkEnd w:id="27"/>
    <w:p>
      <w:pPr>
        <w:jc w:val="center"/>
        <w:ind w:right="-459"/>
        <w:spacing w:after="0"/>
        <w:rPr>
          <w:sz w:val="20"/>
          <w:szCs w:val="20"/>
          <w:color w:val="auto"/>
        </w:rPr>
      </w:pPr>
      <w:r>
        <w:rPr>
          <w:rFonts w:ascii="Arial" w:cs="Arial" w:eastAsia="Arial" w:hAnsi="Arial"/>
          <w:sz w:val="18"/>
          <w:szCs w:val="18"/>
          <w:b w:val="1"/>
          <w:bCs w:val="1"/>
          <w:color w:val="auto"/>
        </w:rPr>
        <w:t>SIGNATURE</w:t>
      </w:r>
    </w:p>
    <w:p>
      <w:pPr>
        <w:spacing w:after="0" w:line="229" w:lineRule="exact"/>
        <w:rPr>
          <w:sz w:val="20"/>
          <w:szCs w:val="20"/>
          <w:color w:val="auto"/>
        </w:rPr>
      </w:pPr>
    </w:p>
    <w:p>
      <w:pPr>
        <w:ind w:firstLine="510"/>
        <w:spacing w:after="0" w:line="277" w:lineRule="auto"/>
        <w:rPr>
          <w:sz w:val="20"/>
          <w:szCs w:val="20"/>
          <w:color w:val="auto"/>
        </w:rPr>
      </w:pPr>
      <w:r>
        <w:rPr>
          <w:rFonts w:ascii="Arial" w:cs="Arial" w:eastAsia="Arial" w:hAnsi="Arial"/>
          <w:sz w:val="18"/>
          <w:szCs w:val="18"/>
          <w:color w:val="auto"/>
        </w:rPr>
        <w:t>Pursuant to the requirements of the Securities Exchange Act of 1934, the registrant has duly caused this report to be signed on its behalf by the undersigned, thereunto duly authorized.</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color w:val="auto"/>
        </w:rPr>
        <w:t>SS&amp;C TECHNOLOGIES HOLDINGS, INC.</w:t>
      </w:r>
    </w:p>
    <w:p>
      <w:pPr>
        <w:spacing w:after="0" w:line="252"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560" w:type="dxa"/>
            <w:vAlign w:val="bottom"/>
          </w:tcPr>
          <w:p>
            <w:pPr>
              <w:spacing w:after="0"/>
              <w:rPr>
                <w:sz w:val="20"/>
                <w:szCs w:val="20"/>
                <w:color w:val="auto"/>
              </w:rPr>
            </w:pPr>
            <w:r>
              <w:rPr>
                <w:rFonts w:ascii="Arial" w:cs="Arial" w:eastAsia="Arial" w:hAnsi="Arial"/>
                <w:sz w:val="18"/>
                <w:szCs w:val="18"/>
                <w:color w:val="auto"/>
              </w:rPr>
              <w:t>By:</w:t>
            </w:r>
          </w:p>
        </w:tc>
        <w:tc>
          <w:tcPr>
            <w:tcW w:w="450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/s/ Patrick J. Pedonti</w:t>
            </w:r>
          </w:p>
        </w:tc>
      </w:tr>
      <w:tr>
        <w:trPr>
          <w:trHeight w:val="195"/>
        </w:trPr>
        <w:tc>
          <w:tcPr>
            <w:tcW w:w="560" w:type="dxa"/>
            <w:vAlign w:val="bottom"/>
          </w:tcPr>
          <w:p>
            <w:pPr>
              <w:spacing w:after="0"/>
              <w:rPr>
                <w:sz w:val="16"/>
                <w:szCs w:val="16"/>
                <w:color w:val="auto"/>
              </w:rPr>
            </w:pPr>
          </w:p>
        </w:tc>
        <w:tc>
          <w:tcPr>
            <w:tcW w:w="4500" w:type="dxa"/>
            <w:vAlign w:val="bottom"/>
          </w:tcPr>
          <w:p>
            <w:pPr>
              <w:spacing w:after="0" w:line="195" w:lineRule="exact"/>
              <w:rPr>
                <w:sz w:val="20"/>
                <w:szCs w:val="20"/>
                <w:color w:val="auto"/>
              </w:rPr>
            </w:pPr>
            <w:r>
              <w:rPr>
                <w:rFonts w:ascii="Arial" w:cs="Arial" w:eastAsia="Arial" w:hAnsi="Arial"/>
                <w:sz w:val="18"/>
                <w:szCs w:val="18"/>
                <w:color w:val="auto"/>
              </w:rPr>
              <w:t>Patrick J. Pedonti</w:t>
            </w:r>
          </w:p>
        </w:tc>
      </w:tr>
      <w:tr>
        <w:trPr>
          <w:trHeight w:val="216"/>
        </w:trPr>
        <w:tc>
          <w:tcPr>
            <w:tcW w:w="560" w:type="dxa"/>
            <w:vAlign w:val="bottom"/>
          </w:tcPr>
          <w:p>
            <w:pPr>
              <w:spacing w:after="0"/>
              <w:rPr>
                <w:sz w:val="18"/>
                <w:szCs w:val="18"/>
                <w:color w:val="auto"/>
              </w:rPr>
            </w:pPr>
          </w:p>
        </w:tc>
        <w:tc>
          <w:tcPr>
            <w:tcW w:w="4500" w:type="dxa"/>
            <w:vAlign w:val="bottom"/>
          </w:tcPr>
          <w:p>
            <w:pPr>
              <w:spacing w:after="0"/>
              <w:rPr>
                <w:sz w:val="20"/>
                <w:szCs w:val="20"/>
                <w:color w:val="auto"/>
              </w:rPr>
            </w:pPr>
            <w:r>
              <w:rPr>
                <w:rFonts w:ascii="Arial" w:cs="Arial" w:eastAsia="Arial" w:hAnsi="Arial"/>
                <w:sz w:val="18"/>
                <w:szCs w:val="18"/>
                <w:color w:val="auto"/>
              </w:rPr>
              <w:t>Senior Vice President and Chief Financial Officer</w:t>
            </w:r>
          </w:p>
        </w:tc>
      </w:tr>
      <w:tr>
        <w:trPr>
          <w:trHeight w:val="216"/>
        </w:trPr>
        <w:tc>
          <w:tcPr>
            <w:tcW w:w="560" w:type="dxa"/>
            <w:vAlign w:val="bottom"/>
          </w:tcPr>
          <w:p>
            <w:pPr>
              <w:spacing w:after="0"/>
              <w:rPr>
                <w:sz w:val="18"/>
                <w:szCs w:val="18"/>
                <w:color w:val="auto"/>
              </w:rPr>
            </w:pPr>
          </w:p>
        </w:tc>
        <w:tc>
          <w:tcPr>
            <w:tcW w:w="4500" w:type="dxa"/>
            <w:vAlign w:val="bottom"/>
          </w:tcPr>
          <w:p>
            <w:pPr>
              <w:spacing w:after="0"/>
              <w:rPr>
                <w:sz w:val="20"/>
                <w:szCs w:val="20"/>
                <w:color w:val="auto"/>
              </w:rPr>
            </w:pPr>
            <w:r>
              <w:rPr>
                <w:rFonts w:ascii="Arial" w:cs="Arial" w:eastAsia="Arial" w:hAnsi="Arial"/>
                <w:sz w:val="18"/>
                <w:szCs w:val="18"/>
                <w:color w:val="auto"/>
                <w:w w:val="94"/>
              </w:rPr>
              <w:t>(Duly Authorized Officer, Principal Financial and Accounting</w:t>
            </w:r>
          </w:p>
        </w:tc>
      </w:tr>
      <w:tr>
        <w:trPr>
          <w:trHeight w:val="230"/>
        </w:trPr>
        <w:tc>
          <w:tcPr>
            <w:tcW w:w="560" w:type="dxa"/>
            <w:vAlign w:val="bottom"/>
          </w:tcPr>
          <w:p>
            <w:pPr>
              <w:spacing w:after="0"/>
              <w:rPr>
                <w:sz w:val="20"/>
                <w:szCs w:val="20"/>
                <w:color w:val="auto"/>
              </w:rPr>
            </w:pPr>
          </w:p>
        </w:tc>
        <w:tc>
          <w:tcPr>
            <w:tcW w:w="4500" w:type="dxa"/>
            <w:vAlign w:val="bottom"/>
          </w:tcPr>
          <w:p>
            <w:pPr>
              <w:spacing w:after="0"/>
              <w:rPr>
                <w:sz w:val="20"/>
                <w:szCs w:val="20"/>
                <w:color w:val="auto"/>
              </w:rPr>
            </w:pPr>
            <w:r>
              <w:rPr>
                <w:rFonts w:ascii="Arial" w:cs="Arial" w:eastAsia="Arial" w:hAnsi="Arial"/>
                <w:sz w:val="18"/>
                <w:szCs w:val="18"/>
                <w:color w:val="auto"/>
              </w:rPr>
              <w:t>Officer)</w:t>
            </w:r>
          </w:p>
        </w:tc>
      </w:tr>
    </w:tbl>
    <w:p>
      <w:pPr>
        <w:spacing w:after="0" w:line="202" w:lineRule="exact"/>
        <w:rPr>
          <w:sz w:val="20"/>
          <w:szCs w:val="20"/>
          <w:color w:val="auto"/>
        </w:rPr>
      </w:pPr>
    </w:p>
    <w:p>
      <w:pPr>
        <w:spacing w:after="0"/>
        <w:rPr>
          <w:sz w:val="20"/>
          <w:szCs w:val="20"/>
          <w:color w:val="auto"/>
        </w:rPr>
      </w:pPr>
      <w:r>
        <w:rPr>
          <w:rFonts w:ascii="Arial" w:cs="Arial" w:eastAsia="Arial" w:hAnsi="Arial"/>
          <w:sz w:val="18"/>
          <w:szCs w:val="18"/>
          <w:color w:val="auto"/>
        </w:rPr>
        <w:t>Date: May 5, 2021</w:t>
      </w:r>
    </w:p>
    <w:p>
      <w:pPr>
        <w:spacing w:after="0" w:line="200" w:lineRule="exact"/>
        <w:rPr>
          <w:sz w:val="20"/>
          <w:szCs w:val="20"/>
          <w:color w:val="auto"/>
        </w:rPr>
      </w:pPr>
    </w:p>
    <w:p>
      <w:pPr>
        <w:spacing w:after="0" w:line="200" w:lineRule="exact"/>
        <w:rPr>
          <w:sz w:val="20"/>
          <w:szCs w:val="20"/>
          <w:color w:val="auto"/>
        </w:rPr>
      </w:pPr>
    </w:p>
    <w:p>
      <w:pPr>
        <w:spacing w:after="0" w:line="230" w:lineRule="exact"/>
        <w:rPr>
          <w:sz w:val="20"/>
          <w:szCs w:val="20"/>
          <w:color w:val="auto"/>
        </w:rPr>
      </w:pPr>
    </w:p>
    <w:p>
      <w:pPr>
        <w:jc w:val="center"/>
        <w:ind w:right="-459"/>
        <w:spacing w:after="0"/>
        <w:rPr>
          <w:sz w:val="20"/>
          <w:szCs w:val="20"/>
          <w:color w:val="auto"/>
        </w:rPr>
      </w:pPr>
      <w:r>
        <w:rPr>
          <w:rFonts w:ascii="Arial" w:cs="Arial" w:eastAsia="Arial" w:hAnsi="Arial"/>
          <w:sz w:val="18"/>
          <w:szCs w:val="18"/>
          <w:color w:val="auto"/>
        </w:rPr>
        <w:t>28</w:t>
      </w:r>
    </w:p>
    <w:p>
      <w:pPr>
        <w:sectPr>
          <w:pgSz w:w="11900" w:h="16838" w:orient="portrait"/>
          <w:cols w:equalWidth="0" w:num="1">
            <w:col w:w="10800"/>
          </w:cols>
          <w:pgMar w:left="320" w:top="553" w:right="779" w:bottom="1440" w:gutter="0" w:footer="0" w:header="0"/>
        </w:sectPr>
      </w:pPr>
    </w:p>
    <w:bookmarkStart w:id="28" w:name="page29"/>
    <w:bookmarkEnd w:id="28"/>
    <w:p>
      <w:pPr>
        <w:jc w:val="right"/>
        <w:spacing w:after="0"/>
        <w:rPr>
          <w:sz w:val="20"/>
          <w:szCs w:val="20"/>
          <w:color w:val="auto"/>
        </w:rPr>
      </w:pPr>
      <w:r>
        <w:rPr>
          <w:rFonts w:ascii="Arial" w:cs="Arial" w:eastAsia="Arial" w:hAnsi="Arial"/>
          <w:sz w:val="18"/>
          <w:szCs w:val="18"/>
          <w:b w:val="1"/>
          <w:bCs w:val="1"/>
          <w:color w:val="auto"/>
        </w:rPr>
        <w:t>Exhibit 10.1</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u w:val="single" w:color="auto"/>
          <w:color w:val="auto"/>
        </w:rPr>
        <w:t>SS&amp;C TECHNOLOGIES HOLDINGS, INC.</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u w:val="single" w:color="auto"/>
          <w:color w:val="auto"/>
        </w:rPr>
        <w:t>AMENDMENT NO. 1 TO AMENDED AND RESTATED EMPLOYMENT AGREEMENT</w:t>
      </w:r>
    </w:p>
    <w:p>
      <w:pPr>
        <w:spacing w:after="0" w:line="200" w:lineRule="exact"/>
        <w:rPr>
          <w:sz w:val="20"/>
          <w:szCs w:val="20"/>
          <w:color w:val="auto"/>
        </w:rPr>
      </w:pPr>
    </w:p>
    <w:p>
      <w:pPr>
        <w:spacing w:after="0" w:line="223" w:lineRule="exact"/>
        <w:rPr>
          <w:sz w:val="20"/>
          <w:szCs w:val="20"/>
          <w:color w:val="auto"/>
        </w:rPr>
      </w:pPr>
    </w:p>
    <w:p>
      <w:pPr>
        <w:jc w:val="both"/>
        <w:ind w:firstLine="749"/>
        <w:spacing w:after="0" w:line="261" w:lineRule="auto"/>
        <w:rPr>
          <w:sz w:val="20"/>
          <w:szCs w:val="20"/>
          <w:color w:val="auto"/>
        </w:rPr>
      </w:pPr>
      <w:r>
        <w:rPr>
          <w:rFonts w:ascii="Arial" w:cs="Arial" w:eastAsia="Arial" w:hAnsi="Arial"/>
          <w:sz w:val="18"/>
          <w:szCs w:val="18"/>
          <w:color w:val="auto"/>
        </w:rPr>
        <w:t>This AMENDMENT NO. 1 TO AMENDED AND RESTATED EMPLOYMENT AGREEMENT (this “</w:t>
      </w:r>
      <w:r>
        <w:rPr>
          <w:rFonts w:ascii="Arial" w:cs="Arial" w:eastAsia="Arial" w:hAnsi="Arial"/>
          <w:sz w:val="18"/>
          <w:szCs w:val="18"/>
          <w:b w:val="1"/>
          <w:bCs w:val="1"/>
          <w:color w:val="auto"/>
        </w:rPr>
        <w:t>Amendment</w:t>
      </w:r>
      <w:r>
        <w:rPr>
          <w:rFonts w:ascii="Arial" w:cs="Arial" w:eastAsia="Arial" w:hAnsi="Arial"/>
          <w:sz w:val="18"/>
          <w:szCs w:val="18"/>
          <w:color w:val="auto"/>
        </w:rPr>
        <w:t>”) is made as of April 1, 2021 (the “</w:t>
      </w:r>
      <w:r>
        <w:rPr>
          <w:rFonts w:ascii="Arial" w:cs="Arial" w:eastAsia="Arial" w:hAnsi="Arial"/>
          <w:sz w:val="18"/>
          <w:szCs w:val="18"/>
          <w:b w:val="1"/>
          <w:bCs w:val="1"/>
          <w:color w:val="auto"/>
        </w:rPr>
        <w:t>Effective Date</w:t>
      </w:r>
      <w:r>
        <w:rPr>
          <w:rFonts w:ascii="Arial" w:cs="Arial" w:eastAsia="Arial" w:hAnsi="Arial"/>
          <w:sz w:val="18"/>
          <w:szCs w:val="18"/>
          <w:color w:val="auto"/>
        </w:rPr>
        <w:t>”) by and among SS&amp;C Technologies Holdings, Inc., a Delaware corporation (together with any successor thereto, the “</w:t>
      </w:r>
      <w:r>
        <w:rPr>
          <w:rFonts w:ascii="Arial" w:cs="Arial" w:eastAsia="Arial" w:hAnsi="Arial"/>
          <w:sz w:val="18"/>
          <w:szCs w:val="18"/>
          <w:b w:val="1"/>
          <w:bCs w:val="1"/>
          <w:color w:val="auto"/>
        </w:rPr>
        <w:t>Company</w:t>
      </w:r>
      <w:r>
        <w:rPr>
          <w:rFonts w:ascii="Arial" w:cs="Arial" w:eastAsia="Arial" w:hAnsi="Arial"/>
          <w:sz w:val="18"/>
          <w:szCs w:val="18"/>
          <w:color w:val="auto"/>
        </w:rPr>
        <w:t>”), SS&amp;C Technologies, Inc. (together with any successor thereto, “</w:t>
      </w:r>
      <w:r>
        <w:rPr>
          <w:rFonts w:ascii="Arial" w:cs="Arial" w:eastAsia="Arial" w:hAnsi="Arial"/>
          <w:sz w:val="18"/>
          <w:szCs w:val="18"/>
          <w:b w:val="1"/>
          <w:bCs w:val="1"/>
          <w:color w:val="auto"/>
        </w:rPr>
        <w:t>SS&amp;C</w:t>
      </w:r>
      <w:r>
        <w:rPr>
          <w:rFonts w:ascii="Arial" w:cs="Arial" w:eastAsia="Arial" w:hAnsi="Arial"/>
          <w:sz w:val="18"/>
          <w:szCs w:val="18"/>
          <w:color w:val="auto"/>
        </w:rPr>
        <w:t>”) and William C. Stone (the “</w:t>
      </w:r>
      <w:r>
        <w:rPr>
          <w:rFonts w:ascii="Arial" w:cs="Arial" w:eastAsia="Arial" w:hAnsi="Arial"/>
          <w:sz w:val="18"/>
          <w:szCs w:val="18"/>
          <w:b w:val="1"/>
          <w:bCs w:val="1"/>
          <w:color w:val="auto"/>
        </w:rPr>
        <w:t>Executive</w:t>
      </w:r>
      <w:r>
        <w:rPr>
          <w:rFonts w:ascii="Arial" w:cs="Arial" w:eastAsia="Arial" w:hAnsi="Arial"/>
          <w:sz w:val="18"/>
          <w:szCs w:val="18"/>
          <w:color w:val="auto"/>
        </w:rPr>
        <w:t>”). Undefined capitalized terms shall have the meanings given to them in the Agreement (as defined below).</w:t>
      </w:r>
    </w:p>
    <w:p>
      <w:pPr>
        <w:spacing w:after="0" w:line="180" w:lineRule="exact"/>
        <w:rPr>
          <w:sz w:val="20"/>
          <w:szCs w:val="20"/>
          <w:color w:val="auto"/>
        </w:rPr>
      </w:pPr>
    </w:p>
    <w:p>
      <w:pPr>
        <w:jc w:val="both"/>
        <w:ind w:firstLine="749"/>
        <w:spacing w:after="0" w:line="312" w:lineRule="auto"/>
        <w:rPr>
          <w:sz w:val="20"/>
          <w:szCs w:val="20"/>
          <w:color w:val="auto"/>
        </w:rPr>
      </w:pPr>
      <w:r>
        <w:rPr>
          <w:rFonts w:ascii="Arial" w:cs="Arial" w:eastAsia="Arial" w:hAnsi="Arial"/>
          <w:sz w:val="17"/>
          <w:szCs w:val="17"/>
          <w:b w:val="1"/>
          <w:bCs w:val="1"/>
          <w:color w:val="auto"/>
        </w:rPr>
        <w:t>WHEREAS</w:t>
      </w:r>
      <w:r>
        <w:rPr>
          <w:rFonts w:ascii="Arial" w:cs="Arial" w:eastAsia="Arial" w:hAnsi="Arial"/>
          <w:sz w:val="17"/>
          <w:szCs w:val="17"/>
          <w:color w:val="auto"/>
        </w:rPr>
        <w:t>, the Company, SS&amp;C and the Executive have entered into that certain Amended and Restated Employment Agreement dated as</w:t>
      </w:r>
      <w:r>
        <w:rPr>
          <w:rFonts w:ascii="Arial" w:cs="Arial" w:eastAsia="Arial" w:hAnsi="Arial"/>
          <w:sz w:val="17"/>
          <w:szCs w:val="17"/>
          <w:b w:val="1"/>
          <w:bCs w:val="1"/>
          <w:color w:val="auto"/>
        </w:rPr>
        <w:t xml:space="preserve"> </w:t>
      </w:r>
      <w:r>
        <w:rPr>
          <w:rFonts w:ascii="Arial" w:cs="Arial" w:eastAsia="Arial" w:hAnsi="Arial"/>
          <w:sz w:val="17"/>
          <w:szCs w:val="17"/>
          <w:color w:val="auto"/>
        </w:rPr>
        <w:t>of March 31, 2015 (the “</w:t>
      </w:r>
      <w:r>
        <w:rPr>
          <w:rFonts w:ascii="Arial" w:cs="Arial" w:eastAsia="Arial" w:hAnsi="Arial"/>
          <w:sz w:val="17"/>
          <w:szCs w:val="17"/>
          <w:b w:val="1"/>
          <w:bCs w:val="1"/>
          <w:color w:val="auto"/>
        </w:rPr>
        <w:t>Agreement</w:t>
      </w:r>
      <w:r>
        <w:rPr>
          <w:rFonts w:ascii="Arial" w:cs="Arial" w:eastAsia="Arial" w:hAnsi="Arial"/>
          <w:sz w:val="17"/>
          <w:szCs w:val="17"/>
          <w:color w:val="auto"/>
        </w:rPr>
        <w:t>”) and have agreed to amend the Agreement as set forth in this Amendment, effective as of the Effective Date.</w:t>
      </w:r>
    </w:p>
    <w:p>
      <w:pPr>
        <w:spacing w:after="0" w:line="140" w:lineRule="exact"/>
        <w:rPr>
          <w:sz w:val="20"/>
          <w:szCs w:val="20"/>
          <w:color w:val="auto"/>
        </w:rPr>
      </w:pPr>
    </w:p>
    <w:p>
      <w:pPr>
        <w:jc w:val="both"/>
        <w:ind w:right="20" w:firstLine="749"/>
        <w:spacing w:after="0" w:line="282" w:lineRule="auto"/>
        <w:rPr>
          <w:sz w:val="20"/>
          <w:szCs w:val="20"/>
          <w:color w:val="auto"/>
        </w:rPr>
      </w:pPr>
      <w:r>
        <w:rPr>
          <w:rFonts w:ascii="Arial" w:cs="Arial" w:eastAsia="Arial" w:hAnsi="Arial"/>
          <w:sz w:val="18"/>
          <w:szCs w:val="18"/>
          <w:b w:val="1"/>
          <w:bCs w:val="1"/>
          <w:color w:val="auto"/>
        </w:rPr>
        <w:t>NOW THEREFORE</w:t>
      </w:r>
      <w:r>
        <w:rPr>
          <w:rFonts w:ascii="Arial" w:cs="Arial" w:eastAsia="Arial" w:hAnsi="Arial"/>
          <w:sz w:val="18"/>
          <w:szCs w:val="18"/>
          <w:color w:val="auto"/>
        </w:rPr>
        <w:t>, for good and valuable consideration, the receipt of which is hereby acknowledged by each of the parties, the Company,</w:t>
      </w:r>
      <w:r>
        <w:rPr>
          <w:rFonts w:ascii="Arial" w:cs="Arial" w:eastAsia="Arial" w:hAnsi="Arial"/>
          <w:sz w:val="18"/>
          <w:szCs w:val="18"/>
          <w:b w:val="1"/>
          <w:bCs w:val="1"/>
          <w:color w:val="auto"/>
        </w:rPr>
        <w:t xml:space="preserve"> </w:t>
      </w:r>
      <w:r>
        <w:rPr>
          <w:rFonts w:ascii="Arial" w:cs="Arial" w:eastAsia="Arial" w:hAnsi="Arial"/>
          <w:sz w:val="18"/>
          <w:szCs w:val="18"/>
          <w:color w:val="auto"/>
        </w:rPr>
        <w:t>SS&amp;C and the Executive hereby agree as follows:</w:t>
      </w:r>
    </w:p>
    <w:p>
      <w:pPr>
        <w:spacing w:after="0" w:line="162" w:lineRule="exact"/>
        <w:rPr>
          <w:sz w:val="20"/>
          <w:szCs w:val="20"/>
          <w:color w:val="auto"/>
        </w:rPr>
      </w:pPr>
    </w:p>
    <w:p>
      <w:pPr>
        <w:ind w:left="740" w:hanging="368"/>
        <w:spacing w:after="0"/>
        <w:tabs>
          <w:tab w:leader="none" w:pos="740" w:val="left"/>
        </w:tabs>
        <w:numPr>
          <w:ilvl w:val="0"/>
          <w:numId w:val="11"/>
        </w:numPr>
        <w:rPr>
          <w:rFonts w:ascii="Arial" w:cs="Arial" w:eastAsia="Arial" w:hAnsi="Arial"/>
          <w:sz w:val="18"/>
          <w:szCs w:val="18"/>
          <w:b w:val="1"/>
          <w:bCs w:val="1"/>
          <w:color w:val="auto"/>
        </w:rPr>
      </w:pPr>
      <w:r>
        <w:rPr>
          <w:rFonts w:ascii="Arial" w:cs="Arial" w:eastAsia="Arial" w:hAnsi="Arial"/>
          <w:sz w:val="18"/>
          <w:szCs w:val="18"/>
          <w:b w:val="1"/>
          <w:bCs w:val="1"/>
          <w:color w:val="auto"/>
        </w:rPr>
        <w:t>AMENDMENTS</w:t>
      </w:r>
    </w:p>
    <w:p>
      <w:pPr>
        <w:spacing w:after="0" w:line="256" w:lineRule="exact"/>
        <w:rPr>
          <w:sz w:val="20"/>
          <w:szCs w:val="20"/>
          <w:color w:val="auto"/>
        </w:rPr>
      </w:pPr>
    </w:p>
    <w:p>
      <w:pPr>
        <w:ind w:left="1140"/>
        <w:spacing w:after="0"/>
        <w:rPr>
          <w:sz w:val="20"/>
          <w:szCs w:val="20"/>
          <w:color w:val="auto"/>
        </w:rPr>
      </w:pPr>
      <w:r>
        <w:rPr>
          <w:rFonts w:ascii="Arial" w:cs="Arial" w:eastAsia="Arial" w:hAnsi="Arial"/>
          <w:sz w:val="18"/>
          <w:szCs w:val="18"/>
          <w:u w:val="single" w:color="auto"/>
          <w:color w:val="auto"/>
        </w:rPr>
        <w:t>Section 10</w:t>
      </w:r>
      <w:r>
        <w:rPr>
          <w:rFonts w:ascii="Arial" w:cs="Arial" w:eastAsia="Arial" w:hAnsi="Arial"/>
          <w:sz w:val="18"/>
          <w:szCs w:val="18"/>
          <w:color w:val="auto"/>
        </w:rPr>
        <w:t xml:space="preserve"> of the Agreement is hereby amended and restated in its entirety as follows:</w:t>
      </w:r>
    </w:p>
    <w:p>
      <w:pPr>
        <w:spacing w:after="0" w:line="225" w:lineRule="exact"/>
        <w:rPr>
          <w:sz w:val="20"/>
          <w:szCs w:val="20"/>
          <w:color w:val="auto"/>
        </w:rPr>
      </w:pPr>
    </w:p>
    <w:p>
      <w:pPr>
        <w:ind w:left="1140" w:right="860" w:hanging="9"/>
        <w:spacing w:after="0" w:line="268" w:lineRule="auto"/>
        <w:tabs>
          <w:tab w:leader="none" w:pos="1410" w:val="left"/>
        </w:tabs>
        <w:numPr>
          <w:ilvl w:val="1"/>
          <w:numId w:val="12"/>
        </w:numPr>
        <w:rPr>
          <w:rFonts w:ascii="Arial" w:cs="Arial" w:eastAsia="Arial" w:hAnsi="Arial"/>
          <w:sz w:val="17"/>
          <w:szCs w:val="17"/>
          <w:color w:val="auto"/>
        </w:rPr>
      </w:pPr>
      <w:r>
        <w:rPr>
          <w:rFonts w:ascii="Arial" w:cs="Arial" w:eastAsia="Arial" w:hAnsi="Arial"/>
          <w:sz w:val="17"/>
          <w:szCs w:val="17"/>
          <w:u w:val="single" w:color="auto"/>
          <w:color w:val="auto"/>
        </w:rPr>
        <w:t>Section 280G</w:t>
      </w:r>
      <w:r>
        <w:rPr>
          <w:rFonts w:ascii="Arial" w:cs="Arial" w:eastAsia="Arial" w:hAnsi="Arial"/>
          <w:sz w:val="17"/>
          <w:szCs w:val="17"/>
          <w:color w:val="auto"/>
        </w:rPr>
        <w:t>. If any amounts payable under this Agreement or under any other agreement, plan or arrangement applicable to the Executive (including, for the avoidance of doubt, the value of any acceleration of vesting of equity awards held by the Executive), either alone or together with any other payments or benefits which the Executive is entitled to receive from the Company or SS&amp;C or any affiliate thereof or otherwise, would constitute an “excess parachute payment” as defined in Section 280G of the Internal Revenue Code of 1986, as amended (the “</w:t>
      </w:r>
      <w:r>
        <w:rPr>
          <w:rFonts w:ascii="Arial" w:cs="Arial" w:eastAsia="Arial" w:hAnsi="Arial"/>
          <w:sz w:val="17"/>
          <w:szCs w:val="17"/>
          <w:u w:val="single" w:color="auto"/>
          <w:color w:val="auto"/>
        </w:rPr>
        <w:t>Code</w:t>
      </w:r>
      <w:r>
        <w:rPr>
          <w:rFonts w:ascii="Arial" w:cs="Arial" w:eastAsia="Arial" w:hAnsi="Arial"/>
          <w:sz w:val="17"/>
          <w:szCs w:val="17"/>
          <w:color w:val="auto"/>
        </w:rPr>
        <w:t>”), such payments shall be reduced to the largest amount (the “</w:t>
      </w:r>
      <w:r>
        <w:rPr>
          <w:rFonts w:ascii="Arial" w:cs="Arial" w:eastAsia="Arial" w:hAnsi="Arial"/>
          <w:sz w:val="17"/>
          <w:szCs w:val="17"/>
          <w:u w:val="single" w:color="auto"/>
          <w:color w:val="auto"/>
        </w:rPr>
        <w:t>Reduced Amount</w:t>
      </w:r>
      <w:r>
        <w:rPr>
          <w:rFonts w:ascii="Arial" w:cs="Arial" w:eastAsia="Arial" w:hAnsi="Arial"/>
          <w:sz w:val="17"/>
          <w:szCs w:val="17"/>
          <w:color w:val="auto"/>
        </w:rPr>
        <w:t xml:space="preserve">”) that will result in no portion of such payments being subject to the excise tax imposed by Section 4999 of the Code; </w:t>
      </w:r>
      <w:r>
        <w:rPr>
          <w:rFonts w:ascii="Arial" w:cs="Arial" w:eastAsia="Arial" w:hAnsi="Arial"/>
          <w:sz w:val="17"/>
          <w:szCs w:val="17"/>
          <w:i w:val="1"/>
          <w:iCs w:val="1"/>
          <w:color w:val="auto"/>
        </w:rPr>
        <w:t>provided</w:t>
      </w:r>
      <w:r>
        <w:rPr>
          <w:rFonts w:ascii="Arial" w:cs="Arial" w:eastAsia="Arial" w:hAnsi="Arial"/>
          <w:sz w:val="17"/>
          <w:szCs w:val="17"/>
          <w:color w:val="auto"/>
        </w:rPr>
        <w:t xml:space="preserve">, </w:t>
      </w:r>
      <w:r>
        <w:rPr>
          <w:rFonts w:ascii="Arial" w:cs="Arial" w:eastAsia="Arial" w:hAnsi="Arial"/>
          <w:sz w:val="17"/>
          <w:szCs w:val="17"/>
          <w:i w:val="1"/>
          <w:iCs w:val="1"/>
          <w:color w:val="auto"/>
        </w:rPr>
        <w:t>however</w:t>
      </w:r>
      <w:r>
        <w:rPr>
          <w:rFonts w:ascii="Arial" w:cs="Arial" w:eastAsia="Arial" w:hAnsi="Arial"/>
          <w:sz w:val="17"/>
          <w:szCs w:val="17"/>
          <w:color w:val="auto"/>
        </w:rPr>
        <w:t>, that if it is determined that the net after-tax amounts the Executive would receive (the “</w:t>
      </w:r>
      <w:r>
        <w:rPr>
          <w:rFonts w:ascii="Arial" w:cs="Arial" w:eastAsia="Arial" w:hAnsi="Arial"/>
          <w:sz w:val="17"/>
          <w:szCs w:val="17"/>
          <w:u w:val="single" w:color="auto"/>
          <w:color w:val="auto"/>
        </w:rPr>
        <w:t>Unreduced Amounts</w:t>
      </w:r>
      <w:r>
        <w:rPr>
          <w:rFonts w:ascii="Arial" w:cs="Arial" w:eastAsia="Arial" w:hAnsi="Arial"/>
          <w:sz w:val="17"/>
          <w:szCs w:val="17"/>
          <w:color w:val="auto"/>
        </w:rPr>
        <w:t>”), after taking into account both income taxes and any excise tax imposed under Section 4999 of the Code is greater than the net after-tax amount of the Reduced Amount, the Executive will instead receive the Unreduced Amounts. Any such reduction in payments and benefits shall be applied first against the latest scheduled cash payments; then current cash payments; then any equity or equity derivatives that are included under Section 280G of the Code at full value rather than accelerated value; then any equity or equity derivatives included under Section 280G of the Code at an accelerated value (and not at full value) shall be reduced with the highest value reduced first (as such values are determined under Treasury Regulation Section 1.280G-1, Q&amp;A 24); finally any other non-cash benefits will be reduced. Any determinations pursuant to this Section 10 shall be made by the Company’s independent accountants and shall be effected in a manner that complies with Section 409A of the Code.</w:t>
      </w:r>
    </w:p>
    <w:p>
      <w:pPr>
        <w:spacing w:after="0" w:line="391" w:lineRule="exact"/>
        <w:rPr>
          <w:rFonts w:ascii="Arial" w:cs="Arial" w:eastAsia="Arial" w:hAnsi="Arial"/>
          <w:sz w:val="17"/>
          <w:szCs w:val="17"/>
          <w:color w:val="auto"/>
        </w:rPr>
      </w:pPr>
    </w:p>
    <w:p>
      <w:pPr>
        <w:ind w:left="740" w:hanging="368"/>
        <w:spacing w:after="0"/>
        <w:tabs>
          <w:tab w:leader="none" w:pos="740" w:val="left"/>
        </w:tabs>
        <w:numPr>
          <w:ilvl w:val="0"/>
          <w:numId w:val="13"/>
        </w:numPr>
        <w:rPr>
          <w:rFonts w:ascii="Arial" w:cs="Arial" w:eastAsia="Arial" w:hAnsi="Arial"/>
          <w:sz w:val="18"/>
          <w:szCs w:val="18"/>
          <w:b w:val="1"/>
          <w:bCs w:val="1"/>
          <w:color w:val="auto"/>
        </w:rPr>
      </w:pPr>
      <w:r>
        <w:rPr>
          <w:rFonts w:ascii="Arial" w:cs="Arial" w:eastAsia="Arial" w:hAnsi="Arial"/>
          <w:sz w:val="18"/>
          <w:szCs w:val="18"/>
          <w:b w:val="1"/>
          <w:bCs w:val="1"/>
          <w:color w:val="auto"/>
        </w:rPr>
        <w:t>EXECUTIVE ACKNOWLEDGEMENT</w:t>
      </w:r>
    </w:p>
    <w:p>
      <w:pPr>
        <w:spacing w:after="0" w:line="256" w:lineRule="exact"/>
        <w:rPr>
          <w:sz w:val="20"/>
          <w:szCs w:val="20"/>
          <w:color w:val="auto"/>
        </w:rPr>
      </w:pPr>
    </w:p>
    <w:p>
      <w:pPr>
        <w:ind w:left="1140"/>
        <w:spacing w:after="0" w:line="277" w:lineRule="auto"/>
        <w:rPr>
          <w:sz w:val="20"/>
          <w:szCs w:val="20"/>
          <w:color w:val="auto"/>
        </w:rPr>
      </w:pPr>
      <w:r>
        <w:rPr>
          <w:rFonts w:ascii="Arial" w:cs="Arial" w:eastAsia="Arial" w:hAnsi="Arial"/>
          <w:sz w:val="18"/>
          <w:szCs w:val="18"/>
          <w:color w:val="auto"/>
        </w:rPr>
        <w:t>Executive hereby acknowledges and agrees that the amendment of the Agreement set forth as Section 1 of this Amendment will not constitute “Good Reason” under the terms of the Agreement.</w:t>
      </w:r>
    </w:p>
    <w:p>
      <w:pPr>
        <w:spacing w:after="0" w:line="166" w:lineRule="exact"/>
        <w:rPr>
          <w:sz w:val="20"/>
          <w:szCs w:val="20"/>
          <w:color w:val="auto"/>
        </w:rPr>
      </w:pPr>
    </w:p>
    <w:p>
      <w:pPr>
        <w:ind w:left="740" w:hanging="368"/>
        <w:spacing w:after="0"/>
        <w:tabs>
          <w:tab w:leader="none" w:pos="740" w:val="left"/>
        </w:tabs>
        <w:numPr>
          <w:ilvl w:val="0"/>
          <w:numId w:val="14"/>
        </w:numPr>
        <w:rPr>
          <w:rFonts w:ascii="Arial" w:cs="Arial" w:eastAsia="Arial" w:hAnsi="Arial"/>
          <w:sz w:val="18"/>
          <w:szCs w:val="18"/>
          <w:b w:val="1"/>
          <w:bCs w:val="1"/>
          <w:color w:val="auto"/>
        </w:rPr>
      </w:pPr>
      <w:r>
        <w:rPr>
          <w:rFonts w:ascii="Arial" w:cs="Arial" w:eastAsia="Arial" w:hAnsi="Arial"/>
          <w:sz w:val="18"/>
          <w:szCs w:val="18"/>
          <w:b w:val="1"/>
          <w:bCs w:val="1"/>
          <w:color w:val="auto"/>
        </w:rPr>
        <w:t>EFFECTIVENESS OF AMENDMENT</w:t>
      </w:r>
    </w:p>
    <w:p>
      <w:pPr>
        <w:spacing w:after="0" w:line="256" w:lineRule="exact"/>
        <w:rPr>
          <w:sz w:val="20"/>
          <w:szCs w:val="20"/>
          <w:color w:val="auto"/>
        </w:rPr>
      </w:pPr>
    </w:p>
    <w:p>
      <w:pPr>
        <w:ind w:left="1140" w:right="20"/>
        <w:spacing w:after="0" w:line="277" w:lineRule="auto"/>
        <w:rPr>
          <w:sz w:val="20"/>
          <w:szCs w:val="20"/>
          <w:color w:val="auto"/>
        </w:rPr>
      </w:pPr>
      <w:r>
        <w:rPr>
          <w:rFonts w:ascii="Arial" w:cs="Arial" w:eastAsia="Arial" w:hAnsi="Arial"/>
          <w:sz w:val="18"/>
          <w:szCs w:val="18"/>
          <w:color w:val="auto"/>
        </w:rPr>
        <w:t>This Amendment will become effective on the Effective Date. Except as amended by the terms of this Amendment, the Agreement will remain in full force and effect in accordance with its terms.</w:t>
      </w:r>
    </w:p>
    <w:p>
      <w:pPr>
        <w:spacing w:after="0" w:line="17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Remainder of Page Left Intentionally Blank</w:t>
      </w:r>
      <w:r>
        <w:rPr>
          <w:rFonts w:ascii="Arial" w:cs="Arial" w:eastAsia="Arial" w:hAnsi="Arial"/>
          <w:sz w:val="18"/>
          <w:szCs w:val="18"/>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567690</wp:posOffset>
            </wp:positionV>
            <wp:extent cx="7174865" cy="42545"/>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7174865" cy="42545"/>
                    </a:xfrm>
                    <a:prstGeom prst="rect">
                      <a:avLst/>
                    </a:prstGeom>
                    <a:noFill/>
                  </pic:spPr>
                </pic:pic>
              </a:graphicData>
            </a:graphic>
          </wp:anchor>
        </w:drawing>
      </w:r>
    </w:p>
    <w:p>
      <w:pPr>
        <w:sectPr>
          <w:pgSz w:w="11900" w:h="16838" w:orient="portrait"/>
          <w:cols w:equalWidth="0" w:num="1">
            <w:col w:w="11240"/>
          </w:cols>
          <w:pgMar w:left="320" w:top="337" w:right="339" w:bottom="1440" w:gutter="0" w:footer="0" w:header="0"/>
        </w:sectPr>
      </w:pPr>
    </w:p>
    <w:bookmarkStart w:id="29" w:name="page30"/>
    <w:bookmarkEnd w:id="29"/>
    <w:p>
      <w:pPr>
        <w:jc w:val="right"/>
        <w:spacing w:after="0"/>
        <w:rPr>
          <w:sz w:val="20"/>
          <w:szCs w:val="20"/>
          <w:color w:val="auto"/>
        </w:rPr>
      </w:pPr>
      <w:r>
        <w:rPr>
          <w:rFonts w:ascii="Arial" w:cs="Arial" w:eastAsia="Arial" w:hAnsi="Arial"/>
          <w:sz w:val="18"/>
          <w:szCs w:val="18"/>
          <w:color w:val="auto"/>
        </w:rPr>
        <w:t>IN WITNESS WHEREOF, the parties hereto have duly executed this Amendment No. 1 to Employment Agreement as of the date</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first written above.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5" w:lineRule="exact"/>
        <w:rPr>
          <w:sz w:val="20"/>
          <w:szCs w:val="20"/>
          <w:color w:val="auto"/>
        </w:rPr>
      </w:pPr>
    </w:p>
    <w:p>
      <w:pPr>
        <w:ind w:left="1660"/>
        <w:spacing w:after="0"/>
        <w:rPr>
          <w:sz w:val="20"/>
          <w:szCs w:val="20"/>
          <w:color w:val="auto"/>
        </w:rPr>
      </w:pPr>
      <w:r>
        <w:rPr>
          <w:rFonts w:ascii="Arial" w:cs="Arial" w:eastAsia="Arial" w:hAnsi="Arial"/>
          <w:sz w:val="18"/>
          <w:szCs w:val="18"/>
          <w:color w:val="auto"/>
        </w:rPr>
        <w:t>SS&amp;C TECHNOLOGIES HOLDINGS, INC.</w:t>
      </w:r>
    </w:p>
    <w:p>
      <w:pPr>
        <w:spacing w:after="0" w:line="200" w:lineRule="exact"/>
        <w:rPr>
          <w:sz w:val="20"/>
          <w:szCs w:val="20"/>
          <w:color w:val="auto"/>
        </w:rPr>
      </w:pPr>
    </w:p>
    <w:p>
      <w:pPr>
        <w:spacing w:after="0" w:line="241" w:lineRule="exact"/>
        <w:rPr>
          <w:sz w:val="20"/>
          <w:szCs w:val="20"/>
          <w:color w:val="auto"/>
        </w:rPr>
      </w:pPr>
    </w:p>
    <w:p>
      <w:pPr>
        <w:ind w:left="1660"/>
        <w:spacing w:after="0"/>
        <w:rPr>
          <w:sz w:val="20"/>
          <w:szCs w:val="20"/>
          <w:color w:val="auto"/>
        </w:rPr>
      </w:pPr>
      <w:r>
        <w:rPr>
          <w:rFonts w:ascii="Arial" w:cs="Arial" w:eastAsia="Arial" w:hAnsi="Arial"/>
          <w:sz w:val="18"/>
          <w:szCs w:val="18"/>
          <w:color w:val="auto"/>
        </w:rPr>
        <w:t>By:_</w:t>
      </w:r>
      <w:r>
        <w:rPr>
          <w:rFonts w:ascii="Arial" w:cs="Arial" w:eastAsia="Arial" w:hAnsi="Arial"/>
          <w:sz w:val="18"/>
          <w:szCs w:val="18"/>
          <w:u w:val="single" w:color="auto"/>
          <w:color w:val="auto"/>
        </w:rPr>
        <w:t>/s/ Rahul Kanwar</w:t>
      </w:r>
      <w:r>
        <w:rPr>
          <w:rFonts w:ascii="Arial" w:cs="Arial" w:eastAsia="Arial" w:hAnsi="Arial"/>
          <w:sz w:val="18"/>
          <w:szCs w:val="18"/>
          <w:color w:val="auto"/>
        </w:rPr>
        <w:t>________________</w:t>
      </w:r>
    </w:p>
    <w:p>
      <w:pPr>
        <w:spacing w:after="0" w:line="23" w:lineRule="exact"/>
        <w:rPr>
          <w:sz w:val="20"/>
          <w:szCs w:val="20"/>
          <w:color w:val="auto"/>
        </w:rPr>
      </w:pPr>
    </w:p>
    <w:p>
      <w:pPr>
        <w:ind w:left="1660"/>
        <w:spacing w:after="0"/>
        <w:rPr>
          <w:sz w:val="20"/>
          <w:szCs w:val="20"/>
          <w:color w:val="auto"/>
        </w:rPr>
      </w:pPr>
      <w:r>
        <w:rPr>
          <w:rFonts w:ascii="Arial" w:cs="Arial" w:eastAsia="Arial" w:hAnsi="Arial"/>
          <w:sz w:val="18"/>
          <w:szCs w:val="18"/>
          <w:color w:val="auto"/>
        </w:rPr>
        <w:t>Name: Rahul Kanwar</w:t>
      </w:r>
    </w:p>
    <w:p>
      <w:pPr>
        <w:spacing w:after="0" w:line="9" w:lineRule="exact"/>
        <w:rPr>
          <w:sz w:val="20"/>
          <w:szCs w:val="20"/>
          <w:color w:val="auto"/>
        </w:rPr>
      </w:pPr>
    </w:p>
    <w:p>
      <w:pPr>
        <w:ind w:left="1660"/>
        <w:spacing w:after="0"/>
        <w:rPr>
          <w:sz w:val="20"/>
          <w:szCs w:val="20"/>
          <w:color w:val="auto"/>
        </w:rPr>
      </w:pPr>
      <w:r>
        <w:rPr>
          <w:rFonts w:ascii="Arial" w:cs="Arial" w:eastAsia="Arial" w:hAnsi="Arial"/>
          <w:sz w:val="18"/>
          <w:szCs w:val="18"/>
          <w:color w:val="auto"/>
        </w:rPr>
        <w:t>Title:President &amp; Chief Operating Officer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1" w:lineRule="exact"/>
        <w:rPr>
          <w:sz w:val="20"/>
          <w:szCs w:val="20"/>
          <w:color w:val="auto"/>
        </w:rPr>
      </w:pPr>
    </w:p>
    <w:p>
      <w:pPr>
        <w:ind w:left="1660"/>
        <w:spacing w:after="0"/>
        <w:rPr>
          <w:sz w:val="20"/>
          <w:szCs w:val="20"/>
          <w:color w:val="auto"/>
        </w:rPr>
      </w:pPr>
      <w:r>
        <w:rPr>
          <w:rFonts w:ascii="Arial" w:cs="Arial" w:eastAsia="Arial" w:hAnsi="Arial"/>
          <w:sz w:val="18"/>
          <w:szCs w:val="18"/>
          <w:color w:val="auto"/>
        </w:rPr>
        <w:t>SS&amp;C TECHNOLOGIES, INC.</w:t>
      </w:r>
    </w:p>
    <w:p>
      <w:pPr>
        <w:spacing w:after="0" w:line="200" w:lineRule="exact"/>
        <w:rPr>
          <w:sz w:val="20"/>
          <w:szCs w:val="20"/>
          <w:color w:val="auto"/>
        </w:rPr>
      </w:pPr>
    </w:p>
    <w:p>
      <w:pPr>
        <w:spacing w:after="0" w:line="200" w:lineRule="exact"/>
        <w:rPr>
          <w:sz w:val="20"/>
          <w:szCs w:val="20"/>
          <w:color w:val="auto"/>
        </w:rPr>
      </w:pPr>
    </w:p>
    <w:p>
      <w:pPr>
        <w:spacing w:after="0" w:line="257" w:lineRule="exact"/>
        <w:rPr>
          <w:sz w:val="20"/>
          <w:szCs w:val="20"/>
          <w:color w:val="auto"/>
        </w:rPr>
      </w:pPr>
    </w:p>
    <w:p>
      <w:pPr>
        <w:ind w:left="1660"/>
        <w:spacing w:after="0"/>
        <w:rPr>
          <w:sz w:val="20"/>
          <w:szCs w:val="20"/>
          <w:color w:val="auto"/>
        </w:rPr>
      </w:pPr>
      <w:r>
        <w:rPr>
          <w:rFonts w:ascii="Arial" w:cs="Arial" w:eastAsia="Arial" w:hAnsi="Arial"/>
          <w:sz w:val="18"/>
          <w:szCs w:val="18"/>
          <w:color w:val="auto"/>
        </w:rPr>
        <w:t>By:_</w:t>
      </w:r>
      <w:r>
        <w:rPr>
          <w:rFonts w:ascii="Arial" w:cs="Arial" w:eastAsia="Arial" w:hAnsi="Arial"/>
          <w:sz w:val="18"/>
          <w:szCs w:val="18"/>
          <w:u w:val="single" w:color="auto"/>
          <w:color w:val="auto"/>
        </w:rPr>
        <w:t>/s/ Rahul Kanwar</w:t>
      </w:r>
      <w:r>
        <w:rPr>
          <w:rFonts w:ascii="Arial" w:cs="Arial" w:eastAsia="Arial" w:hAnsi="Arial"/>
          <w:sz w:val="18"/>
          <w:szCs w:val="18"/>
          <w:color w:val="auto"/>
        </w:rPr>
        <w:t>________________</w:t>
      </w:r>
    </w:p>
    <w:p>
      <w:pPr>
        <w:spacing w:after="0" w:line="23" w:lineRule="exact"/>
        <w:rPr>
          <w:sz w:val="20"/>
          <w:szCs w:val="20"/>
          <w:color w:val="auto"/>
        </w:rPr>
      </w:pPr>
    </w:p>
    <w:p>
      <w:pPr>
        <w:ind w:left="1660"/>
        <w:spacing w:after="0"/>
        <w:rPr>
          <w:sz w:val="20"/>
          <w:szCs w:val="20"/>
          <w:color w:val="auto"/>
        </w:rPr>
      </w:pPr>
      <w:r>
        <w:rPr>
          <w:rFonts w:ascii="Arial" w:cs="Arial" w:eastAsia="Arial" w:hAnsi="Arial"/>
          <w:sz w:val="18"/>
          <w:szCs w:val="18"/>
          <w:color w:val="auto"/>
        </w:rPr>
        <w:t>Name: Rahul Kanwar</w:t>
      </w:r>
    </w:p>
    <w:p>
      <w:pPr>
        <w:spacing w:after="0" w:line="9" w:lineRule="exact"/>
        <w:rPr>
          <w:sz w:val="20"/>
          <w:szCs w:val="20"/>
          <w:color w:val="auto"/>
        </w:rPr>
      </w:pPr>
    </w:p>
    <w:p>
      <w:pPr>
        <w:ind w:left="1660"/>
        <w:spacing w:after="0"/>
        <w:rPr>
          <w:sz w:val="20"/>
          <w:szCs w:val="20"/>
          <w:color w:val="auto"/>
        </w:rPr>
      </w:pPr>
      <w:r>
        <w:rPr>
          <w:rFonts w:ascii="Arial" w:cs="Arial" w:eastAsia="Arial" w:hAnsi="Arial"/>
          <w:sz w:val="18"/>
          <w:szCs w:val="18"/>
          <w:color w:val="auto"/>
        </w:rPr>
        <w:t>Title:President &amp; Chief Operating Officer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9" w:lineRule="exact"/>
        <w:rPr>
          <w:sz w:val="20"/>
          <w:szCs w:val="20"/>
          <w:color w:val="auto"/>
        </w:rPr>
      </w:pPr>
    </w:p>
    <w:p>
      <w:pPr>
        <w:ind w:left="1660"/>
        <w:spacing w:after="0"/>
        <w:rPr>
          <w:sz w:val="20"/>
          <w:szCs w:val="20"/>
          <w:color w:val="auto"/>
        </w:rPr>
      </w:pPr>
      <w:r>
        <w:rPr>
          <w:rFonts w:ascii="Arial" w:cs="Arial" w:eastAsia="Arial" w:hAnsi="Arial"/>
          <w:sz w:val="18"/>
          <w:szCs w:val="18"/>
          <w:color w:val="auto"/>
        </w:rPr>
        <w:t>WILLIAM C. STONE</w:t>
      </w:r>
    </w:p>
    <w:p>
      <w:pPr>
        <w:spacing w:after="0" w:line="200" w:lineRule="exact"/>
        <w:rPr>
          <w:sz w:val="20"/>
          <w:szCs w:val="20"/>
          <w:color w:val="auto"/>
        </w:rPr>
      </w:pPr>
    </w:p>
    <w:p>
      <w:pPr>
        <w:spacing w:after="0" w:line="241" w:lineRule="exact"/>
        <w:rPr>
          <w:sz w:val="20"/>
          <w:szCs w:val="20"/>
          <w:color w:val="auto"/>
        </w:rPr>
      </w:pPr>
    </w:p>
    <w:p>
      <w:pPr>
        <w:ind w:left="1660"/>
        <w:spacing w:after="0"/>
        <w:rPr>
          <w:sz w:val="20"/>
          <w:szCs w:val="20"/>
          <w:color w:val="auto"/>
        </w:rPr>
      </w:pPr>
      <w:r>
        <w:rPr>
          <w:rFonts w:ascii="Arial" w:cs="Arial" w:eastAsia="Arial" w:hAnsi="Arial"/>
          <w:sz w:val="18"/>
          <w:szCs w:val="18"/>
          <w:u w:val="single" w:color="auto"/>
          <w:color w:val="auto"/>
        </w:rPr>
        <w:t>/s/ William C. Stone</w:t>
      </w:r>
    </w:p>
    <w:p>
      <w:pPr>
        <w:sectPr>
          <w:pgSz w:w="11900" w:h="16838" w:orient="portrait"/>
          <w:cols w:equalWidth="0" w:num="1">
            <w:col w:w="11240"/>
          </w:cols>
          <w:pgMar w:left="320" w:top="1421" w:right="339" w:bottom="1440" w:gutter="0" w:footer="0" w:header="0"/>
        </w:sectPr>
      </w:pPr>
    </w:p>
    <w:bookmarkStart w:id="30" w:name="page31"/>
    <w:bookmarkEnd w:id="30"/>
    <w:p>
      <w:pPr>
        <w:ind w:left="10320"/>
        <w:spacing w:after="0"/>
        <w:rPr>
          <w:sz w:val="20"/>
          <w:szCs w:val="20"/>
          <w:color w:val="auto"/>
        </w:rPr>
      </w:pPr>
      <w:r>
        <w:rPr>
          <w:rFonts w:ascii="Arial" w:cs="Arial" w:eastAsia="Arial" w:hAnsi="Arial"/>
          <w:sz w:val="16"/>
          <w:szCs w:val="16"/>
          <w:b w:val="1"/>
          <w:bCs w:val="1"/>
          <w:color w:val="auto"/>
        </w:rPr>
        <w:t>Exhibit 10.2</w:t>
      </w:r>
    </w:p>
    <w:p>
      <w:pPr>
        <w:spacing w:after="0" w:line="248"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SECOND AMENDED AND RESTATED 2014 STOCK INCENTIVE PLAN OF SS&amp;C TECHNOLOGIES HOLDINGS, INC.</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PERFORMANCE STOCK OPTION AGREEMENT</w:t>
      </w:r>
    </w:p>
    <w:p>
      <w:pPr>
        <w:spacing w:after="0" w:line="337" w:lineRule="exact"/>
        <w:rPr>
          <w:sz w:val="20"/>
          <w:szCs w:val="20"/>
          <w:color w:val="auto"/>
        </w:rPr>
      </w:pPr>
    </w:p>
    <w:p>
      <w:pPr>
        <w:ind w:left="160" w:hanging="152"/>
        <w:spacing w:after="0"/>
        <w:tabs>
          <w:tab w:leader="none" w:pos="160" w:val="left"/>
        </w:tabs>
        <w:numPr>
          <w:ilvl w:val="0"/>
          <w:numId w:val="15"/>
        </w:numPr>
        <w:rPr>
          <w:rFonts w:ascii="Arial" w:cs="Arial" w:eastAsia="Arial" w:hAnsi="Arial"/>
          <w:sz w:val="18"/>
          <w:szCs w:val="18"/>
          <w:color w:val="auto"/>
        </w:rPr>
      </w:pPr>
      <w:r>
        <w:rPr>
          <w:rFonts w:ascii="Arial" w:cs="Arial" w:eastAsia="Arial" w:hAnsi="Arial"/>
          <w:sz w:val="18"/>
          <w:szCs w:val="18"/>
          <w:u w:val="single" w:color="auto"/>
          <w:color w:val="auto"/>
        </w:rPr>
        <w:t>Grant of Option</w:t>
      </w:r>
      <w:r>
        <w:rPr>
          <w:rFonts w:ascii="Arial" w:cs="Arial" w:eastAsia="Arial" w:hAnsi="Arial"/>
          <w:sz w:val="18"/>
          <w:szCs w:val="18"/>
          <w:color w:val="auto"/>
        </w:rPr>
        <w:t>.</w:t>
      </w:r>
    </w:p>
    <w:p>
      <w:pPr>
        <w:spacing w:after="0" w:line="333" w:lineRule="exact"/>
        <w:rPr>
          <w:sz w:val="20"/>
          <w:szCs w:val="20"/>
          <w:color w:val="auto"/>
        </w:rPr>
      </w:pPr>
    </w:p>
    <w:p>
      <w:pPr>
        <w:ind w:right="180" w:firstLine="749"/>
        <w:spacing w:after="0" w:line="263" w:lineRule="auto"/>
        <w:rPr>
          <w:sz w:val="20"/>
          <w:szCs w:val="20"/>
          <w:color w:val="auto"/>
        </w:rPr>
      </w:pPr>
      <w:r>
        <w:rPr>
          <w:rFonts w:ascii="Arial" w:cs="Arial" w:eastAsia="Arial" w:hAnsi="Arial"/>
          <w:sz w:val="18"/>
          <w:szCs w:val="18"/>
          <w:color w:val="auto"/>
        </w:rPr>
        <w:t>This agreement evidences the grant by the Company on the Grant Date to the Participant, of an option to purchase, in whole or in part, on the terms provided herein and in the Plan, an aggregate of the Shares set forth in the Stock Option Grant Notice at an Exercise Price per Share set forth in the Stock Option Grant Notice (without commission or other charge).</w:t>
      </w:r>
    </w:p>
    <w:p>
      <w:pPr>
        <w:spacing w:after="0" w:line="184" w:lineRule="exact"/>
        <w:rPr>
          <w:sz w:val="20"/>
          <w:szCs w:val="20"/>
          <w:color w:val="auto"/>
        </w:rPr>
      </w:pPr>
    </w:p>
    <w:p>
      <w:pPr>
        <w:ind w:right="20" w:firstLine="749"/>
        <w:spacing w:after="0" w:line="259" w:lineRule="auto"/>
        <w:rPr>
          <w:sz w:val="20"/>
          <w:szCs w:val="20"/>
          <w:color w:val="auto"/>
        </w:rPr>
      </w:pPr>
      <w:r>
        <w:rPr>
          <w:rFonts w:ascii="Arial" w:cs="Arial" w:eastAsia="Arial" w:hAnsi="Arial"/>
          <w:sz w:val="18"/>
          <w:szCs w:val="18"/>
          <w:color w:val="auto"/>
        </w:rPr>
        <w:t>It is intended that the option (“Option”) evidenced by this agreement shall not be an incentive stock option (“Incentive Stock Option”) as defined in Section 422 of the Internal Revenue Code of 1986, as amended, and any regulations promulgated thereunder (the “Code”). Except as otherwise indicated by the context, the term “Participant,” as used in this Option, shall be deemed to include any person who acquires the right to exercise this Option validly under its terms.</w:t>
      </w:r>
    </w:p>
    <w:p>
      <w:pPr>
        <w:spacing w:after="0" w:line="200" w:lineRule="exact"/>
        <w:rPr>
          <w:sz w:val="20"/>
          <w:szCs w:val="20"/>
          <w:color w:val="auto"/>
        </w:rPr>
      </w:pPr>
    </w:p>
    <w:p>
      <w:pPr>
        <w:spacing w:after="0" w:line="203" w:lineRule="exact"/>
        <w:rPr>
          <w:sz w:val="20"/>
          <w:szCs w:val="20"/>
          <w:color w:val="auto"/>
        </w:rPr>
      </w:pPr>
    </w:p>
    <w:p>
      <w:pPr>
        <w:ind w:left="160" w:hanging="152"/>
        <w:spacing w:after="0"/>
        <w:tabs>
          <w:tab w:leader="none" w:pos="160" w:val="left"/>
        </w:tabs>
        <w:numPr>
          <w:ilvl w:val="0"/>
          <w:numId w:val="16"/>
        </w:numPr>
        <w:rPr>
          <w:rFonts w:ascii="Arial" w:cs="Arial" w:eastAsia="Arial" w:hAnsi="Arial"/>
          <w:sz w:val="18"/>
          <w:szCs w:val="18"/>
          <w:color w:val="auto"/>
        </w:rPr>
      </w:pPr>
      <w:r>
        <w:rPr>
          <w:rFonts w:ascii="Arial" w:cs="Arial" w:eastAsia="Arial" w:hAnsi="Arial"/>
          <w:sz w:val="18"/>
          <w:szCs w:val="18"/>
          <w:u w:val="single" w:color="auto"/>
          <w:color w:val="auto"/>
        </w:rPr>
        <w:t>Vesting Schedule and Terms</w:t>
      </w:r>
      <w:r>
        <w:rPr>
          <w:rFonts w:ascii="Arial" w:cs="Arial" w:eastAsia="Arial" w:hAnsi="Arial"/>
          <w:sz w:val="18"/>
          <w:szCs w:val="18"/>
          <w:color w:val="auto"/>
        </w:rPr>
        <w:t>.</w:t>
      </w:r>
    </w:p>
    <w:p>
      <w:pPr>
        <w:spacing w:after="0" w:line="200" w:lineRule="exact"/>
        <w:rPr>
          <w:rFonts w:ascii="Arial" w:cs="Arial" w:eastAsia="Arial" w:hAnsi="Arial"/>
          <w:sz w:val="18"/>
          <w:szCs w:val="18"/>
          <w:color w:val="auto"/>
        </w:rPr>
      </w:pPr>
    </w:p>
    <w:p>
      <w:pPr>
        <w:spacing w:after="0" w:line="241" w:lineRule="exact"/>
        <w:rPr>
          <w:rFonts w:ascii="Arial" w:cs="Arial" w:eastAsia="Arial" w:hAnsi="Arial"/>
          <w:sz w:val="18"/>
          <w:szCs w:val="18"/>
          <w:color w:val="auto"/>
        </w:rPr>
      </w:pPr>
    </w:p>
    <w:p>
      <w:pPr>
        <w:ind w:right="60" w:firstLine="757"/>
        <w:spacing w:after="0" w:line="279" w:lineRule="auto"/>
        <w:tabs>
          <w:tab w:leader="none" w:pos="994" w:val="left"/>
        </w:tabs>
        <w:numPr>
          <w:ilvl w:val="1"/>
          <w:numId w:val="16"/>
        </w:numPr>
        <w:rPr>
          <w:rFonts w:ascii="Arial" w:cs="Arial" w:eastAsia="Arial" w:hAnsi="Arial"/>
          <w:sz w:val="17"/>
          <w:szCs w:val="17"/>
          <w:color w:val="auto"/>
        </w:rPr>
      </w:pPr>
      <w:r>
        <w:rPr>
          <w:rFonts w:ascii="Arial" w:cs="Arial" w:eastAsia="Arial" w:hAnsi="Arial"/>
          <w:sz w:val="17"/>
          <w:szCs w:val="17"/>
          <w:color w:val="auto"/>
        </w:rPr>
        <w:t xml:space="preserve">This Option will become exercisable (“vest”) in accordance with the vesting schedule and terms set forth in the Performance Stock Option Grant Notice, subject to (i) the terms and conditions of this Agreement (including the satisfaction of the Performance Condition set forth on </w:t>
      </w:r>
      <w:r>
        <w:rPr>
          <w:rFonts w:ascii="Arial" w:cs="Arial" w:eastAsia="Arial" w:hAnsi="Arial"/>
          <w:sz w:val="17"/>
          <w:szCs w:val="17"/>
          <w:u w:val="single" w:color="auto"/>
          <w:color w:val="auto"/>
        </w:rPr>
        <w:t>Exhibit A</w:t>
      </w:r>
      <w:r>
        <w:rPr>
          <w:rFonts w:ascii="Arial" w:cs="Arial" w:eastAsia="Arial" w:hAnsi="Arial"/>
          <w:sz w:val="17"/>
          <w:szCs w:val="17"/>
          <w:color w:val="auto"/>
        </w:rPr>
        <w:t>) and (ii) the Participant’s continuous service with the Company through the Vesting Date. For the avoidance of doubt, if the Grantee experiences a Termination of Service prior to the Vesting Date, subject to Section 2(b), all of the Options will be forfeited without consideration.</w:t>
      </w:r>
    </w:p>
    <w:p>
      <w:pPr>
        <w:spacing w:after="0" w:line="171" w:lineRule="exact"/>
        <w:rPr>
          <w:rFonts w:ascii="Arial" w:cs="Arial" w:eastAsia="Arial" w:hAnsi="Arial"/>
          <w:sz w:val="17"/>
          <w:szCs w:val="17"/>
          <w:color w:val="auto"/>
        </w:rPr>
      </w:pPr>
    </w:p>
    <w:p>
      <w:pPr>
        <w:ind w:right="20" w:firstLine="757"/>
        <w:spacing w:after="0" w:line="293" w:lineRule="auto"/>
        <w:tabs>
          <w:tab w:leader="none" w:pos="1004" w:val="left"/>
        </w:tabs>
        <w:numPr>
          <w:ilvl w:val="1"/>
          <w:numId w:val="16"/>
        </w:numPr>
        <w:rPr>
          <w:rFonts w:ascii="Arial" w:cs="Arial" w:eastAsia="Arial" w:hAnsi="Arial"/>
          <w:sz w:val="16"/>
          <w:szCs w:val="16"/>
          <w:color w:val="auto"/>
        </w:rPr>
      </w:pPr>
      <w:r>
        <w:rPr>
          <w:rFonts w:ascii="Arial" w:cs="Arial" w:eastAsia="Arial" w:hAnsi="Arial"/>
          <w:sz w:val="16"/>
          <w:szCs w:val="16"/>
          <w:color w:val="auto"/>
        </w:rPr>
        <w:t>Notwithstanding any provision of this Agreement or the Plan to the contrary, upon the occurrence of a Change in Control, (i) the Performance Conditions shall be determined based on the greater of (x) target and (y) actual performance through the date such Change in Control occurs, as determined by the Committee in its sole discretion and (ii) the Options shall convert into time-based stock options (the “</w:t>
      </w:r>
      <w:r>
        <w:rPr>
          <w:rFonts w:ascii="Arial" w:cs="Arial" w:eastAsia="Arial" w:hAnsi="Arial"/>
          <w:sz w:val="16"/>
          <w:szCs w:val="16"/>
          <w:b w:val="1"/>
          <w:bCs w:val="1"/>
          <w:color w:val="auto"/>
        </w:rPr>
        <w:t>Time-Based Options</w:t>
      </w:r>
      <w:r>
        <w:rPr>
          <w:rFonts w:ascii="Arial" w:cs="Arial" w:eastAsia="Arial" w:hAnsi="Arial"/>
          <w:sz w:val="16"/>
          <w:szCs w:val="16"/>
          <w:color w:val="auto"/>
        </w:rPr>
        <w:t xml:space="preserve">”) with respect to the number of Options that are earned pursuant to subclause (i) and will be eligible to vest, subject to the Participant’s continuous service through the Vesting Date; </w:t>
      </w:r>
      <w:r>
        <w:rPr>
          <w:rFonts w:ascii="Arial" w:cs="Arial" w:eastAsia="Arial" w:hAnsi="Arial"/>
          <w:sz w:val="16"/>
          <w:szCs w:val="16"/>
          <w:i w:val="1"/>
          <w:iCs w:val="1"/>
          <w:color w:val="auto"/>
        </w:rPr>
        <w:t>provided however</w:t>
      </w:r>
      <w:r>
        <w:rPr>
          <w:rFonts w:ascii="Arial" w:cs="Arial" w:eastAsia="Arial" w:hAnsi="Arial"/>
          <w:sz w:val="16"/>
          <w:szCs w:val="16"/>
          <w:color w:val="auto"/>
        </w:rPr>
        <w:t>, that if, within twenty-four (24) months following a Change in Control, the Participant experiences a Termination of Service by the Company without Cause or by the Participant for Good Reason, such Time-Based Options shall vest in and become exercisable in full.</w:t>
      </w:r>
    </w:p>
    <w:p>
      <w:pPr>
        <w:spacing w:after="0" w:line="164" w:lineRule="exact"/>
        <w:rPr>
          <w:rFonts w:ascii="Arial" w:cs="Arial" w:eastAsia="Arial" w:hAnsi="Arial"/>
          <w:sz w:val="16"/>
          <w:szCs w:val="16"/>
          <w:color w:val="auto"/>
        </w:rPr>
      </w:pPr>
    </w:p>
    <w:p>
      <w:pPr>
        <w:ind w:right="100" w:firstLine="757"/>
        <w:spacing w:after="0" w:line="263" w:lineRule="auto"/>
        <w:tabs>
          <w:tab w:leader="none" w:pos="994" w:val="left"/>
        </w:tabs>
        <w:numPr>
          <w:ilvl w:val="1"/>
          <w:numId w:val="16"/>
        </w:numPr>
        <w:rPr>
          <w:rFonts w:ascii="Arial" w:cs="Arial" w:eastAsia="Arial" w:hAnsi="Arial"/>
          <w:sz w:val="18"/>
          <w:szCs w:val="18"/>
          <w:color w:val="auto"/>
        </w:rPr>
      </w:pPr>
      <w:r>
        <w:rPr>
          <w:rFonts w:ascii="Arial" w:cs="Arial" w:eastAsia="Arial" w:hAnsi="Arial"/>
          <w:sz w:val="18"/>
          <w:szCs w:val="18"/>
          <w:color w:val="auto"/>
        </w:rPr>
        <w:t>The right of exercise shall be cumulative so that to the extent this Option is not exercised in any period to the maximum extent permissible it shall continue to be exercisable, in whole or in part, with respect to all Shares for which it is vested until the earlier of the Final Expiration Date or the termination of this Option under Section 3 hereof or the Plan.</w:t>
      </w:r>
    </w:p>
    <w:p>
      <w:pPr>
        <w:spacing w:after="0" w:line="183" w:lineRule="exact"/>
        <w:rPr>
          <w:rFonts w:ascii="Arial" w:cs="Arial" w:eastAsia="Arial" w:hAnsi="Arial"/>
          <w:sz w:val="18"/>
          <w:szCs w:val="18"/>
          <w:color w:val="auto"/>
        </w:rPr>
      </w:pPr>
    </w:p>
    <w:p>
      <w:pPr>
        <w:ind w:left="160" w:hanging="152"/>
        <w:spacing w:after="0"/>
        <w:tabs>
          <w:tab w:leader="none" w:pos="160" w:val="left"/>
        </w:tabs>
        <w:numPr>
          <w:ilvl w:val="0"/>
          <w:numId w:val="16"/>
        </w:numPr>
        <w:rPr>
          <w:rFonts w:ascii="Arial" w:cs="Arial" w:eastAsia="Arial" w:hAnsi="Arial"/>
          <w:sz w:val="18"/>
          <w:szCs w:val="18"/>
          <w:color w:val="auto"/>
        </w:rPr>
      </w:pPr>
      <w:r>
        <w:rPr>
          <w:rFonts w:ascii="Arial" w:cs="Arial" w:eastAsia="Arial" w:hAnsi="Arial"/>
          <w:sz w:val="18"/>
          <w:szCs w:val="18"/>
          <w:u w:val="single" w:color="auto"/>
          <w:color w:val="auto"/>
        </w:rPr>
        <w:t>Exercise of Option</w:t>
      </w:r>
      <w:r>
        <w:rPr>
          <w:rFonts w:ascii="Arial" w:cs="Arial" w:eastAsia="Arial" w:hAnsi="Arial"/>
          <w:sz w:val="18"/>
          <w:szCs w:val="18"/>
          <w:color w:val="auto"/>
        </w:rPr>
        <w:t>.</w:t>
      </w:r>
    </w:p>
    <w:p>
      <w:pPr>
        <w:spacing w:after="0" w:line="225" w:lineRule="exact"/>
        <w:rPr>
          <w:rFonts w:ascii="Arial" w:cs="Arial" w:eastAsia="Arial" w:hAnsi="Arial"/>
          <w:sz w:val="18"/>
          <w:szCs w:val="18"/>
          <w:color w:val="auto"/>
        </w:rPr>
      </w:pPr>
    </w:p>
    <w:p>
      <w:pPr>
        <w:ind w:right="40" w:firstLine="757"/>
        <w:spacing w:after="0" w:line="259" w:lineRule="auto"/>
        <w:tabs>
          <w:tab w:leader="none" w:pos="994" w:val="left"/>
        </w:tabs>
        <w:numPr>
          <w:ilvl w:val="1"/>
          <w:numId w:val="16"/>
        </w:numPr>
        <w:rPr>
          <w:rFonts w:ascii="Arial" w:cs="Arial" w:eastAsia="Arial" w:hAnsi="Arial"/>
          <w:sz w:val="18"/>
          <w:szCs w:val="18"/>
          <w:color w:val="auto"/>
        </w:rPr>
      </w:pPr>
      <w:r>
        <w:rPr>
          <w:rFonts w:ascii="Arial" w:cs="Arial" w:eastAsia="Arial" w:hAnsi="Arial"/>
          <w:sz w:val="18"/>
          <w:szCs w:val="18"/>
          <w:u w:val="single" w:color="auto"/>
          <w:color w:val="auto"/>
        </w:rPr>
        <w:t>Form of Exercise</w:t>
      </w:r>
      <w:r>
        <w:rPr>
          <w:rFonts w:ascii="Arial" w:cs="Arial" w:eastAsia="Arial" w:hAnsi="Arial"/>
          <w:sz w:val="18"/>
          <w:szCs w:val="18"/>
          <w:color w:val="auto"/>
        </w:rPr>
        <w:t>. Except as otherwise provided by the Plan Administrator, each election to exercise this Option shall be in writing (including electronic submission), signed by the Participant and received by the Company at its principal office, accompanied by this agreement, and payment in full in the manner provided in the Plan. The Participant may purchase less than the number of shares covered hereby, provided that no partial exercise of this Option may be for any fractional share or for fewer than ten whole shares.</w:t>
      </w:r>
    </w:p>
    <w:p>
      <w:pPr>
        <w:spacing w:after="0" w:line="186" w:lineRule="exact"/>
        <w:rPr>
          <w:rFonts w:ascii="Arial" w:cs="Arial" w:eastAsia="Arial" w:hAnsi="Arial"/>
          <w:sz w:val="18"/>
          <w:szCs w:val="18"/>
          <w:color w:val="auto"/>
        </w:rPr>
      </w:pPr>
    </w:p>
    <w:p>
      <w:pPr>
        <w:ind w:right="120" w:firstLine="757"/>
        <w:spacing w:after="0" w:line="275" w:lineRule="auto"/>
        <w:tabs>
          <w:tab w:leader="none" w:pos="1004" w:val="left"/>
        </w:tabs>
        <w:numPr>
          <w:ilvl w:val="1"/>
          <w:numId w:val="16"/>
        </w:numPr>
        <w:rPr>
          <w:rFonts w:ascii="Arial" w:cs="Arial" w:eastAsia="Arial" w:hAnsi="Arial"/>
          <w:sz w:val="17"/>
          <w:szCs w:val="17"/>
          <w:color w:val="auto"/>
        </w:rPr>
      </w:pPr>
      <w:r>
        <w:rPr>
          <w:rFonts w:ascii="Arial" w:cs="Arial" w:eastAsia="Arial" w:hAnsi="Arial"/>
          <w:sz w:val="17"/>
          <w:szCs w:val="17"/>
          <w:u w:val="single" w:color="auto"/>
          <w:color w:val="auto"/>
        </w:rPr>
        <w:t>Payment Upon Exercise of Options</w:t>
      </w:r>
      <w:r>
        <w:rPr>
          <w:rFonts w:ascii="Arial" w:cs="Arial" w:eastAsia="Arial" w:hAnsi="Arial"/>
          <w:sz w:val="17"/>
          <w:szCs w:val="17"/>
          <w:color w:val="auto"/>
        </w:rPr>
        <w:t>. Shares purchased upon the exercise of this Option may be paid for using one of the methods set forth in Sections 5(f)(1)-(f)(5) of the Plan. Unless otherwise instructed by the Participant, and unless this Option is an Incentive Stock Option, Shares purchased upon the exercise of this Option shall be paid for pursuant to a “net exercise,” as a result of which the Participant will receive (i) the number of Shares underlying the portion of the Option being exercised, less (ii) such number of Shares as is equal to (A) the aggregate exercise price for the portion of the Option being exercised divided by (B) the Fair Market Value on the date of exercise.</w:t>
      </w:r>
    </w:p>
    <w:p>
      <w:pPr>
        <w:spacing w:after="0" w:line="176" w:lineRule="exact"/>
        <w:rPr>
          <w:rFonts w:ascii="Arial" w:cs="Arial" w:eastAsia="Arial" w:hAnsi="Arial"/>
          <w:sz w:val="17"/>
          <w:szCs w:val="17"/>
          <w:color w:val="auto"/>
        </w:rPr>
      </w:pPr>
    </w:p>
    <w:p>
      <w:pPr>
        <w:ind w:right="80" w:firstLine="757"/>
        <w:spacing w:after="0" w:line="263" w:lineRule="auto"/>
        <w:tabs>
          <w:tab w:leader="none" w:pos="994" w:val="left"/>
        </w:tabs>
        <w:numPr>
          <w:ilvl w:val="1"/>
          <w:numId w:val="16"/>
        </w:numPr>
        <w:rPr>
          <w:rFonts w:ascii="Arial" w:cs="Arial" w:eastAsia="Arial" w:hAnsi="Arial"/>
          <w:sz w:val="18"/>
          <w:szCs w:val="18"/>
          <w:color w:val="auto"/>
        </w:rPr>
      </w:pPr>
      <w:r>
        <w:rPr>
          <w:rFonts w:ascii="Arial" w:cs="Arial" w:eastAsia="Arial" w:hAnsi="Arial"/>
          <w:sz w:val="18"/>
          <w:szCs w:val="18"/>
          <w:u w:val="single" w:color="auto"/>
          <w:color w:val="auto"/>
        </w:rPr>
        <w:t>Continuous Relationship with the Company Required</w:t>
      </w:r>
      <w:r>
        <w:rPr>
          <w:rFonts w:ascii="Arial" w:cs="Arial" w:eastAsia="Arial" w:hAnsi="Arial"/>
          <w:sz w:val="18"/>
          <w:szCs w:val="18"/>
          <w:color w:val="auto"/>
        </w:rPr>
        <w:t>. Except as otherwise provided in this Section 3, this Option may not be exercised unless the Participant, at the time he or she exercises this Option, is, and has been at all times since the Grant Date, an employee or officer of, or consultant or advisor to, the Company or any Company Affiliate (an “Eligible Participant”).</w:t>
      </w:r>
    </w:p>
    <w:p>
      <w:pPr>
        <w:spacing w:after="0" w:line="183" w:lineRule="exact"/>
        <w:rPr>
          <w:rFonts w:ascii="Arial" w:cs="Arial" w:eastAsia="Arial" w:hAnsi="Arial"/>
          <w:sz w:val="18"/>
          <w:szCs w:val="18"/>
          <w:color w:val="auto"/>
        </w:rPr>
      </w:pPr>
    </w:p>
    <w:p>
      <w:pPr>
        <w:ind w:left="1020" w:hanging="263"/>
        <w:spacing w:after="0"/>
        <w:tabs>
          <w:tab w:leader="none" w:pos="1020" w:val="left"/>
        </w:tabs>
        <w:numPr>
          <w:ilvl w:val="1"/>
          <w:numId w:val="16"/>
        </w:numPr>
        <w:rPr>
          <w:rFonts w:ascii="Arial" w:cs="Arial" w:eastAsia="Arial" w:hAnsi="Arial"/>
          <w:sz w:val="18"/>
          <w:szCs w:val="18"/>
          <w:color w:val="auto"/>
        </w:rPr>
      </w:pPr>
      <w:r>
        <w:rPr>
          <w:rFonts w:ascii="Arial" w:cs="Arial" w:eastAsia="Arial" w:hAnsi="Arial"/>
          <w:sz w:val="18"/>
          <w:szCs w:val="18"/>
          <w:u w:val="single" w:color="auto"/>
          <w:color w:val="auto"/>
        </w:rPr>
        <w:t>Expiration of Option</w:t>
      </w:r>
      <w:r>
        <w:rPr>
          <w:rFonts w:ascii="Arial" w:cs="Arial" w:eastAsia="Arial" w:hAnsi="Arial"/>
          <w:sz w:val="18"/>
          <w:szCs w:val="18"/>
          <w:color w:val="auto"/>
        </w:rPr>
        <w:t>.</w:t>
      </w:r>
    </w:p>
    <w:p>
      <w:pPr>
        <w:spacing w:after="0" w:line="225" w:lineRule="exact"/>
        <w:rPr>
          <w:rFonts w:ascii="Arial" w:cs="Arial" w:eastAsia="Arial" w:hAnsi="Arial"/>
          <w:sz w:val="18"/>
          <w:szCs w:val="18"/>
          <w:color w:val="auto"/>
        </w:rPr>
      </w:pPr>
    </w:p>
    <w:p>
      <w:pPr>
        <w:ind w:left="1660" w:hanging="255"/>
        <w:spacing w:after="0"/>
        <w:tabs>
          <w:tab w:leader="none" w:pos="1660" w:val="left"/>
        </w:tabs>
        <w:numPr>
          <w:ilvl w:val="2"/>
          <w:numId w:val="16"/>
        </w:numPr>
        <w:rPr>
          <w:rFonts w:ascii="Arial" w:cs="Arial" w:eastAsia="Arial" w:hAnsi="Arial"/>
          <w:sz w:val="18"/>
          <w:szCs w:val="18"/>
          <w:color w:val="auto"/>
        </w:rPr>
      </w:pPr>
      <w:r>
        <w:rPr>
          <w:rFonts w:ascii="Arial" w:cs="Arial" w:eastAsia="Arial" w:hAnsi="Arial"/>
          <w:sz w:val="18"/>
          <w:szCs w:val="18"/>
          <w:color w:val="auto"/>
        </w:rPr>
        <w:t>This Option, once vested, may not be exercised to any extent by anyone after the first to occur of the following events: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139065</wp:posOffset>
            </wp:positionV>
            <wp:extent cx="7174865" cy="42545"/>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7174865" cy="42545"/>
                    </a:xfrm>
                    <a:prstGeom prst="rect">
                      <a:avLst/>
                    </a:prstGeom>
                    <a:noFill/>
                  </pic:spPr>
                </pic:pic>
              </a:graphicData>
            </a:graphic>
          </wp:anchor>
        </w:drawing>
      </w:r>
    </w:p>
    <w:p>
      <w:pPr>
        <w:sectPr>
          <w:pgSz w:w="11900" w:h="16838" w:orient="portrait"/>
          <w:cols w:equalWidth="0" w:num="1">
            <w:col w:w="11240"/>
          </w:cols>
          <w:pgMar w:left="320" w:top="337" w:right="339" w:bottom="1440" w:gutter="0" w:footer="0" w:header="0"/>
        </w:sectPr>
      </w:pPr>
    </w:p>
    <w:bookmarkStart w:id="31" w:name="page32"/>
    <w:bookmarkEnd w:id="31"/>
    <w:p>
      <w:pPr>
        <w:ind w:left="1700" w:hanging="295"/>
        <w:spacing w:after="0"/>
        <w:tabs>
          <w:tab w:leader="none" w:pos="1700" w:val="left"/>
        </w:tabs>
        <w:numPr>
          <w:ilvl w:val="0"/>
          <w:numId w:val="17"/>
        </w:numPr>
        <w:rPr>
          <w:rFonts w:ascii="Arial" w:cs="Arial" w:eastAsia="Arial" w:hAnsi="Arial"/>
          <w:sz w:val="18"/>
          <w:szCs w:val="18"/>
          <w:color w:val="auto"/>
        </w:rPr>
      </w:pPr>
      <w:r>
        <w:rPr>
          <w:rFonts w:ascii="Arial" w:cs="Arial" w:eastAsia="Arial" w:hAnsi="Arial"/>
          <w:sz w:val="18"/>
          <w:szCs w:val="18"/>
          <w:color w:val="auto"/>
        </w:rPr>
        <w:t>The Final Expiration Date;</w:t>
      </w:r>
    </w:p>
    <w:p>
      <w:pPr>
        <w:spacing w:after="0" w:line="225" w:lineRule="exact"/>
        <w:rPr>
          <w:rFonts w:ascii="Arial" w:cs="Arial" w:eastAsia="Arial" w:hAnsi="Arial"/>
          <w:sz w:val="18"/>
          <w:szCs w:val="18"/>
          <w:color w:val="auto"/>
        </w:rPr>
      </w:pPr>
    </w:p>
    <w:p>
      <w:pPr>
        <w:ind w:right="320" w:firstLine="1405"/>
        <w:spacing w:after="0" w:line="277" w:lineRule="auto"/>
        <w:tabs>
          <w:tab w:leader="none" w:pos="1682" w:val="left"/>
        </w:tabs>
        <w:numPr>
          <w:ilvl w:val="0"/>
          <w:numId w:val="17"/>
        </w:numPr>
        <w:rPr>
          <w:rFonts w:ascii="Arial" w:cs="Arial" w:eastAsia="Arial" w:hAnsi="Arial"/>
          <w:sz w:val="18"/>
          <w:szCs w:val="18"/>
          <w:color w:val="auto"/>
        </w:rPr>
      </w:pPr>
      <w:r>
        <w:rPr>
          <w:rFonts w:ascii="Arial" w:cs="Arial" w:eastAsia="Arial" w:hAnsi="Arial"/>
          <w:sz w:val="18"/>
          <w:szCs w:val="18"/>
          <w:color w:val="auto"/>
        </w:rPr>
        <w:t>Except as the Plan Administrator may otherwise approve, ninety (90) days following the date of the Participant’s Termination of Service for any reason other than death or Disability;</w:t>
      </w:r>
    </w:p>
    <w:p>
      <w:pPr>
        <w:spacing w:after="0" w:line="170" w:lineRule="exact"/>
        <w:rPr>
          <w:rFonts w:ascii="Arial" w:cs="Arial" w:eastAsia="Arial" w:hAnsi="Arial"/>
          <w:sz w:val="18"/>
          <w:szCs w:val="18"/>
          <w:color w:val="auto"/>
        </w:rPr>
      </w:pPr>
    </w:p>
    <w:p>
      <w:pPr>
        <w:ind w:right="420" w:firstLine="1405"/>
        <w:spacing w:after="0" w:line="277" w:lineRule="auto"/>
        <w:tabs>
          <w:tab w:leader="none" w:pos="1682" w:val="left"/>
        </w:tabs>
        <w:numPr>
          <w:ilvl w:val="0"/>
          <w:numId w:val="17"/>
        </w:numPr>
        <w:rPr>
          <w:rFonts w:ascii="Arial" w:cs="Arial" w:eastAsia="Arial" w:hAnsi="Arial"/>
          <w:sz w:val="18"/>
          <w:szCs w:val="18"/>
          <w:color w:val="auto"/>
        </w:rPr>
      </w:pPr>
      <w:r>
        <w:rPr>
          <w:rFonts w:ascii="Arial" w:cs="Arial" w:eastAsia="Arial" w:hAnsi="Arial"/>
          <w:sz w:val="18"/>
          <w:szCs w:val="18"/>
          <w:color w:val="auto"/>
        </w:rPr>
        <w:t>Except as the Plan Administrator may otherwise approve, twelve months following the Participant’s Termination of Service by reason of the Participant’s death or Disability.</w:t>
      </w:r>
    </w:p>
    <w:p>
      <w:pPr>
        <w:spacing w:after="0" w:line="170" w:lineRule="exact"/>
        <w:rPr>
          <w:sz w:val="20"/>
          <w:szCs w:val="20"/>
          <w:color w:val="auto"/>
        </w:rPr>
      </w:pPr>
    </w:p>
    <w:p>
      <w:pPr>
        <w:ind w:right="60" w:firstLine="1405"/>
        <w:spacing w:after="0" w:line="290" w:lineRule="auto"/>
        <w:tabs>
          <w:tab w:leader="none" w:pos="1652" w:val="left"/>
        </w:tabs>
        <w:numPr>
          <w:ilvl w:val="2"/>
          <w:numId w:val="18"/>
        </w:numPr>
        <w:rPr>
          <w:rFonts w:ascii="Arial" w:cs="Arial" w:eastAsia="Arial" w:hAnsi="Arial"/>
          <w:sz w:val="16"/>
          <w:szCs w:val="16"/>
          <w:color w:val="auto"/>
        </w:rPr>
      </w:pPr>
      <w:r>
        <w:rPr>
          <w:rFonts w:ascii="Arial" w:cs="Arial" w:eastAsia="Arial" w:hAnsi="Arial"/>
          <w:sz w:val="16"/>
          <w:szCs w:val="16"/>
          <w:color w:val="auto"/>
        </w:rPr>
        <w:t>For the purposes of this Agreement, the date of the Termination of Service shall be the last day that the Participant provides services as an employee or officer of, or consultant or advisor to, the Company or any Company Affiliate, whether such day is selected by agreement with the Participant or unilaterally by the Company or any Company Affiliate and whether with or without advance notice. For the avoidance of doubt, no period of notice that is given or that ought to have been given under applicable law in respect of such Termination of Service will be utilized in determining entitlement under the Plan or this Agreement. Any action by the Company or any Company Affiliate taken in accordance with the terms of the Plan and this Agreement as set out aforesaid shall be deemed to fully and completely satisfy any liability or obligation of the Company or any Company Affiliate to the Participant in respect of the Plan or this Agreement arising from or in connection with such Termination of Service, including in respect of any period of notice given or that ought to have been given under applicable law in respect of such Termination of Service.</w:t>
      </w:r>
    </w:p>
    <w:p>
      <w:pPr>
        <w:spacing w:after="0" w:line="165" w:lineRule="exact"/>
        <w:rPr>
          <w:rFonts w:ascii="Arial" w:cs="Arial" w:eastAsia="Arial" w:hAnsi="Arial"/>
          <w:sz w:val="16"/>
          <w:szCs w:val="16"/>
          <w:color w:val="auto"/>
        </w:rPr>
      </w:pPr>
    </w:p>
    <w:p>
      <w:pPr>
        <w:ind w:left="160" w:hanging="152"/>
        <w:spacing w:after="0"/>
        <w:tabs>
          <w:tab w:leader="none" w:pos="160" w:val="left"/>
        </w:tabs>
        <w:numPr>
          <w:ilvl w:val="0"/>
          <w:numId w:val="19"/>
        </w:numPr>
        <w:rPr>
          <w:rFonts w:ascii="Arial" w:cs="Arial" w:eastAsia="Arial" w:hAnsi="Arial"/>
          <w:sz w:val="18"/>
          <w:szCs w:val="18"/>
          <w:color w:val="auto"/>
        </w:rPr>
      </w:pPr>
      <w:r>
        <w:rPr>
          <w:rFonts w:ascii="Arial" w:cs="Arial" w:eastAsia="Arial" w:hAnsi="Arial"/>
          <w:sz w:val="18"/>
          <w:szCs w:val="18"/>
          <w:u w:val="single" w:color="auto"/>
          <w:color w:val="auto"/>
        </w:rPr>
        <w:t>Tax Matters</w:t>
      </w:r>
    </w:p>
    <w:p>
      <w:pPr>
        <w:spacing w:after="0" w:line="225" w:lineRule="exact"/>
        <w:rPr>
          <w:rFonts w:ascii="Arial" w:cs="Arial" w:eastAsia="Arial" w:hAnsi="Arial"/>
          <w:sz w:val="18"/>
          <w:szCs w:val="18"/>
          <w:color w:val="auto"/>
        </w:rPr>
      </w:pPr>
    </w:p>
    <w:p>
      <w:pPr>
        <w:ind w:right="20" w:firstLine="757"/>
        <w:spacing w:after="0" w:line="287" w:lineRule="auto"/>
        <w:tabs>
          <w:tab w:leader="none" w:pos="994" w:val="left"/>
        </w:tabs>
        <w:numPr>
          <w:ilvl w:val="1"/>
          <w:numId w:val="19"/>
        </w:numPr>
        <w:rPr>
          <w:rFonts w:ascii="Arial" w:cs="Arial" w:eastAsia="Arial" w:hAnsi="Arial"/>
          <w:sz w:val="16"/>
          <w:szCs w:val="16"/>
          <w:color w:val="auto"/>
        </w:rPr>
      </w:pPr>
      <w:r>
        <w:rPr>
          <w:rFonts w:ascii="Arial" w:cs="Arial" w:eastAsia="Arial" w:hAnsi="Arial"/>
          <w:sz w:val="16"/>
          <w:szCs w:val="16"/>
          <w:u w:val="single" w:color="auto"/>
          <w:color w:val="auto"/>
        </w:rPr>
        <w:t>Withholding</w:t>
      </w:r>
      <w:r>
        <w:rPr>
          <w:rFonts w:ascii="Arial" w:cs="Arial" w:eastAsia="Arial" w:hAnsi="Arial"/>
          <w:sz w:val="16"/>
          <w:szCs w:val="16"/>
          <w:color w:val="auto"/>
        </w:rPr>
        <w:t>. The Participant shall pay to the Company or any applicable Company Affiliate, or make provision satisfactory to the Company or such Company Affiliate, for payment of, any taxes required by law to be withheld in connection with the exercise of any portion of this Option, as applicable, under one of the methods permitted by the Plan. Subject to any applicable legal conditions or restrictions, the Company shall, unless otherwise instructed by a Participant, withhold from the Shares otherwise issuable to the Participant upon the exercise of this Option or any portion thereof a number of whole Shares having a Fair Market Value, determined as of the date of exercise, not in excess of the minimum of tax required to be withheld by law (or such lower amount as may be necessary to avoid variable award accounting); provided that the foregoing is at such time permitted under the terms of the agreements governing any indebtedness to which the Company or any Company Affiliate may be a party; and provided, further that no fractional Shares will be retained to satisfy any portion of the withholding tax and the Participant hereby agrees to satisfy any additional amount of withholding taxes that are not satisfied through the retention of Shares by the Company. Any Shares retained by the Company pursuant to this Section shall be deducted from the underlying Shares to be received by such Participant upon exercise of this Option. Any adverse consequences to the Participant arising in connection with the Share withholding procedure set forth in the preceding sentence shall be the sole responsibility of the Participant.</w:t>
      </w:r>
    </w:p>
    <w:p>
      <w:pPr>
        <w:spacing w:after="0" w:line="171" w:lineRule="exact"/>
        <w:rPr>
          <w:rFonts w:ascii="Arial" w:cs="Arial" w:eastAsia="Arial" w:hAnsi="Arial"/>
          <w:sz w:val="16"/>
          <w:szCs w:val="16"/>
          <w:color w:val="auto"/>
        </w:rPr>
      </w:pPr>
    </w:p>
    <w:p>
      <w:pPr>
        <w:ind w:right="20" w:firstLine="757"/>
        <w:spacing w:after="0" w:line="263" w:lineRule="auto"/>
        <w:tabs>
          <w:tab w:leader="none" w:pos="1004" w:val="left"/>
        </w:tabs>
        <w:numPr>
          <w:ilvl w:val="1"/>
          <w:numId w:val="19"/>
        </w:numPr>
        <w:rPr>
          <w:rFonts w:ascii="Arial" w:cs="Arial" w:eastAsia="Arial" w:hAnsi="Arial"/>
          <w:sz w:val="18"/>
          <w:szCs w:val="18"/>
          <w:color w:val="auto"/>
        </w:rPr>
      </w:pPr>
      <w:r>
        <w:rPr>
          <w:rFonts w:ascii="Arial" w:cs="Arial" w:eastAsia="Arial" w:hAnsi="Arial"/>
          <w:sz w:val="18"/>
          <w:szCs w:val="18"/>
          <w:u w:val="single" w:color="auto"/>
          <w:color w:val="auto"/>
        </w:rPr>
        <w:t>Disqualifying Disposition</w:t>
      </w:r>
      <w:r>
        <w:rPr>
          <w:rFonts w:ascii="Arial" w:cs="Arial" w:eastAsia="Arial" w:hAnsi="Arial"/>
          <w:sz w:val="18"/>
          <w:szCs w:val="18"/>
          <w:color w:val="auto"/>
        </w:rPr>
        <w:t>. If this Option is an Incentive Stock Option and the Participant disposes of Shares acquired upon exercise of this Option within two years from the Grant Date or one year after such Shares were acquired pursuant to exercise of this Option, the Participant shall notify the Company in writing of such disposition.</w:t>
      </w:r>
    </w:p>
    <w:p>
      <w:pPr>
        <w:spacing w:after="0" w:line="183" w:lineRule="exact"/>
        <w:rPr>
          <w:rFonts w:ascii="Arial" w:cs="Arial" w:eastAsia="Arial" w:hAnsi="Arial"/>
          <w:sz w:val="18"/>
          <w:szCs w:val="18"/>
          <w:color w:val="auto"/>
        </w:rPr>
      </w:pPr>
    </w:p>
    <w:p>
      <w:pPr>
        <w:ind w:left="160" w:hanging="152"/>
        <w:spacing w:after="0"/>
        <w:tabs>
          <w:tab w:leader="none" w:pos="160" w:val="left"/>
        </w:tabs>
        <w:numPr>
          <w:ilvl w:val="0"/>
          <w:numId w:val="19"/>
        </w:numPr>
        <w:rPr>
          <w:rFonts w:ascii="Arial" w:cs="Arial" w:eastAsia="Arial" w:hAnsi="Arial"/>
          <w:sz w:val="18"/>
          <w:szCs w:val="18"/>
          <w:color w:val="auto"/>
        </w:rPr>
      </w:pPr>
      <w:r>
        <w:rPr>
          <w:rFonts w:ascii="Arial" w:cs="Arial" w:eastAsia="Arial" w:hAnsi="Arial"/>
          <w:sz w:val="18"/>
          <w:szCs w:val="18"/>
          <w:u w:val="single" w:color="auto"/>
          <w:color w:val="auto"/>
        </w:rPr>
        <w:t>Nontransferability of Options</w:t>
      </w:r>
      <w:r>
        <w:rPr>
          <w:rFonts w:ascii="Arial" w:cs="Arial" w:eastAsia="Arial" w:hAnsi="Arial"/>
          <w:sz w:val="18"/>
          <w:szCs w:val="18"/>
          <w:color w:val="auto"/>
        </w:rPr>
        <w:t>.</w:t>
      </w:r>
    </w:p>
    <w:p>
      <w:pPr>
        <w:spacing w:after="0" w:line="225" w:lineRule="exact"/>
        <w:rPr>
          <w:sz w:val="20"/>
          <w:szCs w:val="20"/>
          <w:color w:val="auto"/>
        </w:rPr>
      </w:pPr>
    </w:p>
    <w:p>
      <w:pPr>
        <w:ind w:firstLine="749"/>
        <w:spacing w:after="0" w:line="342" w:lineRule="auto"/>
        <w:rPr>
          <w:sz w:val="20"/>
          <w:szCs w:val="20"/>
          <w:color w:val="auto"/>
        </w:rPr>
      </w:pPr>
      <w:r>
        <w:rPr>
          <w:rFonts w:ascii="Arial" w:cs="Arial" w:eastAsia="Arial" w:hAnsi="Arial"/>
          <w:sz w:val="16"/>
          <w:szCs w:val="16"/>
          <w:color w:val="auto"/>
        </w:rPr>
        <w:t>This Option may not be sold, assigned, transferred, pledged or otherwise encumbered by the Participant, either voluntarily or by operation of law, except by will or the laws of descent and distribution, and, during the lifetime of the Participant, this Option shall be exercisable only by the Participant.</w:t>
      </w:r>
    </w:p>
    <w:p>
      <w:pPr>
        <w:spacing w:after="0" w:line="124" w:lineRule="exact"/>
        <w:rPr>
          <w:sz w:val="20"/>
          <w:szCs w:val="20"/>
          <w:color w:val="auto"/>
        </w:rPr>
      </w:pPr>
    </w:p>
    <w:p>
      <w:pPr>
        <w:ind w:left="160" w:hanging="152"/>
        <w:spacing w:after="0"/>
        <w:tabs>
          <w:tab w:leader="none" w:pos="160" w:val="left"/>
        </w:tabs>
        <w:numPr>
          <w:ilvl w:val="0"/>
          <w:numId w:val="20"/>
        </w:numPr>
        <w:rPr>
          <w:rFonts w:ascii="Arial" w:cs="Arial" w:eastAsia="Arial" w:hAnsi="Arial"/>
          <w:sz w:val="18"/>
          <w:szCs w:val="18"/>
          <w:color w:val="auto"/>
        </w:rPr>
      </w:pPr>
      <w:r>
        <w:rPr>
          <w:rFonts w:ascii="Arial" w:cs="Arial" w:eastAsia="Arial" w:hAnsi="Arial"/>
          <w:sz w:val="18"/>
          <w:szCs w:val="18"/>
          <w:u w:val="single" w:color="auto"/>
          <w:color w:val="auto"/>
        </w:rPr>
        <w:t>Provisions of the Plan</w:t>
      </w:r>
      <w:r>
        <w:rPr>
          <w:rFonts w:ascii="Arial" w:cs="Arial" w:eastAsia="Arial" w:hAnsi="Arial"/>
          <w:sz w:val="18"/>
          <w:szCs w:val="18"/>
          <w:color w:val="auto"/>
        </w:rPr>
        <w:t>.</w:t>
      </w:r>
    </w:p>
    <w:p>
      <w:pPr>
        <w:spacing w:after="0" w:line="225" w:lineRule="exact"/>
        <w:rPr>
          <w:sz w:val="20"/>
          <w:szCs w:val="20"/>
          <w:color w:val="auto"/>
        </w:rPr>
      </w:pPr>
    </w:p>
    <w:p>
      <w:pPr>
        <w:ind w:right="60" w:firstLine="749"/>
        <w:spacing w:after="0" w:line="277" w:lineRule="auto"/>
        <w:rPr>
          <w:sz w:val="20"/>
          <w:szCs w:val="20"/>
          <w:color w:val="auto"/>
        </w:rPr>
      </w:pPr>
      <w:r>
        <w:rPr>
          <w:rFonts w:ascii="Arial" w:cs="Arial" w:eastAsia="Arial" w:hAnsi="Arial"/>
          <w:sz w:val="18"/>
          <w:szCs w:val="18"/>
          <w:color w:val="auto"/>
        </w:rPr>
        <w:t>This Option is subject to the provisions of the Plan (including the provisions relating to amendments to the Plan), a copy of which is furnished to the Participant with this Option.</w:t>
      </w:r>
    </w:p>
    <w:p>
      <w:pPr>
        <w:spacing w:after="0" w:line="278" w:lineRule="exact"/>
        <w:rPr>
          <w:sz w:val="20"/>
          <w:szCs w:val="20"/>
          <w:color w:val="auto"/>
        </w:rPr>
      </w:pPr>
    </w:p>
    <w:p>
      <w:pPr>
        <w:ind w:left="160" w:hanging="152"/>
        <w:spacing w:after="0"/>
        <w:tabs>
          <w:tab w:leader="none" w:pos="160" w:val="left"/>
        </w:tabs>
        <w:numPr>
          <w:ilvl w:val="0"/>
          <w:numId w:val="21"/>
        </w:numPr>
        <w:rPr>
          <w:rFonts w:ascii="Arial" w:cs="Arial" w:eastAsia="Arial" w:hAnsi="Arial"/>
          <w:sz w:val="18"/>
          <w:szCs w:val="18"/>
          <w:color w:val="auto"/>
        </w:rPr>
      </w:pPr>
      <w:r>
        <w:rPr>
          <w:rFonts w:ascii="Arial" w:cs="Arial" w:eastAsia="Arial" w:hAnsi="Arial"/>
          <w:sz w:val="18"/>
          <w:szCs w:val="18"/>
          <w:u w:val="single" w:color="auto"/>
          <w:color w:val="auto"/>
        </w:rPr>
        <w:t>Definitions</w:t>
      </w:r>
      <w:r>
        <w:rPr>
          <w:rFonts w:ascii="Arial" w:cs="Arial" w:eastAsia="Arial" w:hAnsi="Arial"/>
          <w:sz w:val="18"/>
          <w:szCs w:val="18"/>
          <w:color w:val="auto"/>
        </w:rPr>
        <w:t>.</w:t>
      </w:r>
    </w:p>
    <w:p>
      <w:pPr>
        <w:spacing w:after="0" w:line="333" w:lineRule="exact"/>
        <w:rPr>
          <w:sz w:val="20"/>
          <w:szCs w:val="20"/>
          <w:color w:val="auto"/>
        </w:rPr>
      </w:pPr>
    </w:p>
    <w:p>
      <w:pPr>
        <w:ind w:right="40" w:firstLine="749"/>
        <w:spacing w:after="0" w:line="263" w:lineRule="auto"/>
        <w:rPr>
          <w:sz w:val="20"/>
          <w:szCs w:val="20"/>
          <w:color w:val="auto"/>
        </w:rPr>
      </w:pPr>
      <w:r>
        <w:rPr>
          <w:rFonts w:ascii="Arial" w:cs="Arial" w:eastAsia="Arial" w:hAnsi="Arial"/>
          <w:sz w:val="18"/>
          <w:szCs w:val="18"/>
          <w:color w:val="auto"/>
        </w:rPr>
        <w:t>Whenever the following terms are used in this Agreement, they shall have the meaning specified below unless the context clearly indicates to the contrary. Capitalized terms used in this Agreement and not defined below shall have the meaning given such terms in the Plan. The singular pronoun shall include the plural, where the context so indicates.</w:t>
      </w:r>
    </w:p>
    <w:p>
      <w:pPr>
        <w:spacing w:after="0" w:line="184" w:lineRule="exact"/>
        <w:rPr>
          <w:sz w:val="20"/>
          <w:szCs w:val="20"/>
          <w:color w:val="auto"/>
        </w:rPr>
      </w:pPr>
    </w:p>
    <w:p>
      <w:pPr>
        <w:ind w:left="1000" w:hanging="243"/>
        <w:spacing w:after="0"/>
        <w:tabs>
          <w:tab w:leader="none" w:pos="1000" w:val="left"/>
        </w:tabs>
        <w:numPr>
          <w:ilvl w:val="0"/>
          <w:numId w:val="22"/>
        </w:numPr>
        <w:rPr>
          <w:rFonts w:ascii="Arial" w:cs="Arial" w:eastAsia="Arial" w:hAnsi="Arial"/>
          <w:sz w:val="18"/>
          <w:szCs w:val="18"/>
          <w:color w:val="auto"/>
        </w:rPr>
      </w:pPr>
      <w:r>
        <w:rPr>
          <w:rFonts w:ascii="Arial" w:cs="Arial" w:eastAsia="Arial" w:hAnsi="Arial"/>
          <w:sz w:val="18"/>
          <w:szCs w:val="18"/>
          <w:u w:val="single" w:color="auto"/>
          <w:color w:val="auto"/>
        </w:rPr>
        <w:t>Agreement</w:t>
      </w:r>
      <w:r>
        <w:rPr>
          <w:rFonts w:ascii="Arial" w:cs="Arial" w:eastAsia="Arial" w:hAnsi="Arial"/>
          <w:sz w:val="18"/>
          <w:szCs w:val="18"/>
          <w:color w:val="auto"/>
        </w:rPr>
        <w:t>. “Agreement” shall have the meaning set forth in the Stock Option Grant Notice.</w:t>
      </w:r>
    </w:p>
    <w:p>
      <w:pPr>
        <w:spacing w:after="0" w:line="225" w:lineRule="exact"/>
        <w:rPr>
          <w:rFonts w:ascii="Arial" w:cs="Arial" w:eastAsia="Arial" w:hAnsi="Arial"/>
          <w:sz w:val="18"/>
          <w:szCs w:val="18"/>
          <w:color w:val="auto"/>
        </w:rPr>
      </w:pPr>
    </w:p>
    <w:p>
      <w:pPr>
        <w:ind w:left="1020" w:hanging="263"/>
        <w:spacing w:after="0"/>
        <w:tabs>
          <w:tab w:leader="none" w:pos="1020" w:val="left"/>
        </w:tabs>
        <w:numPr>
          <w:ilvl w:val="0"/>
          <w:numId w:val="22"/>
        </w:numPr>
        <w:rPr>
          <w:rFonts w:ascii="Arial" w:cs="Arial" w:eastAsia="Arial" w:hAnsi="Arial"/>
          <w:sz w:val="18"/>
          <w:szCs w:val="18"/>
          <w:color w:val="auto"/>
        </w:rPr>
      </w:pPr>
      <w:r>
        <w:rPr>
          <w:rFonts w:ascii="Arial" w:cs="Arial" w:eastAsia="Arial" w:hAnsi="Arial"/>
          <w:sz w:val="18"/>
          <w:szCs w:val="18"/>
          <w:u w:val="single" w:color="auto"/>
          <w:color w:val="auto"/>
        </w:rPr>
        <w:t>Cause</w:t>
      </w:r>
      <w:r>
        <w:rPr>
          <w:rFonts w:ascii="Arial" w:cs="Arial" w:eastAsia="Arial" w:hAnsi="Arial"/>
          <w:sz w:val="18"/>
          <w:szCs w:val="18"/>
          <w:color w:val="auto"/>
        </w:rPr>
        <w:t>. “Cause” shall mean,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139065</wp:posOffset>
            </wp:positionV>
            <wp:extent cx="7174865" cy="42545"/>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7174865" cy="425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32" w:name="page33"/>
    <w:bookmarkEnd w:id="32"/>
    <w:p>
      <w:pPr>
        <w:ind w:right="140" w:firstLine="1405"/>
        <w:spacing w:after="0" w:line="263" w:lineRule="auto"/>
        <w:tabs>
          <w:tab w:leader="none" w:pos="1652" w:val="left"/>
        </w:tabs>
        <w:numPr>
          <w:ilvl w:val="0"/>
          <w:numId w:val="23"/>
        </w:numPr>
        <w:rPr>
          <w:rFonts w:ascii="Arial" w:cs="Arial" w:eastAsia="Arial" w:hAnsi="Arial"/>
          <w:sz w:val="18"/>
          <w:szCs w:val="18"/>
          <w:color w:val="auto"/>
        </w:rPr>
      </w:pPr>
      <w:r>
        <w:rPr>
          <w:rFonts w:ascii="Arial" w:cs="Arial" w:eastAsia="Arial" w:hAnsi="Arial"/>
          <w:sz w:val="18"/>
          <w:szCs w:val="18"/>
          <w:color w:val="auto"/>
        </w:rPr>
        <w:t>The Plan Administrator’s determination that the Participant failed to substantially perform his or her duties (other than any such failure resulting from the Participant’s disability) which is not remedied within ten days after receipt of written notice from the Company or any Company Affiliate, as applicable, specifying such failure;</w:t>
      </w:r>
    </w:p>
    <w:p>
      <w:pPr>
        <w:spacing w:after="0" w:line="183" w:lineRule="exact"/>
        <w:rPr>
          <w:rFonts w:ascii="Arial" w:cs="Arial" w:eastAsia="Arial" w:hAnsi="Arial"/>
          <w:sz w:val="18"/>
          <w:szCs w:val="18"/>
          <w:color w:val="auto"/>
        </w:rPr>
      </w:pPr>
    </w:p>
    <w:p>
      <w:pPr>
        <w:jc w:val="both"/>
        <w:ind w:right="20" w:firstLine="1405"/>
        <w:spacing w:after="0" w:line="263" w:lineRule="auto"/>
        <w:tabs>
          <w:tab w:leader="none" w:pos="1652" w:val="left"/>
        </w:tabs>
        <w:numPr>
          <w:ilvl w:val="0"/>
          <w:numId w:val="23"/>
        </w:numPr>
        <w:rPr>
          <w:rFonts w:ascii="Arial" w:cs="Arial" w:eastAsia="Arial" w:hAnsi="Arial"/>
          <w:sz w:val="18"/>
          <w:szCs w:val="18"/>
          <w:color w:val="auto"/>
        </w:rPr>
      </w:pPr>
      <w:r>
        <w:rPr>
          <w:rFonts w:ascii="Arial" w:cs="Arial" w:eastAsia="Arial" w:hAnsi="Arial"/>
          <w:sz w:val="18"/>
          <w:szCs w:val="18"/>
          <w:color w:val="auto"/>
        </w:rPr>
        <w:t>the Plan Administrator’s determination that the Participant failed to carry out, or comply with any lawful and reasonable directive of the Plan Administrator or the Participant’s immediate supervisor, which is not remedied within ten days after receipt of written notice from the Company or any Company Affiliate, as applicable, specifying such failure;</w:t>
      </w:r>
    </w:p>
    <w:p>
      <w:pPr>
        <w:spacing w:after="0" w:line="183" w:lineRule="exact"/>
        <w:rPr>
          <w:rFonts w:ascii="Arial" w:cs="Arial" w:eastAsia="Arial" w:hAnsi="Arial"/>
          <w:sz w:val="18"/>
          <w:szCs w:val="18"/>
          <w:color w:val="auto"/>
        </w:rPr>
      </w:pPr>
    </w:p>
    <w:p>
      <w:pPr>
        <w:ind w:right="40" w:firstLine="1405"/>
        <w:spacing w:after="0" w:line="277" w:lineRule="auto"/>
        <w:tabs>
          <w:tab w:leader="none" w:pos="1652" w:val="left"/>
        </w:tabs>
        <w:numPr>
          <w:ilvl w:val="0"/>
          <w:numId w:val="23"/>
        </w:numPr>
        <w:rPr>
          <w:rFonts w:ascii="Arial" w:cs="Arial" w:eastAsia="Arial" w:hAnsi="Arial"/>
          <w:sz w:val="18"/>
          <w:szCs w:val="18"/>
          <w:color w:val="auto"/>
        </w:rPr>
      </w:pPr>
      <w:r>
        <w:rPr>
          <w:rFonts w:ascii="Arial" w:cs="Arial" w:eastAsia="Arial" w:hAnsi="Arial"/>
          <w:sz w:val="18"/>
          <w:szCs w:val="18"/>
          <w:color w:val="auto"/>
        </w:rPr>
        <w:t xml:space="preserve">the Participant’s conviction, plea of no contest, plea of </w:t>
      </w:r>
      <w:r>
        <w:rPr>
          <w:rFonts w:ascii="Arial" w:cs="Arial" w:eastAsia="Arial" w:hAnsi="Arial"/>
          <w:sz w:val="18"/>
          <w:szCs w:val="18"/>
          <w:i w:val="1"/>
          <w:iCs w:val="1"/>
          <w:color w:val="auto"/>
        </w:rPr>
        <w:t>nolo contendere</w:t>
      </w:r>
      <w:r>
        <w:rPr>
          <w:rFonts w:ascii="Arial" w:cs="Arial" w:eastAsia="Arial" w:hAnsi="Arial"/>
          <w:sz w:val="18"/>
          <w:szCs w:val="18"/>
          <w:color w:val="auto"/>
        </w:rPr>
        <w:t>, or imposition of unadjudicated probation for any felony or a crime involving moral turpitude;</w:t>
      </w:r>
    </w:p>
    <w:p>
      <w:pPr>
        <w:spacing w:after="0" w:line="170" w:lineRule="exact"/>
        <w:rPr>
          <w:rFonts w:ascii="Arial" w:cs="Arial" w:eastAsia="Arial" w:hAnsi="Arial"/>
          <w:sz w:val="18"/>
          <w:szCs w:val="18"/>
          <w:color w:val="auto"/>
        </w:rPr>
      </w:pPr>
    </w:p>
    <w:p>
      <w:pPr>
        <w:ind w:right="720" w:firstLine="1405"/>
        <w:spacing w:after="0" w:line="277" w:lineRule="auto"/>
        <w:tabs>
          <w:tab w:leader="none" w:pos="1652" w:val="left"/>
        </w:tabs>
        <w:numPr>
          <w:ilvl w:val="0"/>
          <w:numId w:val="23"/>
        </w:numPr>
        <w:rPr>
          <w:rFonts w:ascii="Arial" w:cs="Arial" w:eastAsia="Arial" w:hAnsi="Arial"/>
          <w:sz w:val="18"/>
          <w:szCs w:val="18"/>
          <w:color w:val="auto"/>
        </w:rPr>
      </w:pPr>
      <w:r>
        <w:rPr>
          <w:rFonts w:ascii="Arial" w:cs="Arial" w:eastAsia="Arial" w:hAnsi="Arial"/>
          <w:sz w:val="18"/>
          <w:szCs w:val="18"/>
          <w:color w:val="auto"/>
        </w:rPr>
        <w:t>the Participant’s unlawful use (including being under the influence) or possession of illegal drugs on the Company’s or any Company Affiliate’s, as applicable, premises or while performing the Participant’s duties and responsibilities; or</w:t>
      </w:r>
    </w:p>
    <w:p>
      <w:pPr>
        <w:spacing w:after="0" w:line="170" w:lineRule="exact"/>
        <w:rPr>
          <w:rFonts w:ascii="Arial" w:cs="Arial" w:eastAsia="Arial" w:hAnsi="Arial"/>
          <w:sz w:val="18"/>
          <w:szCs w:val="18"/>
          <w:color w:val="auto"/>
        </w:rPr>
      </w:pPr>
    </w:p>
    <w:p>
      <w:pPr>
        <w:ind w:right="180" w:firstLine="1405"/>
        <w:spacing w:after="0" w:line="277" w:lineRule="auto"/>
        <w:tabs>
          <w:tab w:leader="none" w:pos="1652" w:val="left"/>
        </w:tabs>
        <w:numPr>
          <w:ilvl w:val="0"/>
          <w:numId w:val="23"/>
        </w:numPr>
        <w:rPr>
          <w:rFonts w:ascii="Arial" w:cs="Arial" w:eastAsia="Arial" w:hAnsi="Arial"/>
          <w:sz w:val="18"/>
          <w:szCs w:val="18"/>
          <w:color w:val="auto"/>
        </w:rPr>
      </w:pPr>
      <w:r>
        <w:rPr>
          <w:rFonts w:ascii="Arial" w:cs="Arial" w:eastAsia="Arial" w:hAnsi="Arial"/>
          <w:sz w:val="18"/>
          <w:szCs w:val="18"/>
          <w:color w:val="auto"/>
        </w:rPr>
        <w:t>the Participant’s commission of a material act of fraud, embezzlement, misappropriation, willful misconduct or breach of fiduciary duty against the Company or any Company Affiliate, as applicable.</w:t>
      </w:r>
    </w:p>
    <w:p>
      <w:pPr>
        <w:spacing w:after="0" w:line="170" w:lineRule="exact"/>
        <w:rPr>
          <w:sz w:val="20"/>
          <w:szCs w:val="20"/>
          <w:color w:val="auto"/>
        </w:rPr>
      </w:pPr>
    </w:p>
    <w:p>
      <w:pPr>
        <w:spacing w:after="0" w:line="277" w:lineRule="auto"/>
        <w:rPr>
          <w:sz w:val="20"/>
          <w:szCs w:val="20"/>
          <w:color w:val="auto"/>
        </w:rPr>
      </w:pPr>
      <w:r>
        <w:rPr>
          <w:rFonts w:ascii="Arial" w:cs="Arial" w:eastAsia="Arial" w:hAnsi="Arial"/>
          <w:sz w:val="18"/>
          <w:szCs w:val="18"/>
          <w:color w:val="auto"/>
        </w:rPr>
        <w:t>Notwithstanding the foregoing, if the Participant is a party to a written employment or consulting agreement with the Company (or any Company Affiliate), then “Cause” shall be as such term is defined in the applicable written employment or consulting agreement.</w:t>
      </w:r>
    </w:p>
    <w:p>
      <w:pPr>
        <w:spacing w:after="0" w:line="170" w:lineRule="exact"/>
        <w:rPr>
          <w:sz w:val="20"/>
          <w:szCs w:val="20"/>
          <w:color w:val="auto"/>
        </w:rPr>
      </w:pPr>
    </w:p>
    <w:p>
      <w:pPr>
        <w:jc w:val="both"/>
        <w:ind w:right="80" w:firstLine="757"/>
        <w:spacing w:after="0" w:line="301" w:lineRule="auto"/>
        <w:tabs>
          <w:tab w:leader="none" w:pos="994" w:val="left"/>
        </w:tabs>
        <w:numPr>
          <w:ilvl w:val="0"/>
          <w:numId w:val="24"/>
        </w:numPr>
        <w:rPr>
          <w:rFonts w:ascii="Arial" w:cs="Arial" w:eastAsia="Arial" w:hAnsi="Arial"/>
          <w:sz w:val="16"/>
          <w:szCs w:val="16"/>
          <w:color w:val="auto"/>
        </w:rPr>
      </w:pPr>
      <w:r>
        <w:rPr>
          <w:rFonts w:ascii="Arial" w:cs="Arial" w:eastAsia="Arial" w:hAnsi="Arial"/>
          <w:sz w:val="16"/>
          <w:szCs w:val="16"/>
          <w:u w:val="single" w:color="auto"/>
          <w:color w:val="auto"/>
        </w:rPr>
        <w:t>Change in Control</w:t>
      </w:r>
      <w:r>
        <w:rPr>
          <w:rFonts w:ascii="Arial" w:cs="Arial" w:eastAsia="Arial" w:hAnsi="Arial"/>
          <w:sz w:val="16"/>
          <w:szCs w:val="16"/>
          <w:color w:val="auto"/>
        </w:rPr>
        <w:t>. “Change in Control” shall mean the consummation of any transaction or series of transactions pursuant to which one or more Persons or group of Persons acquires (a) capital stock of the Company possessing the voting power sufficient to elect a majority of the members of the Board or the board of directors of the successor to the Company (whether such transaction is effected by merger, consolidation, recapitalization, sale or transfer of the Company’s capital stock or otherwise) or (b) all or substantially all of the assets of the Company and its subsidiaries.</w:t>
      </w:r>
    </w:p>
    <w:p>
      <w:pPr>
        <w:spacing w:after="0" w:line="157" w:lineRule="exact"/>
        <w:rPr>
          <w:rFonts w:ascii="Arial" w:cs="Arial" w:eastAsia="Arial" w:hAnsi="Arial"/>
          <w:sz w:val="16"/>
          <w:szCs w:val="16"/>
          <w:color w:val="auto"/>
        </w:rPr>
      </w:pPr>
    </w:p>
    <w:p>
      <w:pPr>
        <w:ind w:left="1020" w:hanging="263"/>
        <w:spacing w:after="0"/>
        <w:tabs>
          <w:tab w:leader="none" w:pos="1020" w:val="left"/>
        </w:tabs>
        <w:numPr>
          <w:ilvl w:val="0"/>
          <w:numId w:val="24"/>
        </w:numPr>
        <w:rPr>
          <w:rFonts w:ascii="Arial" w:cs="Arial" w:eastAsia="Arial" w:hAnsi="Arial"/>
          <w:sz w:val="18"/>
          <w:szCs w:val="18"/>
          <w:color w:val="auto"/>
        </w:rPr>
      </w:pPr>
      <w:r>
        <w:rPr>
          <w:rFonts w:ascii="Arial" w:cs="Arial" w:eastAsia="Arial" w:hAnsi="Arial"/>
          <w:sz w:val="18"/>
          <w:szCs w:val="18"/>
          <w:u w:val="single" w:color="auto"/>
          <w:color w:val="auto"/>
        </w:rPr>
        <w:t>Company</w:t>
      </w:r>
      <w:r>
        <w:rPr>
          <w:rFonts w:ascii="Arial" w:cs="Arial" w:eastAsia="Arial" w:hAnsi="Arial"/>
          <w:sz w:val="18"/>
          <w:szCs w:val="18"/>
          <w:color w:val="auto"/>
        </w:rPr>
        <w:t>. “Company” shall mean SS&amp;C Technologies Holdings, Inc.</w:t>
      </w:r>
    </w:p>
    <w:p>
      <w:pPr>
        <w:spacing w:after="0" w:line="225" w:lineRule="exact"/>
        <w:rPr>
          <w:rFonts w:ascii="Arial" w:cs="Arial" w:eastAsia="Arial" w:hAnsi="Arial"/>
          <w:sz w:val="18"/>
          <w:szCs w:val="18"/>
          <w:color w:val="auto"/>
        </w:rPr>
      </w:pPr>
    </w:p>
    <w:p>
      <w:pPr>
        <w:ind w:left="1000" w:hanging="243"/>
        <w:spacing w:after="0"/>
        <w:tabs>
          <w:tab w:leader="none" w:pos="1000" w:val="left"/>
        </w:tabs>
        <w:numPr>
          <w:ilvl w:val="0"/>
          <w:numId w:val="24"/>
        </w:numPr>
        <w:rPr>
          <w:rFonts w:ascii="Arial" w:cs="Arial" w:eastAsia="Arial" w:hAnsi="Arial"/>
          <w:sz w:val="18"/>
          <w:szCs w:val="18"/>
          <w:color w:val="auto"/>
        </w:rPr>
      </w:pPr>
      <w:r>
        <w:rPr>
          <w:rFonts w:ascii="Arial" w:cs="Arial" w:eastAsia="Arial" w:hAnsi="Arial"/>
          <w:sz w:val="18"/>
          <w:szCs w:val="18"/>
          <w:u w:val="single" w:color="auto"/>
          <w:color w:val="auto"/>
        </w:rPr>
        <w:t>Disability</w:t>
      </w:r>
      <w:r>
        <w:rPr>
          <w:rFonts w:ascii="Arial" w:cs="Arial" w:eastAsia="Arial" w:hAnsi="Arial"/>
          <w:sz w:val="18"/>
          <w:szCs w:val="18"/>
          <w:color w:val="auto"/>
        </w:rPr>
        <w:t>. “Disability” shall mean “disability,” as such term is defined in Section 22(e)(3) of the Code.</w:t>
      </w:r>
    </w:p>
    <w:p>
      <w:pPr>
        <w:spacing w:after="0" w:line="225" w:lineRule="exact"/>
        <w:rPr>
          <w:rFonts w:ascii="Arial" w:cs="Arial" w:eastAsia="Arial" w:hAnsi="Arial"/>
          <w:sz w:val="18"/>
          <w:szCs w:val="18"/>
          <w:color w:val="auto"/>
        </w:rPr>
      </w:pPr>
    </w:p>
    <w:p>
      <w:pPr>
        <w:ind w:left="980" w:hanging="223"/>
        <w:spacing w:after="0"/>
        <w:tabs>
          <w:tab w:leader="none" w:pos="980" w:val="left"/>
        </w:tabs>
        <w:numPr>
          <w:ilvl w:val="0"/>
          <w:numId w:val="24"/>
        </w:numPr>
        <w:rPr>
          <w:rFonts w:ascii="Arial" w:cs="Arial" w:eastAsia="Arial" w:hAnsi="Arial"/>
          <w:sz w:val="18"/>
          <w:szCs w:val="18"/>
          <w:color w:val="auto"/>
        </w:rPr>
      </w:pPr>
      <w:r>
        <w:rPr>
          <w:rFonts w:ascii="Arial" w:cs="Arial" w:eastAsia="Arial" w:hAnsi="Arial"/>
          <w:sz w:val="18"/>
          <w:szCs w:val="18"/>
          <w:u w:val="single" w:color="auto"/>
          <w:color w:val="auto"/>
        </w:rPr>
        <w:t>Exercise Price</w:t>
      </w:r>
      <w:r>
        <w:rPr>
          <w:rFonts w:ascii="Arial" w:cs="Arial" w:eastAsia="Arial" w:hAnsi="Arial"/>
          <w:sz w:val="18"/>
          <w:szCs w:val="18"/>
          <w:color w:val="auto"/>
        </w:rPr>
        <w:t>. “Exercise Price” shall mean the per share price set forth in the Stock Option Grant Notice.</w:t>
      </w:r>
    </w:p>
    <w:p>
      <w:pPr>
        <w:spacing w:after="0" w:line="225" w:lineRule="exact"/>
        <w:rPr>
          <w:rFonts w:ascii="Arial" w:cs="Arial" w:eastAsia="Arial" w:hAnsi="Arial"/>
          <w:sz w:val="18"/>
          <w:szCs w:val="18"/>
          <w:color w:val="auto"/>
        </w:rPr>
      </w:pPr>
    </w:p>
    <w:p>
      <w:pPr>
        <w:ind w:left="1020" w:hanging="263"/>
        <w:spacing w:after="0"/>
        <w:tabs>
          <w:tab w:leader="none" w:pos="1020" w:val="left"/>
        </w:tabs>
        <w:numPr>
          <w:ilvl w:val="0"/>
          <w:numId w:val="24"/>
        </w:numPr>
        <w:rPr>
          <w:rFonts w:ascii="Arial" w:cs="Arial" w:eastAsia="Arial" w:hAnsi="Arial"/>
          <w:sz w:val="18"/>
          <w:szCs w:val="18"/>
          <w:color w:val="auto"/>
        </w:rPr>
      </w:pPr>
      <w:r>
        <w:rPr>
          <w:rFonts w:ascii="Arial" w:cs="Arial" w:eastAsia="Arial" w:hAnsi="Arial"/>
          <w:sz w:val="18"/>
          <w:szCs w:val="18"/>
          <w:u w:val="single" w:color="auto"/>
          <w:color w:val="auto"/>
        </w:rPr>
        <w:t>Final Expiration Date</w:t>
      </w:r>
      <w:r>
        <w:rPr>
          <w:rFonts w:ascii="Arial" w:cs="Arial" w:eastAsia="Arial" w:hAnsi="Arial"/>
          <w:sz w:val="18"/>
          <w:szCs w:val="18"/>
          <w:color w:val="auto"/>
        </w:rPr>
        <w:t>. “Final Expiration Date” shall mean the date set forth in the Stock Option Grant Notice.</w:t>
      </w:r>
    </w:p>
    <w:p>
      <w:pPr>
        <w:spacing w:after="0" w:line="225" w:lineRule="exact"/>
        <w:rPr>
          <w:rFonts w:ascii="Arial" w:cs="Arial" w:eastAsia="Arial" w:hAnsi="Arial"/>
          <w:sz w:val="18"/>
          <w:szCs w:val="18"/>
          <w:color w:val="auto"/>
        </w:rPr>
      </w:pPr>
    </w:p>
    <w:p>
      <w:pPr>
        <w:ind w:right="20" w:firstLine="757"/>
        <w:spacing w:after="0" w:line="296" w:lineRule="auto"/>
        <w:tabs>
          <w:tab w:leader="none" w:pos="1004" w:val="left"/>
        </w:tabs>
        <w:numPr>
          <w:ilvl w:val="0"/>
          <w:numId w:val="24"/>
        </w:numPr>
        <w:rPr>
          <w:rFonts w:ascii="Arial" w:cs="Arial" w:eastAsia="Arial" w:hAnsi="Arial"/>
          <w:sz w:val="16"/>
          <w:szCs w:val="16"/>
          <w:color w:val="auto"/>
        </w:rPr>
      </w:pPr>
      <w:r>
        <w:rPr>
          <w:rFonts w:ascii="Arial" w:cs="Arial" w:eastAsia="Arial" w:hAnsi="Arial"/>
          <w:sz w:val="16"/>
          <w:szCs w:val="16"/>
          <w:u w:val="single" w:color="auto"/>
          <w:color w:val="auto"/>
        </w:rPr>
        <w:t>Good Reason</w:t>
      </w:r>
      <w:r>
        <w:rPr>
          <w:rFonts w:ascii="Arial" w:cs="Arial" w:eastAsia="Arial" w:hAnsi="Arial"/>
          <w:sz w:val="16"/>
          <w:szCs w:val="16"/>
          <w:color w:val="auto"/>
        </w:rPr>
        <w:t>. “Good Reason” shall have the meaning set forth in the Participant’s employment agreement, or if not so defined, shall mean the occurrence, without the Participant’s express written consent, of (i) an adverse change in the Participant’s employment title; (ii) a material diminution in the Participant’s employment duties or responsibilities or authority, or the assignment to the Participant of duties that are materially inconsistent with the Participant’s position; (iii) any reduction in base salary or target annual bonus opportunity; (iv) any breach by the Company of any material provision of this Agreement or any other material agreement between the Participant and the Company; or (v) a material diminution in the Participant’s reporting line.</w:t>
      </w:r>
    </w:p>
    <w:p>
      <w:pPr>
        <w:spacing w:after="0" w:line="161" w:lineRule="exact"/>
        <w:rPr>
          <w:rFonts w:ascii="Arial" w:cs="Arial" w:eastAsia="Arial" w:hAnsi="Arial"/>
          <w:sz w:val="16"/>
          <w:szCs w:val="16"/>
          <w:color w:val="auto"/>
        </w:rPr>
      </w:pPr>
    </w:p>
    <w:p>
      <w:pPr>
        <w:ind w:left="980" w:hanging="223"/>
        <w:spacing w:after="0"/>
        <w:tabs>
          <w:tab w:leader="none" w:pos="980" w:val="left"/>
        </w:tabs>
        <w:numPr>
          <w:ilvl w:val="0"/>
          <w:numId w:val="24"/>
        </w:numPr>
        <w:rPr>
          <w:rFonts w:ascii="Arial" w:cs="Arial" w:eastAsia="Arial" w:hAnsi="Arial"/>
          <w:sz w:val="18"/>
          <w:szCs w:val="18"/>
          <w:color w:val="auto"/>
        </w:rPr>
      </w:pPr>
      <w:r>
        <w:rPr>
          <w:rFonts w:ascii="Arial" w:cs="Arial" w:eastAsia="Arial" w:hAnsi="Arial"/>
          <w:sz w:val="18"/>
          <w:szCs w:val="18"/>
          <w:u w:val="single" w:color="auto"/>
          <w:color w:val="auto"/>
        </w:rPr>
        <w:t>Grant Date</w:t>
      </w:r>
      <w:r>
        <w:rPr>
          <w:rFonts w:ascii="Arial" w:cs="Arial" w:eastAsia="Arial" w:hAnsi="Arial"/>
          <w:sz w:val="18"/>
          <w:szCs w:val="18"/>
          <w:color w:val="auto"/>
        </w:rPr>
        <w:t>. “Grant Date” shall be the date set forth in the Stock Option Grant</w:t>
      </w:r>
    </w:p>
    <w:p>
      <w:pPr>
        <w:spacing w:after="0" w:line="225" w:lineRule="exact"/>
        <w:rPr>
          <w:rFonts w:ascii="Arial" w:cs="Arial" w:eastAsia="Arial" w:hAnsi="Arial"/>
          <w:sz w:val="18"/>
          <w:szCs w:val="18"/>
          <w:color w:val="auto"/>
        </w:rPr>
      </w:pPr>
    </w:p>
    <w:p>
      <w:pPr>
        <w:ind w:right="460" w:firstLine="757"/>
        <w:spacing w:after="0" w:line="277" w:lineRule="auto"/>
        <w:tabs>
          <w:tab w:leader="none" w:pos="964" w:val="left"/>
        </w:tabs>
        <w:numPr>
          <w:ilvl w:val="0"/>
          <w:numId w:val="24"/>
        </w:numPr>
        <w:rPr>
          <w:rFonts w:ascii="Arial" w:cs="Arial" w:eastAsia="Arial" w:hAnsi="Arial"/>
          <w:sz w:val="18"/>
          <w:szCs w:val="18"/>
          <w:color w:val="auto"/>
        </w:rPr>
      </w:pPr>
      <w:r>
        <w:rPr>
          <w:rFonts w:ascii="Arial" w:cs="Arial" w:eastAsia="Arial" w:hAnsi="Arial"/>
          <w:sz w:val="18"/>
          <w:szCs w:val="18"/>
          <w:u w:val="single" w:color="auto"/>
          <w:color w:val="auto"/>
        </w:rPr>
        <w:t>Person</w:t>
      </w:r>
      <w:r>
        <w:rPr>
          <w:rFonts w:ascii="Arial" w:cs="Arial" w:eastAsia="Arial" w:hAnsi="Arial"/>
          <w:sz w:val="18"/>
          <w:szCs w:val="18"/>
          <w:color w:val="auto"/>
        </w:rPr>
        <w:t>. “Person” shall mean an individual, partnership, corporation, limited liability company, business trust, joint stock company, trust, unincorporated association, joint venture, governmental authority or other entity of whatever nature.</w:t>
      </w:r>
    </w:p>
    <w:p>
      <w:pPr>
        <w:spacing w:after="0" w:line="170" w:lineRule="exact"/>
        <w:rPr>
          <w:rFonts w:ascii="Arial" w:cs="Arial" w:eastAsia="Arial" w:hAnsi="Arial"/>
          <w:sz w:val="18"/>
          <w:szCs w:val="18"/>
          <w:color w:val="auto"/>
        </w:rPr>
      </w:pPr>
    </w:p>
    <w:p>
      <w:pPr>
        <w:ind w:left="1020" w:hanging="263"/>
        <w:spacing w:after="0"/>
        <w:tabs>
          <w:tab w:leader="none" w:pos="1020" w:val="left"/>
        </w:tabs>
        <w:numPr>
          <w:ilvl w:val="0"/>
          <w:numId w:val="24"/>
        </w:numPr>
        <w:rPr>
          <w:rFonts w:ascii="Arial" w:cs="Arial" w:eastAsia="Arial" w:hAnsi="Arial"/>
          <w:sz w:val="18"/>
          <w:szCs w:val="18"/>
          <w:color w:val="auto"/>
        </w:rPr>
      </w:pPr>
      <w:r>
        <w:rPr>
          <w:rFonts w:ascii="Arial" w:cs="Arial" w:eastAsia="Arial" w:hAnsi="Arial"/>
          <w:sz w:val="18"/>
          <w:szCs w:val="18"/>
          <w:u w:val="single" w:color="auto"/>
          <w:color w:val="auto"/>
        </w:rPr>
        <w:t>Plan</w:t>
      </w:r>
      <w:r>
        <w:rPr>
          <w:rFonts w:ascii="Arial" w:cs="Arial" w:eastAsia="Arial" w:hAnsi="Arial"/>
          <w:sz w:val="18"/>
          <w:szCs w:val="18"/>
          <w:color w:val="auto"/>
        </w:rPr>
        <w:t>. “Plan” shall mean the Second Amended and Restated 2014 Stock Incentive Plan of SS&amp;C Technologies Holdings, Inc.</w:t>
      </w:r>
    </w:p>
    <w:p>
      <w:pPr>
        <w:spacing w:after="0" w:line="225" w:lineRule="exact"/>
        <w:rPr>
          <w:rFonts w:ascii="Arial" w:cs="Arial" w:eastAsia="Arial" w:hAnsi="Arial"/>
          <w:sz w:val="18"/>
          <w:szCs w:val="18"/>
          <w:color w:val="auto"/>
        </w:rPr>
      </w:pPr>
    </w:p>
    <w:p>
      <w:pPr>
        <w:ind w:left="980" w:hanging="223"/>
        <w:spacing w:after="0"/>
        <w:tabs>
          <w:tab w:leader="none" w:pos="980" w:val="left"/>
        </w:tabs>
        <w:numPr>
          <w:ilvl w:val="0"/>
          <w:numId w:val="24"/>
        </w:numPr>
        <w:rPr>
          <w:rFonts w:ascii="Arial" w:cs="Arial" w:eastAsia="Arial" w:hAnsi="Arial"/>
          <w:sz w:val="18"/>
          <w:szCs w:val="18"/>
          <w:color w:val="auto"/>
        </w:rPr>
      </w:pPr>
      <w:r>
        <w:rPr>
          <w:rFonts w:ascii="Arial" w:cs="Arial" w:eastAsia="Arial" w:hAnsi="Arial"/>
          <w:sz w:val="18"/>
          <w:szCs w:val="18"/>
          <w:u w:val="single" w:color="auto"/>
          <w:color w:val="auto"/>
        </w:rPr>
        <w:t>Stock Option Grant Notice</w:t>
      </w:r>
      <w:r>
        <w:rPr>
          <w:rFonts w:ascii="Arial" w:cs="Arial" w:eastAsia="Arial" w:hAnsi="Arial"/>
          <w:sz w:val="18"/>
          <w:szCs w:val="18"/>
          <w:color w:val="auto"/>
        </w:rPr>
        <w:t>. “Stock Option Grant Notice” shall mean the first page of this Agreement.</w:t>
      </w:r>
    </w:p>
    <w:p>
      <w:pPr>
        <w:spacing w:after="0" w:line="225" w:lineRule="exact"/>
        <w:rPr>
          <w:rFonts w:ascii="Arial" w:cs="Arial" w:eastAsia="Arial" w:hAnsi="Arial"/>
          <w:sz w:val="18"/>
          <w:szCs w:val="18"/>
          <w:color w:val="auto"/>
        </w:rPr>
      </w:pPr>
    </w:p>
    <w:p>
      <w:pPr>
        <w:ind w:right="60" w:firstLine="757"/>
        <w:spacing w:after="0" w:line="271" w:lineRule="auto"/>
        <w:tabs>
          <w:tab w:leader="none" w:pos="1054" w:val="left"/>
        </w:tabs>
        <w:numPr>
          <w:ilvl w:val="0"/>
          <w:numId w:val="24"/>
        </w:numPr>
        <w:rPr>
          <w:rFonts w:ascii="Arial" w:cs="Arial" w:eastAsia="Arial" w:hAnsi="Arial"/>
          <w:sz w:val="17"/>
          <w:szCs w:val="17"/>
          <w:color w:val="auto"/>
        </w:rPr>
      </w:pPr>
      <w:r>
        <w:rPr>
          <w:rFonts w:ascii="Arial" w:cs="Arial" w:eastAsia="Arial" w:hAnsi="Arial"/>
          <w:sz w:val="17"/>
          <w:szCs w:val="17"/>
          <w:u w:val="single" w:color="auto"/>
          <w:color w:val="auto"/>
        </w:rPr>
        <w:t>Termination of Service</w:t>
      </w:r>
      <w:r>
        <w:rPr>
          <w:rFonts w:ascii="Arial" w:cs="Arial" w:eastAsia="Arial" w:hAnsi="Arial"/>
          <w:sz w:val="17"/>
          <w:szCs w:val="17"/>
          <w:color w:val="auto"/>
        </w:rPr>
        <w:t>. “Termination of Service” shall mean the time when the Participant ceases to be an Eligible Participant for any reason, including, but not by way of limitation, termination with or without Cause, by resignation, failure to be elected or appointed, discharge, death or retirement, but excluding, at the discretion of the Plan Administrator, terminations which result in a temporary severance of the service relationship. The Plan Administrator, in its good faith judgment, shall determine the effect of all matters and questions relating to Termination of Service, including, but not by way of limitation, the question of whether a Termination of Service resulted from discharge for Cause, and all questions of whether a particular leave of absence constitutes a Termination of Service. Notwithstanding any other provision of the Plan, the Company or any Company Affiliate has an absolute and unrestricted right to terminate a Participant’s service at any time for any reason, with or without cause, except to the extent expressly provided otherwise in a written employment or consulting agreement with the Company or any Company Affiliate.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109855</wp:posOffset>
            </wp:positionV>
            <wp:extent cx="7174865" cy="42545"/>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7174865" cy="425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33" w:name="page34"/>
    <w:bookmarkEnd w:id="33"/>
    <w:p>
      <w:pPr>
        <w:jc w:val="center"/>
        <w:spacing w:after="0"/>
        <w:rPr>
          <w:sz w:val="20"/>
          <w:szCs w:val="20"/>
          <w:color w:val="auto"/>
        </w:rPr>
      </w:pPr>
      <w:r>
        <w:rPr>
          <w:rFonts w:ascii="Arial" w:cs="Arial" w:eastAsia="Arial" w:hAnsi="Arial"/>
          <w:sz w:val="16"/>
          <w:szCs w:val="16"/>
          <w:i w:val="1"/>
          <w:iCs w:val="1"/>
          <w:color w:val="auto"/>
        </w:rPr>
        <w:t>[Rest of page left intentionally blank]</w:t>
      </w:r>
    </w:p>
    <w:p>
      <w:pPr>
        <w:sectPr>
          <w:pgSz w:w="11900" w:h="16838" w:orient="portrait"/>
          <w:cols w:equalWidth="0" w:num="1">
            <w:col w:w="9019"/>
          </w:cols>
          <w:pgMar w:left="1440" w:top="557" w:right="1440" w:bottom="1440" w:gutter="0" w:footer="0" w:header="0"/>
        </w:sectPr>
      </w:pPr>
    </w:p>
    <w:bookmarkStart w:id="34" w:name="page35"/>
    <w:bookmarkEnd w:id="34"/>
    <w:p>
      <w:pPr>
        <w:jc w:val="right"/>
        <w:spacing w:after="0"/>
        <w:rPr>
          <w:sz w:val="20"/>
          <w:szCs w:val="20"/>
          <w:color w:val="auto"/>
        </w:rPr>
      </w:pPr>
      <w:r>
        <w:rPr>
          <w:rFonts w:ascii="Arial" w:cs="Arial" w:eastAsia="Arial" w:hAnsi="Arial"/>
          <w:sz w:val="18"/>
          <w:szCs w:val="18"/>
          <w:b w:val="1"/>
          <w:bCs w:val="1"/>
          <w:color w:val="auto"/>
        </w:rPr>
        <w:t>Exhibit 31.1</w:t>
      </w:r>
    </w:p>
    <w:p>
      <w:pPr>
        <w:spacing w:after="0" w:line="22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CERTIFICATION</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I, William C. Stone, certify that:</w:t>
      </w:r>
    </w:p>
    <w:p>
      <w:pPr>
        <w:spacing w:after="0" w:line="117" w:lineRule="exact"/>
        <w:rPr>
          <w:sz w:val="20"/>
          <w:szCs w:val="20"/>
          <w:color w:val="auto"/>
        </w:rPr>
      </w:pPr>
    </w:p>
    <w:p>
      <w:pPr>
        <w:ind w:left="500" w:hanging="492"/>
        <w:spacing w:after="0"/>
        <w:tabs>
          <w:tab w:leader="none" w:pos="500" w:val="left"/>
        </w:tabs>
        <w:numPr>
          <w:ilvl w:val="0"/>
          <w:numId w:val="25"/>
        </w:numPr>
        <w:rPr>
          <w:rFonts w:ascii="Arial" w:cs="Arial" w:eastAsia="Arial" w:hAnsi="Arial"/>
          <w:sz w:val="18"/>
          <w:szCs w:val="18"/>
          <w:color w:val="auto"/>
        </w:rPr>
      </w:pPr>
      <w:r>
        <w:rPr>
          <w:rFonts w:ascii="Arial" w:cs="Arial" w:eastAsia="Arial" w:hAnsi="Arial"/>
          <w:sz w:val="18"/>
          <w:szCs w:val="18"/>
          <w:color w:val="auto"/>
        </w:rPr>
        <w:t>I have reviewed this quarterly report on Form 10-Q of SS&amp;C Technologies Holdings, Inc.;</w:t>
      </w:r>
    </w:p>
    <w:p>
      <w:pPr>
        <w:spacing w:after="0" w:line="117" w:lineRule="exact"/>
        <w:rPr>
          <w:rFonts w:ascii="Arial" w:cs="Arial" w:eastAsia="Arial" w:hAnsi="Arial"/>
          <w:sz w:val="18"/>
          <w:szCs w:val="18"/>
          <w:color w:val="auto"/>
        </w:rPr>
      </w:pPr>
    </w:p>
    <w:p>
      <w:pPr>
        <w:jc w:val="both"/>
        <w:ind w:left="500" w:right="260" w:hanging="492"/>
        <w:spacing w:after="0" w:line="263" w:lineRule="auto"/>
        <w:tabs>
          <w:tab w:leader="none" w:pos="500" w:val="left"/>
        </w:tabs>
        <w:numPr>
          <w:ilvl w:val="0"/>
          <w:numId w:val="25"/>
        </w:numPr>
        <w:rPr>
          <w:rFonts w:ascii="Arial" w:cs="Arial" w:eastAsia="Arial" w:hAnsi="Arial"/>
          <w:sz w:val="18"/>
          <w:szCs w:val="18"/>
          <w:color w:val="auto"/>
        </w:rPr>
      </w:pPr>
      <w:r>
        <w:rPr>
          <w:rFonts w:ascii="Arial" w:cs="Arial" w:eastAsia="Arial" w:hAnsi="Arial"/>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75" w:lineRule="exact"/>
        <w:rPr>
          <w:rFonts w:ascii="Arial" w:cs="Arial" w:eastAsia="Arial" w:hAnsi="Arial"/>
          <w:sz w:val="18"/>
          <w:szCs w:val="18"/>
          <w:color w:val="auto"/>
        </w:rPr>
      </w:pPr>
    </w:p>
    <w:p>
      <w:pPr>
        <w:ind w:left="500" w:right="220" w:hanging="492"/>
        <w:spacing w:after="0" w:line="308" w:lineRule="auto"/>
        <w:tabs>
          <w:tab w:leader="none" w:pos="500" w:val="left"/>
        </w:tabs>
        <w:numPr>
          <w:ilvl w:val="0"/>
          <w:numId w:val="25"/>
        </w:numPr>
        <w:rPr>
          <w:rFonts w:ascii="Arial" w:cs="Arial" w:eastAsia="Arial" w:hAnsi="Arial"/>
          <w:sz w:val="17"/>
          <w:szCs w:val="17"/>
          <w:color w:val="auto"/>
        </w:rPr>
      </w:pPr>
      <w:r>
        <w:rPr>
          <w:rFonts w:ascii="Arial" w:cs="Arial" w:eastAsia="Arial" w:hAnsi="Arial"/>
          <w:sz w:val="17"/>
          <w:szCs w:val="17"/>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38" w:lineRule="exact"/>
        <w:rPr>
          <w:rFonts w:ascii="Arial" w:cs="Arial" w:eastAsia="Arial" w:hAnsi="Arial"/>
          <w:sz w:val="17"/>
          <w:szCs w:val="17"/>
          <w:color w:val="auto"/>
        </w:rPr>
      </w:pPr>
    </w:p>
    <w:p>
      <w:pPr>
        <w:jc w:val="both"/>
        <w:ind w:left="500" w:right="260" w:hanging="492"/>
        <w:spacing w:after="0" w:line="263" w:lineRule="auto"/>
        <w:tabs>
          <w:tab w:leader="none" w:pos="500" w:val="left"/>
        </w:tabs>
        <w:numPr>
          <w:ilvl w:val="0"/>
          <w:numId w:val="25"/>
        </w:numPr>
        <w:rPr>
          <w:rFonts w:ascii="Arial" w:cs="Arial" w:eastAsia="Arial" w:hAnsi="Arial"/>
          <w:sz w:val="18"/>
          <w:szCs w:val="18"/>
          <w:color w:val="auto"/>
        </w:rPr>
      </w:pPr>
      <w:r>
        <w:rPr>
          <w:rFonts w:ascii="Arial" w:cs="Arial" w:eastAsia="Arial" w:hAnsi="Arial"/>
          <w:sz w:val="18"/>
          <w:szCs w:val="18"/>
          <w:color w:val="auto"/>
        </w:rPr>
        <w:t>The registrant’s other certifying officer(s)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75" w:lineRule="exact"/>
        <w:rPr>
          <w:rFonts w:ascii="Arial" w:cs="Arial" w:eastAsia="Arial" w:hAnsi="Arial"/>
          <w:sz w:val="18"/>
          <w:szCs w:val="18"/>
          <w:color w:val="auto"/>
        </w:rPr>
      </w:pPr>
    </w:p>
    <w:p>
      <w:pPr>
        <w:ind w:left="1000" w:right="20" w:hanging="493"/>
        <w:spacing w:after="0" w:line="263" w:lineRule="auto"/>
        <w:tabs>
          <w:tab w:leader="none" w:pos="1000" w:val="left"/>
        </w:tabs>
        <w:numPr>
          <w:ilvl w:val="1"/>
          <w:numId w:val="25"/>
        </w:numPr>
        <w:rPr>
          <w:rFonts w:ascii="Arial" w:cs="Arial" w:eastAsia="Arial" w:hAnsi="Arial"/>
          <w:sz w:val="18"/>
          <w:szCs w:val="18"/>
          <w:color w:val="auto"/>
        </w:rPr>
      </w:pPr>
      <w:r>
        <w:rPr>
          <w:rFonts w:ascii="Arial" w:cs="Arial" w:eastAsia="Arial" w:hAnsi="Arial"/>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75" w:lineRule="exact"/>
        <w:rPr>
          <w:rFonts w:ascii="Arial" w:cs="Arial" w:eastAsia="Arial" w:hAnsi="Arial"/>
          <w:sz w:val="18"/>
          <w:szCs w:val="18"/>
          <w:color w:val="auto"/>
        </w:rPr>
      </w:pPr>
    </w:p>
    <w:p>
      <w:pPr>
        <w:ind w:left="1000" w:right="340" w:hanging="493"/>
        <w:spacing w:after="0" w:line="263" w:lineRule="auto"/>
        <w:tabs>
          <w:tab w:leader="none" w:pos="1000" w:val="left"/>
        </w:tabs>
        <w:numPr>
          <w:ilvl w:val="1"/>
          <w:numId w:val="25"/>
        </w:numPr>
        <w:rPr>
          <w:rFonts w:ascii="Arial" w:cs="Arial" w:eastAsia="Arial" w:hAnsi="Arial"/>
          <w:sz w:val="18"/>
          <w:szCs w:val="18"/>
          <w:color w:val="auto"/>
        </w:rPr>
      </w:pPr>
      <w:r>
        <w:rPr>
          <w:rFonts w:ascii="Arial" w:cs="Arial" w:eastAsia="Arial" w:hAnsi="Arial"/>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75" w:lineRule="exact"/>
        <w:rPr>
          <w:rFonts w:ascii="Arial" w:cs="Arial" w:eastAsia="Arial" w:hAnsi="Arial"/>
          <w:sz w:val="18"/>
          <w:szCs w:val="18"/>
          <w:color w:val="auto"/>
        </w:rPr>
      </w:pPr>
    </w:p>
    <w:p>
      <w:pPr>
        <w:jc w:val="both"/>
        <w:ind w:left="1000" w:right="500" w:hanging="493"/>
        <w:spacing w:after="0" w:line="342" w:lineRule="auto"/>
        <w:tabs>
          <w:tab w:leader="none" w:pos="1000" w:val="left"/>
        </w:tabs>
        <w:numPr>
          <w:ilvl w:val="1"/>
          <w:numId w:val="25"/>
        </w:numPr>
        <w:rPr>
          <w:rFonts w:ascii="Arial" w:cs="Arial" w:eastAsia="Arial" w:hAnsi="Arial"/>
          <w:sz w:val="16"/>
          <w:szCs w:val="16"/>
          <w:color w:val="auto"/>
        </w:rPr>
      </w:pPr>
      <w:r>
        <w:rPr>
          <w:rFonts w:ascii="Arial" w:cs="Arial" w:eastAsia="Arial" w:hAnsi="Arial"/>
          <w:sz w:val="16"/>
          <w:szCs w:val="16"/>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5" w:lineRule="exact"/>
        <w:rPr>
          <w:rFonts w:ascii="Arial" w:cs="Arial" w:eastAsia="Arial" w:hAnsi="Arial"/>
          <w:sz w:val="16"/>
          <w:szCs w:val="16"/>
          <w:color w:val="auto"/>
        </w:rPr>
      </w:pPr>
    </w:p>
    <w:p>
      <w:pPr>
        <w:ind w:left="1000" w:right="20" w:hanging="493"/>
        <w:spacing w:after="0" w:line="263" w:lineRule="auto"/>
        <w:tabs>
          <w:tab w:leader="none" w:pos="1000" w:val="left"/>
        </w:tabs>
        <w:numPr>
          <w:ilvl w:val="1"/>
          <w:numId w:val="25"/>
        </w:numPr>
        <w:rPr>
          <w:rFonts w:ascii="Arial" w:cs="Arial" w:eastAsia="Arial" w:hAnsi="Arial"/>
          <w:sz w:val="18"/>
          <w:szCs w:val="18"/>
          <w:color w:val="auto"/>
        </w:rPr>
      </w:pPr>
      <w:r>
        <w:rPr>
          <w:rFonts w:ascii="Arial" w:cs="Arial" w:eastAsia="Arial" w:hAnsi="Arial"/>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75" w:lineRule="exact"/>
        <w:rPr>
          <w:rFonts w:ascii="Arial" w:cs="Arial" w:eastAsia="Arial" w:hAnsi="Arial"/>
          <w:sz w:val="18"/>
          <w:szCs w:val="18"/>
          <w:color w:val="auto"/>
        </w:rPr>
      </w:pPr>
    </w:p>
    <w:p>
      <w:pPr>
        <w:ind w:left="500" w:right="220" w:hanging="492"/>
        <w:spacing w:after="0" w:line="342" w:lineRule="auto"/>
        <w:tabs>
          <w:tab w:leader="none" w:pos="500" w:val="left"/>
        </w:tabs>
        <w:numPr>
          <w:ilvl w:val="0"/>
          <w:numId w:val="25"/>
        </w:numPr>
        <w:rPr>
          <w:rFonts w:ascii="Arial" w:cs="Arial" w:eastAsia="Arial" w:hAnsi="Arial"/>
          <w:sz w:val="16"/>
          <w:szCs w:val="16"/>
          <w:color w:val="auto"/>
        </w:rPr>
      </w:pPr>
      <w:r>
        <w:rPr>
          <w:rFonts w:ascii="Arial" w:cs="Arial" w:eastAsia="Arial" w:hAnsi="Arial"/>
          <w:sz w:val="16"/>
          <w:szCs w:val="16"/>
          <w:color w:val="auto"/>
        </w:rPr>
        <w:t>The registrant’s other certifying officer(s) and I have disclosed, based on our most recent evaluation of internal control over financial reporting, to the registrant’s auditors and the audit committee of the registrant’s board of directors (or persons performing the equivalent functions):</w:t>
      </w:r>
    </w:p>
    <w:p>
      <w:pPr>
        <w:spacing w:after="0" w:line="15" w:lineRule="exact"/>
        <w:rPr>
          <w:rFonts w:ascii="Arial" w:cs="Arial" w:eastAsia="Arial" w:hAnsi="Arial"/>
          <w:sz w:val="16"/>
          <w:szCs w:val="16"/>
          <w:color w:val="auto"/>
        </w:rPr>
      </w:pPr>
    </w:p>
    <w:p>
      <w:pPr>
        <w:ind w:left="1000" w:right="740" w:hanging="493"/>
        <w:spacing w:after="0" w:line="342" w:lineRule="auto"/>
        <w:tabs>
          <w:tab w:leader="none" w:pos="1000" w:val="left"/>
        </w:tabs>
        <w:numPr>
          <w:ilvl w:val="1"/>
          <w:numId w:val="25"/>
        </w:numPr>
        <w:rPr>
          <w:rFonts w:ascii="Arial" w:cs="Arial" w:eastAsia="Arial" w:hAnsi="Arial"/>
          <w:sz w:val="16"/>
          <w:szCs w:val="16"/>
          <w:color w:val="auto"/>
        </w:rPr>
      </w:pPr>
      <w:r>
        <w:rPr>
          <w:rFonts w:ascii="Arial" w:cs="Arial" w:eastAsia="Arial" w:hAnsi="Arial"/>
          <w:sz w:val="16"/>
          <w:szCs w:val="16"/>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5" w:lineRule="exact"/>
        <w:rPr>
          <w:rFonts w:ascii="Arial" w:cs="Arial" w:eastAsia="Arial" w:hAnsi="Arial"/>
          <w:sz w:val="16"/>
          <w:szCs w:val="16"/>
          <w:color w:val="auto"/>
        </w:rPr>
      </w:pPr>
    </w:p>
    <w:p>
      <w:pPr>
        <w:ind w:left="1000" w:right="440" w:hanging="493"/>
        <w:spacing w:after="0" w:line="277" w:lineRule="auto"/>
        <w:tabs>
          <w:tab w:leader="none" w:pos="1000" w:val="left"/>
        </w:tabs>
        <w:numPr>
          <w:ilvl w:val="1"/>
          <w:numId w:val="25"/>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 over financial reporting.</w:t>
      </w:r>
    </w:p>
    <w:p>
      <w:pPr>
        <w:spacing w:after="0" w:line="170"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5620" w:type="dxa"/>
            <w:vAlign w:val="bottom"/>
          </w:tcPr>
          <w:p>
            <w:pPr>
              <w:spacing w:after="0"/>
              <w:rPr>
                <w:sz w:val="20"/>
                <w:szCs w:val="20"/>
                <w:color w:val="auto"/>
              </w:rPr>
            </w:pPr>
            <w:r>
              <w:rPr>
                <w:rFonts w:ascii="Arial" w:cs="Arial" w:eastAsia="Arial" w:hAnsi="Arial"/>
                <w:sz w:val="18"/>
                <w:szCs w:val="18"/>
                <w:color w:val="auto"/>
              </w:rPr>
              <w:t>Date: May 5, 2021</w:t>
            </w:r>
          </w:p>
        </w:tc>
        <w:tc>
          <w:tcPr>
            <w:tcW w:w="562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/s/ William C. Stone</w:t>
            </w:r>
          </w:p>
        </w:tc>
      </w:tr>
      <w:tr>
        <w:trPr>
          <w:trHeight w:val="195"/>
        </w:trPr>
        <w:tc>
          <w:tcPr>
            <w:tcW w:w="5620" w:type="dxa"/>
            <w:vAlign w:val="bottom"/>
          </w:tcPr>
          <w:p>
            <w:pPr>
              <w:spacing w:after="0"/>
              <w:rPr>
                <w:sz w:val="16"/>
                <w:szCs w:val="16"/>
                <w:color w:val="auto"/>
              </w:rPr>
            </w:pPr>
          </w:p>
        </w:tc>
        <w:tc>
          <w:tcPr>
            <w:tcW w:w="5620" w:type="dxa"/>
            <w:vAlign w:val="bottom"/>
          </w:tcPr>
          <w:p>
            <w:pPr>
              <w:spacing w:after="0" w:line="195" w:lineRule="exact"/>
              <w:rPr>
                <w:sz w:val="20"/>
                <w:szCs w:val="20"/>
                <w:color w:val="auto"/>
              </w:rPr>
            </w:pPr>
            <w:r>
              <w:rPr>
                <w:rFonts w:ascii="Arial" w:cs="Arial" w:eastAsia="Arial" w:hAnsi="Arial"/>
                <w:sz w:val="18"/>
                <w:szCs w:val="18"/>
                <w:color w:val="auto"/>
              </w:rPr>
              <w:t>William C. Stone</w:t>
            </w:r>
          </w:p>
        </w:tc>
      </w:tr>
      <w:tr>
        <w:trPr>
          <w:trHeight w:val="216"/>
        </w:trPr>
        <w:tc>
          <w:tcPr>
            <w:tcW w:w="5620" w:type="dxa"/>
            <w:vAlign w:val="bottom"/>
          </w:tcPr>
          <w:p>
            <w:pPr>
              <w:spacing w:after="0"/>
              <w:rPr>
                <w:sz w:val="18"/>
                <w:szCs w:val="18"/>
                <w:color w:val="auto"/>
              </w:rPr>
            </w:pPr>
          </w:p>
        </w:tc>
        <w:tc>
          <w:tcPr>
            <w:tcW w:w="5620" w:type="dxa"/>
            <w:vAlign w:val="bottom"/>
          </w:tcPr>
          <w:p>
            <w:pPr>
              <w:spacing w:after="0"/>
              <w:rPr>
                <w:sz w:val="20"/>
                <w:szCs w:val="20"/>
                <w:color w:val="auto"/>
              </w:rPr>
            </w:pPr>
            <w:r>
              <w:rPr>
                <w:rFonts w:ascii="Arial" w:cs="Arial" w:eastAsia="Arial" w:hAnsi="Arial"/>
                <w:sz w:val="18"/>
                <w:szCs w:val="18"/>
                <w:color w:val="auto"/>
              </w:rPr>
              <w:t>Chairman of the Board and Chief Executive Officer</w:t>
            </w:r>
          </w:p>
        </w:tc>
      </w:tr>
      <w:tr>
        <w:trPr>
          <w:trHeight w:val="230"/>
        </w:trPr>
        <w:tc>
          <w:tcPr>
            <w:tcW w:w="5620" w:type="dxa"/>
            <w:vAlign w:val="bottom"/>
          </w:tcPr>
          <w:p>
            <w:pPr>
              <w:spacing w:after="0"/>
              <w:rPr>
                <w:sz w:val="20"/>
                <w:szCs w:val="20"/>
                <w:color w:val="auto"/>
              </w:rPr>
            </w:pPr>
          </w:p>
        </w:tc>
        <w:tc>
          <w:tcPr>
            <w:tcW w:w="5620" w:type="dxa"/>
            <w:vAlign w:val="bottom"/>
          </w:tcPr>
          <w:p>
            <w:pPr>
              <w:spacing w:after="0"/>
              <w:rPr>
                <w:sz w:val="20"/>
                <w:szCs w:val="20"/>
                <w:color w:val="auto"/>
              </w:rPr>
            </w:pPr>
            <w:r>
              <w:rPr>
                <w:rFonts w:ascii="Arial" w:cs="Arial" w:eastAsia="Arial" w:hAnsi="Arial"/>
                <w:sz w:val="18"/>
                <w:szCs w:val="18"/>
                <w:color w:val="auto"/>
              </w:rPr>
              <w:t>(Principal Executive Officer)</w:t>
            </w:r>
          </w:p>
        </w:tc>
      </w:tr>
    </w:tbl>
    <w:p>
      <w:pPr>
        <w:sectPr>
          <w:pgSz w:w="11900" w:h="16838" w:orient="portrait"/>
          <w:cols w:equalWidth="0" w:num="1">
            <w:col w:w="11240"/>
          </w:cols>
          <w:pgMar w:left="320" w:top="121" w:right="339" w:bottom="1440" w:gutter="0" w:footer="0" w:header="0"/>
        </w:sectPr>
      </w:pPr>
    </w:p>
    <w:bookmarkStart w:id="35" w:name="page36"/>
    <w:bookmarkEnd w:id="35"/>
    <w:p>
      <w:pPr>
        <w:jc w:val="right"/>
        <w:spacing w:after="0"/>
        <w:rPr>
          <w:sz w:val="20"/>
          <w:szCs w:val="20"/>
          <w:color w:val="auto"/>
        </w:rPr>
      </w:pPr>
      <w:r>
        <w:rPr>
          <w:rFonts w:ascii="Arial" w:cs="Arial" w:eastAsia="Arial" w:hAnsi="Arial"/>
          <w:sz w:val="18"/>
          <w:szCs w:val="18"/>
          <w:b w:val="1"/>
          <w:bCs w:val="1"/>
          <w:color w:val="auto"/>
        </w:rPr>
        <w:t>Exhibit 31.2</w:t>
      </w:r>
    </w:p>
    <w:p>
      <w:pPr>
        <w:spacing w:after="0" w:line="22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CERTIFICATION</w:t>
      </w:r>
    </w:p>
    <w:p>
      <w:pPr>
        <w:spacing w:after="0" w:line="225" w:lineRule="exact"/>
        <w:rPr>
          <w:sz w:val="20"/>
          <w:szCs w:val="20"/>
          <w:color w:val="auto"/>
        </w:rPr>
      </w:pPr>
    </w:p>
    <w:p>
      <w:pPr>
        <w:ind w:left="40"/>
        <w:spacing w:after="0"/>
        <w:rPr>
          <w:sz w:val="20"/>
          <w:szCs w:val="20"/>
          <w:color w:val="auto"/>
        </w:rPr>
      </w:pPr>
      <w:r>
        <w:rPr>
          <w:rFonts w:ascii="Arial" w:cs="Arial" w:eastAsia="Arial" w:hAnsi="Arial"/>
          <w:sz w:val="18"/>
          <w:szCs w:val="18"/>
          <w:color w:val="auto"/>
        </w:rPr>
        <w:t>I, Patrick J. Pedonti, certify that:</w:t>
      </w:r>
    </w:p>
    <w:p>
      <w:pPr>
        <w:spacing w:after="0" w:line="117" w:lineRule="exact"/>
        <w:rPr>
          <w:sz w:val="20"/>
          <w:szCs w:val="20"/>
          <w:color w:val="auto"/>
        </w:rPr>
      </w:pPr>
    </w:p>
    <w:p>
      <w:pPr>
        <w:ind w:left="500" w:hanging="492"/>
        <w:spacing w:after="0"/>
        <w:tabs>
          <w:tab w:leader="none" w:pos="500" w:val="left"/>
        </w:tabs>
        <w:numPr>
          <w:ilvl w:val="0"/>
          <w:numId w:val="26"/>
        </w:numPr>
        <w:rPr>
          <w:rFonts w:ascii="Arial" w:cs="Arial" w:eastAsia="Arial" w:hAnsi="Arial"/>
          <w:sz w:val="18"/>
          <w:szCs w:val="18"/>
          <w:color w:val="auto"/>
        </w:rPr>
      </w:pPr>
      <w:r>
        <w:rPr>
          <w:rFonts w:ascii="Arial" w:cs="Arial" w:eastAsia="Arial" w:hAnsi="Arial"/>
          <w:sz w:val="18"/>
          <w:szCs w:val="18"/>
          <w:color w:val="auto"/>
        </w:rPr>
        <w:t>I have reviewed this quarterly report on Form 10-Q of SS&amp;C Technologies Holdings, Inc.;</w:t>
      </w:r>
    </w:p>
    <w:p>
      <w:pPr>
        <w:spacing w:after="0" w:line="117" w:lineRule="exact"/>
        <w:rPr>
          <w:rFonts w:ascii="Arial" w:cs="Arial" w:eastAsia="Arial" w:hAnsi="Arial"/>
          <w:sz w:val="18"/>
          <w:szCs w:val="18"/>
          <w:color w:val="auto"/>
        </w:rPr>
      </w:pPr>
    </w:p>
    <w:p>
      <w:pPr>
        <w:jc w:val="both"/>
        <w:ind w:left="500" w:right="260" w:hanging="492"/>
        <w:spacing w:after="0" w:line="263" w:lineRule="auto"/>
        <w:tabs>
          <w:tab w:leader="none" w:pos="500" w:val="left"/>
        </w:tabs>
        <w:numPr>
          <w:ilvl w:val="0"/>
          <w:numId w:val="26"/>
        </w:numPr>
        <w:rPr>
          <w:rFonts w:ascii="Arial" w:cs="Arial" w:eastAsia="Arial" w:hAnsi="Arial"/>
          <w:sz w:val="18"/>
          <w:szCs w:val="18"/>
          <w:color w:val="auto"/>
        </w:rPr>
      </w:pPr>
      <w:r>
        <w:rPr>
          <w:rFonts w:ascii="Arial" w:cs="Arial" w:eastAsia="Arial" w:hAnsi="Arial"/>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75" w:lineRule="exact"/>
        <w:rPr>
          <w:rFonts w:ascii="Arial" w:cs="Arial" w:eastAsia="Arial" w:hAnsi="Arial"/>
          <w:sz w:val="18"/>
          <w:szCs w:val="18"/>
          <w:color w:val="auto"/>
        </w:rPr>
      </w:pPr>
    </w:p>
    <w:p>
      <w:pPr>
        <w:ind w:left="500" w:right="220" w:hanging="492"/>
        <w:spacing w:after="0" w:line="308" w:lineRule="auto"/>
        <w:tabs>
          <w:tab w:leader="none" w:pos="500" w:val="left"/>
        </w:tabs>
        <w:numPr>
          <w:ilvl w:val="0"/>
          <w:numId w:val="26"/>
        </w:numPr>
        <w:rPr>
          <w:rFonts w:ascii="Arial" w:cs="Arial" w:eastAsia="Arial" w:hAnsi="Arial"/>
          <w:sz w:val="17"/>
          <w:szCs w:val="17"/>
          <w:color w:val="auto"/>
        </w:rPr>
      </w:pPr>
      <w:r>
        <w:rPr>
          <w:rFonts w:ascii="Arial" w:cs="Arial" w:eastAsia="Arial" w:hAnsi="Arial"/>
          <w:sz w:val="17"/>
          <w:szCs w:val="17"/>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38" w:lineRule="exact"/>
        <w:rPr>
          <w:rFonts w:ascii="Arial" w:cs="Arial" w:eastAsia="Arial" w:hAnsi="Arial"/>
          <w:sz w:val="17"/>
          <w:szCs w:val="17"/>
          <w:color w:val="auto"/>
        </w:rPr>
      </w:pPr>
    </w:p>
    <w:p>
      <w:pPr>
        <w:jc w:val="both"/>
        <w:ind w:left="500" w:right="260" w:hanging="492"/>
        <w:spacing w:after="0" w:line="263" w:lineRule="auto"/>
        <w:tabs>
          <w:tab w:leader="none" w:pos="500" w:val="left"/>
        </w:tabs>
        <w:numPr>
          <w:ilvl w:val="0"/>
          <w:numId w:val="26"/>
        </w:numPr>
        <w:rPr>
          <w:rFonts w:ascii="Arial" w:cs="Arial" w:eastAsia="Arial" w:hAnsi="Arial"/>
          <w:sz w:val="18"/>
          <w:szCs w:val="18"/>
          <w:color w:val="auto"/>
        </w:rPr>
      </w:pPr>
      <w:r>
        <w:rPr>
          <w:rFonts w:ascii="Arial" w:cs="Arial" w:eastAsia="Arial" w:hAnsi="Arial"/>
          <w:sz w:val="18"/>
          <w:szCs w:val="18"/>
          <w:color w:val="auto"/>
        </w:rPr>
        <w:t>The registrant’s other certifying officer(s)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75" w:lineRule="exact"/>
        <w:rPr>
          <w:rFonts w:ascii="Arial" w:cs="Arial" w:eastAsia="Arial" w:hAnsi="Arial"/>
          <w:sz w:val="18"/>
          <w:szCs w:val="18"/>
          <w:color w:val="auto"/>
        </w:rPr>
      </w:pPr>
    </w:p>
    <w:p>
      <w:pPr>
        <w:ind w:left="1000" w:right="20" w:hanging="493"/>
        <w:spacing w:after="0" w:line="263" w:lineRule="auto"/>
        <w:tabs>
          <w:tab w:leader="none" w:pos="1000" w:val="left"/>
        </w:tabs>
        <w:numPr>
          <w:ilvl w:val="1"/>
          <w:numId w:val="26"/>
        </w:numPr>
        <w:rPr>
          <w:rFonts w:ascii="Arial" w:cs="Arial" w:eastAsia="Arial" w:hAnsi="Arial"/>
          <w:sz w:val="18"/>
          <w:szCs w:val="18"/>
          <w:color w:val="auto"/>
        </w:rPr>
      </w:pPr>
      <w:r>
        <w:rPr>
          <w:rFonts w:ascii="Arial" w:cs="Arial" w:eastAsia="Arial" w:hAnsi="Arial"/>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75" w:lineRule="exact"/>
        <w:rPr>
          <w:rFonts w:ascii="Arial" w:cs="Arial" w:eastAsia="Arial" w:hAnsi="Arial"/>
          <w:sz w:val="18"/>
          <w:szCs w:val="18"/>
          <w:color w:val="auto"/>
        </w:rPr>
      </w:pPr>
    </w:p>
    <w:p>
      <w:pPr>
        <w:ind w:left="1000" w:right="340" w:hanging="493"/>
        <w:spacing w:after="0" w:line="263" w:lineRule="auto"/>
        <w:tabs>
          <w:tab w:leader="none" w:pos="1000" w:val="left"/>
        </w:tabs>
        <w:numPr>
          <w:ilvl w:val="1"/>
          <w:numId w:val="26"/>
        </w:numPr>
        <w:rPr>
          <w:rFonts w:ascii="Arial" w:cs="Arial" w:eastAsia="Arial" w:hAnsi="Arial"/>
          <w:sz w:val="18"/>
          <w:szCs w:val="18"/>
          <w:color w:val="auto"/>
        </w:rPr>
      </w:pPr>
      <w:r>
        <w:rPr>
          <w:rFonts w:ascii="Arial" w:cs="Arial" w:eastAsia="Arial" w:hAnsi="Arial"/>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75" w:lineRule="exact"/>
        <w:rPr>
          <w:rFonts w:ascii="Arial" w:cs="Arial" w:eastAsia="Arial" w:hAnsi="Arial"/>
          <w:sz w:val="18"/>
          <w:szCs w:val="18"/>
          <w:color w:val="auto"/>
        </w:rPr>
      </w:pPr>
    </w:p>
    <w:p>
      <w:pPr>
        <w:jc w:val="both"/>
        <w:ind w:left="1000" w:right="500" w:hanging="493"/>
        <w:spacing w:after="0" w:line="342" w:lineRule="auto"/>
        <w:tabs>
          <w:tab w:leader="none" w:pos="1000" w:val="left"/>
        </w:tabs>
        <w:numPr>
          <w:ilvl w:val="1"/>
          <w:numId w:val="26"/>
        </w:numPr>
        <w:rPr>
          <w:rFonts w:ascii="Arial" w:cs="Arial" w:eastAsia="Arial" w:hAnsi="Arial"/>
          <w:sz w:val="16"/>
          <w:szCs w:val="16"/>
          <w:color w:val="auto"/>
        </w:rPr>
      </w:pPr>
      <w:r>
        <w:rPr>
          <w:rFonts w:ascii="Arial" w:cs="Arial" w:eastAsia="Arial" w:hAnsi="Arial"/>
          <w:sz w:val="16"/>
          <w:szCs w:val="16"/>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5" w:lineRule="exact"/>
        <w:rPr>
          <w:rFonts w:ascii="Arial" w:cs="Arial" w:eastAsia="Arial" w:hAnsi="Arial"/>
          <w:sz w:val="16"/>
          <w:szCs w:val="16"/>
          <w:color w:val="auto"/>
        </w:rPr>
      </w:pPr>
    </w:p>
    <w:p>
      <w:pPr>
        <w:ind w:left="1000" w:right="20" w:hanging="493"/>
        <w:spacing w:after="0" w:line="263" w:lineRule="auto"/>
        <w:tabs>
          <w:tab w:leader="none" w:pos="1000" w:val="left"/>
        </w:tabs>
        <w:numPr>
          <w:ilvl w:val="1"/>
          <w:numId w:val="26"/>
        </w:numPr>
        <w:rPr>
          <w:rFonts w:ascii="Arial" w:cs="Arial" w:eastAsia="Arial" w:hAnsi="Arial"/>
          <w:sz w:val="18"/>
          <w:szCs w:val="18"/>
          <w:color w:val="auto"/>
        </w:rPr>
      </w:pPr>
      <w:r>
        <w:rPr>
          <w:rFonts w:ascii="Arial" w:cs="Arial" w:eastAsia="Arial" w:hAnsi="Arial"/>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75" w:lineRule="exact"/>
        <w:rPr>
          <w:rFonts w:ascii="Arial" w:cs="Arial" w:eastAsia="Arial" w:hAnsi="Arial"/>
          <w:sz w:val="18"/>
          <w:szCs w:val="18"/>
          <w:color w:val="auto"/>
        </w:rPr>
      </w:pPr>
    </w:p>
    <w:p>
      <w:pPr>
        <w:ind w:left="500" w:right="220" w:hanging="492"/>
        <w:spacing w:after="0" w:line="342" w:lineRule="auto"/>
        <w:tabs>
          <w:tab w:leader="none" w:pos="500" w:val="left"/>
        </w:tabs>
        <w:numPr>
          <w:ilvl w:val="0"/>
          <w:numId w:val="26"/>
        </w:numPr>
        <w:rPr>
          <w:rFonts w:ascii="Arial" w:cs="Arial" w:eastAsia="Arial" w:hAnsi="Arial"/>
          <w:sz w:val="16"/>
          <w:szCs w:val="16"/>
          <w:color w:val="auto"/>
        </w:rPr>
      </w:pPr>
      <w:r>
        <w:rPr>
          <w:rFonts w:ascii="Arial" w:cs="Arial" w:eastAsia="Arial" w:hAnsi="Arial"/>
          <w:sz w:val="16"/>
          <w:szCs w:val="16"/>
          <w:color w:val="auto"/>
        </w:rPr>
        <w:t>The registrant’s other certifying officer(s) and I have disclosed, based on our most recent evaluation of internal control over financial reporting, to the registrant’s auditors and the audit committee of the registrant’s board of directors (or persons performing the equivalent functions):</w:t>
      </w:r>
    </w:p>
    <w:p>
      <w:pPr>
        <w:spacing w:after="0" w:line="15" w:lineRule="exact"/>
        <w:rPr>
          <w:rFonts w:ascii="Arial" w:cs="Arial" w:eastAsia="Arial" w:hAnsi="Arial"/>
          <w:sz w:val="16"/>
          <w:szCs w:val="16"/>
          <w:color w:val="auto"/>
        </w:rPr>
      </w:pPr>
    </w:p>
    <w:p>
      <w:pPr>
        <w:ind w:left="1000" w:right="740" w:hanging="493"/>
        <w:spacing w:after="0" w:line="342" w:lineRule="auto"/>
        <w:tabs>
          <w:tab w:leader="none" w:pos="1000" w:val="left"/>
        </w:tabs>
        <w:numPr>
          <w:ilvl w:val="1"/>
          <w:numId w:val="26"/>
        </w:numPr>
        <w:rPr>
          <w:rFonts w:ascii="Arial" w:cs="Arial" w:eastAsia="Arial" w:hAnsi="Arial"/>
          <w:sz w:val="16"/>
          <w:szCs w:val="16"/>
          <w:color w:val="auto"/>
        </w:rPr>
      </w:pPr>
      <w:r>
        <w:rPr>
          <w:rFonts w:ascii="Arial" w:cs="Arial" w:eastAsia="Arial" w:hAnsi="Arial"/>
          <w:sz w:val="16"/>
          <w:szCs w:val="16"/>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5" w:lineRule="exact"/>
        <w:rPr>
          <w:rFonts w:ascii="Arial" w:cs="Arial" w:eastAsia="Arial" w:hAnsi="Arial"/>
          <w:sz w:val="16"/>
          <w:szCs w:val="16"/>
          <w:color w:val="auto"/>
        </w:rPr>
      </w:pPr>
    </w:p>
    <w:p>
      <w:pPr>
        <w:ind w:left="1000" w:right="440" w:hanging="493"/>
        <w:spacing w:after="0" w:line="277" w:lineRule="auto"/>
        <w:tabs>
          <w:tab w:leader="none" w:pos="1000" w:val="left"/>
        </w:tabs>
        <w:numPr>
          <w:ilvl w:val="1"/>
          <w:numId w:val="26"/>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 over financial reporting.</w:t>
      </w:r>
    </w:p>
    <w:p>
      <w:pPr>
        <w:spacing w:after="0" w:line="170"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5620" w:type="dxa"/>
            <w:vAlign w:val="bottom"/>
          </w:tcPr>
          <w:p>
            <w:pPr>
              <w:spacing w:after="0"/>
              <w:rPr>
                <w:sz w:val="20"/>
                <w:szCs w:val="20"/>
                <w:color w:val="auto"/>
              </w:rPr>
            </w:pPr>
            <w:r>
              <w:rPr>
                <w:rFonts w:ascii="Arial" w:cs="Arial" w:eastAsia="Arial" w:hAnsi="Arial"/>
                <w:sz w:val="18"/>
                <w:szCs w:val="18"/>
                <w:color w:val="auto"/>
              </w:rPr>
              <w:t>Date: May 5, 2021</w:t>
            </w:r>
          </w:p>
        </w:tc>
        <w:tc>
          <w:tcPr>
            <w:tcW w:w="562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/s/ Patrick J. Pedonti</w:t>
            </w:r>
          </w:p>
        </w:tc>
      </w:tr>
      <w:tr>
        <w:trPr>
          <w:trHeight w:val="195"/>
        </w:trPr>
        <w:tc>
          <w:tcPr>
            <w:tcW w:w="5620" w:type="dxa"/>
            <w:vAlign w:val="bottom"/>
          </w:tcPr>
          <w:p>
            <w:pPr>
              <w:spacing w:after="0"/>
              <w:rPr>
                <w:sz w:val="16"/>
                <w:szCs w:val="16"/>
                <w:color w:val="auto"/>
              </w:rPr>
            </w:pPr>
          </w:p>
        </w:tc>
        <w:tc>
          <w:tcPr>
            <w:tcW w:w="5620" w:type="dxa"/>
            <w:vAlign w:val="bottom"/>
          </w:tcPr>
          <w:p>
            <w:pPr>
              <w:spacing w:after="0" w:line="195" w:lineRule="exact"/>
              <w:rPr>
                <w:sz w:val="20"/>
                <w:szCs w:val="20"/>
                <w:color w:val="auto"/>
              </w:rPr>
            </w:pPr>
            <w:r>
              <w:rPr>
                <w:rFonts w:ascii="Arial" w:cs="Arial" w:eastAsia="Arial" w:hAnsi="Arial"/>
                <w:sz w:val="18"/>
                <w:szCs w:val="18"/>
                <w:color w:val="auto"/>
              </w:rPr>
              <w:t>Patrick J. Pedonti</w:t>
            </w:r>
          </w:p>
        </w:tc>
      </w:tr>
      <w:tr>
        <w:trPr>
          <w:trHeight w:val="216"/>
        </w:trPr>
        <w:tc>
          <w:tcPr>
            <w:tcW w:w="5620" w:type="dxa"/>
            <w:vAlign w:val="bottom"/>
          </w:tcPr>
          <w:p>
            <w:pPr>
              <w:spacing w:after="0"/>
              <w:rPr>
                <w:sz w:val="18"/>
                <w:szCs w:val="18"/>
                <w:color w:val="auto"/>
              </w:rPr>
            </w:pPr>
          </w:p>
        </w:tc>
        <w:tc>
          <w:tcPr>
            <w:tcW w:w="5620" w:type="dxa"/>
            <w:vAlign w:val="bottom"/>
          </w:tcPr>
          <w:p>
            <w:pPr>
              <w:spacing w:after="0"/>
              <w:rPr>
                <w:sz w:val="20"/>
                <w:szCs w:val="20"/>
                <w:color w:val="auto"/>
              </w:rPr>
            </w:pPr>
            <w:r>
              <w:rPr>
                <w:rFonts w:ascii="Arial" w:cs="Arial" w:eastAsia="Arial" w:hAnsi="Arial"/>
                <w:sz w:val="18"/>
                <w:szCs w:val="18"/>
                <w:color w:val="auto"/>
              </w:rPr>
              <w:t>Senior Vice President and Chief Financial Officer</w:t>
            </w:r>
          </w:p>
        </w:tc>
      </w:tr>
      <w:tr>
        <w:trPr>
          <w:trHeight w:val="230"/>
        </w:trPr>
        <w:tc>
          <w:tcPr>
            <w:tcW w:w="5620" w:type="dxa"/>
            <w:vAlign w:val="bottom"/>
          </w:tcPr>
          <w:p>
            <w:pPr>
              <w:spacing w:after="0"/>
              <w:rPr>
                <w:sz w:val="20"/>
                <w:szCs w:val="20"/>
                <w:color w:val="auto"/>
              </w:rPr>
            </w:pPr>
          </w:p>
        </w:tc>
        <w:tc>
          <w:tcPr>
            <w:tcW w:w="5620" w:type="dxa"/>
            <w:vAlign w:val="bottom"/>
          </w:tcPr>
          <w:p>
            <w:pPr>
              <w:spacing w:after="0"/>
              <w:rPr>
                <w:sz w:val="20"/>
                <w:szCs w:val="20"/>
                <w:color w:val="auto"/>
              </w:rPr>
            </w:pPr>
            <w:r>
              <w:rPr>
                <w:rFonts w:ascii="Arial" w:cs="Arial" w:eastAsia="Arial" w:hAnsi="Arial"/>
                <w:sz w:val="18"/>
                <w:szCs w:val="18"/>
                <w:color w:val="auto"/>
              </w:rPr>
              <w:t>(Principal Financial Officer)</w:t>
            </w:r>
          </w:p>
        </w:tc>
      </w:tr>
    </w:tbl>
    <w:p>
      <w:pPr>
        <w:sectPr>
          <w:pgSz w:w="11900" w:h="16838" w:orient="portrait"/>
          <w:cols w:equalWidth="0" w:num="1">
            <w:col w:w="11240"/>
          </w:cols>
          <w:pgMar w:left="320" w:top="121" w:right="339" w:bottom="1440" w:gutter="0" w:footer="0" w:header="0"/>
        </w:sectPr>
      </w:pPr>
    </w:p>
    <w:bookmarkStart w:id="36" w:name="page37"/>
    <w:bookmarkEnd w:id="36"/>
    <w:p>
      <w:pPr>
        <w:jc w:val="right"/>
        <w:spacing w:after="0"/>
        <w:rPr>
          <w:sz w:val="20"/>
          <w:szCs w:val="20"/>
          <w:color w:val="auto"/>
        </w:rPr>
      </w:pPr>
      <w:r>
        <w:rPr>
          <w:rFonts w:ascii="Arial" w:cs="Arial" w:eastAsia="Arial" w:hAnsi="Arial"/>
          <w:sz w:val="18"/>
          <w:szCs w:val="18"/>
          <w:b w:val="1"/>
          <w:bCs w:val="1"/>
          <w:color w:val="auto"/>
        </w:rPr>
        <w:t>Exhibit 32</w:t>
      </w:r>
    </w:p>
    <w:p>
      <w:pPr>
        <w:spacing w:after="0" w:line="22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CERTIFICATION PURSUANT TO 18 U.S.C. SECTION 1350,</w:t>
      </w:r>
    </w:p>
    <w:p>
      <w:pPr>
        <w:spacing w:after="0" w:line="2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AS ADOPTED PURSUANT TO</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SECTION 906 OF THE SARBANES-OXLEY ACT OF 2002</w:t>
      </w:r>
    </w:p>
    <w:p>
      <w:pPr>
        <w:spacing w:after="0" w:line="211" w:lineRule="exact"/>
        <w:rPr>
          <w:sz w:val="20"/>
          <w:szCs w:val="20"/>
          <w:color w:val="auto"/>
        </w:rPr>
      </w:pPr>
    </w:p>
    <w:p>
      <w:pPr>
        <w:ind w:right="20" w:firstLine="1018"/>
        <w:spacing w:after="0" w:line="263" w:lineRule="auto"/>
        <w:rPr>
          <w:sz w:val="20"/>
          <w:szCs w:val="20"/>
          <w:color w:val="auto"/>
        </w:rPr>
      </w:pPr>
      <w:r>
        <w:rPr>
          <w:rFonts w:ascii="Arial" w:cs="Arial" w:eastAsia="Arial" w:hAnsi="Arial"/>
          <w:sz w:val="18"/>
          <w:szCs w:val="18"/>
          <w:color w:val="auto"/>
        </w:rPr>
        <w:t>In connection with the quarterly report on Form 10-Q of SS&amp;C Technologies Holdings, Inc. (the “Company”) for the period ended March 31, 2021 as filed with the Securities and Exchange Commission on the date hereof (the “Report”), the undersigned officers of the Company hereby certify to their knowledge, pursuant to 18 U.S.C. Section 1350, that:</w:t>
      </w:r>
    </w:p>
    <w:p>
      <w:pPr>
        <w:spacing w:after="0" w:line="76" w:lineRule="exact"/>
        <w:rPr>
          <w:sz w:val="20"/>
          <w:szCs w:val="20"/>
          <w:color w:val="auto"/>
        </w:rPr>
      </w:pPr>
    </w:p>
    <w:p>
      <w:pPr>
        <w:ind w:left="960" w:hanging="507"/>
        <w:spacing w:after="0"/>
        <w:tabs>
          <w:tab w:leader="none" w:pos="960" w:val="left"/>
        </w:tabs>
        <w:numPr>
          <w:ilvl w:val="0"/>
          <w:numId w:val="27"/>
        </w:numPr>
        <w:rPr>
          <w:rFonts w:ascii="Arial" w:cs="Arial" w:eastAsia="Arial" w:hAnsi="Arial"/>
          <w:sz w:val="18"/>
          <w:szCs w:val="18"/>
          <w:color w:val="auto"/>
        </w:rPr>
      </w:pPr>
      <w:r>
        <w:rPr>
          <w:rFonts w:ascii="Arial" w:cs="Arial" w:eastAsia="Arial" w:hAnsi="Arial"/>
          <w:sz w:val="18"/>
          <w:szCs w:val="18"/>
          <w:color w:val="auto"/>
        </w:rPr>
        <w:t>the Report fully complies with the requirements of Section 13(a) or 15(d) of the Securities Exchange Act of 1934; and</w:t>
      </w:r>
    </w:p>
    <w:p>
      <w:pPr>
        <w:spacing w:after="0" w:line="117" w:lineRule="exact"/>
        <w:rPr>
          <w:rFonts w:ascii="Arial" w:cs="Arial" w:eastAsia="Arial" w:hAnsi="Arial"/>
          <w:sz w:val="18"/>
          <w:szCs w:val="18"/>
          <w:color w:val="auto"/>
        </w:rPr>
      </w:pPr>
    </w:p>
    <w:p>
      <w:pPr>
        <w:ind w:left="960" w:right="680" w:hanging="507"/>
        <w:spacing w:after="0" w:line="277" w:lineRule="auto"/>
        <w:tabs>
          <w:tab w:leader="none" w:pos="960" w:val="left"/>
        </w:tabs>
        <w:numPr>
          <w:ilvl w:val="0"/>
          <w:numId w:val="27"/>
        </w:numPr>
        <w:rPr>
          <w:rFonts w:ascii="Arial" w:cs="Arial" w:eastAsia="Arial" w:hAnsi="Arial"/>
          <w:sz w:val="18"/>
          <w:szCs w:val="18"/>
          <w:color w:val="auto"/>
        </w:rPr>
      </w:pPr>
      <w:r>
        <w:rPr>
          <w:rFonts w:ascii="Arial" w:cs="Arial" w:eastAsia="Arial" w:hAnsi="Arial"/>
          <w:sz w:val="18"/>
          <w:szCs w:val="18"/>
          <w:color w:val="auto"/>
        </w:rPr>
        <w:t>the information contained in the Report fairly presents, in all material respects, the financial condition and results of operations of the Company.</w:t>
      </w:r>
    </w:p>
    <w:p>
      <w:pPr>
        <w:spacing w:after="0" w:line="170"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3320" w:type="dxa"/>
            <w:vAlign w:val="bottom"/>
          </w:tcPr>
          <w:p>
            <w:pPr>
              <w:spacing w:after="0"/>
              <w:rPr>
                <w:sz w:val="20"/>
                <w:szCs w:val="20"/>
                <w:color w:val="auto"/>
              </w:rPr>
            </w:pPr>
            <w:r>
              <w:rPr>
                <w:rFonts w:ascii="Arial" w:cs="Arial" w:eastAsia="Arial" w:hAnsi="Arial"/>
                <w:sz w:val="18"/>
                <w:szCs w:val="18"/>
                <w:color w:val="auto"/>
              </w:rPr>
              <w:t>Date: May 5, 2021</w:t>
            </w:r>
          </w:p>
        </w:tc>
        <w:tc>
          <w:tcPr>
            <w:tcW w:w="2420" w:type="dxa"/>
            <w:vAlign w:val="bottom"/>
          </w:tcPr>
          <w:p>
            <w:pPr>
              <w:ind w:left="1980"/>
              <w:spacing w:after="0"/>
              <w:rPr>
                <w:sz w:val="20"/>
                <w:szCs w:val="20"/>
                <w:color w:val="auto"/>
              </w:rPr>
            </w:pPr>
            <w:r>
              <w:rPr>
                <w:rFonts w:ascii="Arial" w:cs="Arial" w:eastAsia="Arial" w:hAnsi="Arial"/>
                <w:sz w:val="18"/>
                <w:szCs w:val="18"/>
                <w:color w:val="auto"/>
              </w:rPr>
              <w:t>By:</w:t>
            </w:r>
          </w:p>
        </w:tc>
        <w:tc>
          <w:tcPr>
            <w:tcW w:w="550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/s/ William C. Stone</w:t>
            </w:r>
          </w:p>
        </w:tc>
      </w:tr>
      <w:tr>
        <w:trPr>
          <w:trHeight w:val="195"/>
        </w:trPr>
        <w:tc>
          <w:tcPr>
            <w:tcW w:w="3320" w:type="dxa"/>
            <w:vAlign w:val="bottom"/>
          </w:tcPr>
          <w:p>
            <w:pPr>
              <w:spacing w:after="0"/>
              <w:rPr>
                <w:sz w:val="16"/>
                <w:szCs w:val="16"/>
                <w:color w:val="auto"/>
              </w:rPr>
            </w:pPr>
          </w:p>
        </w:tc>
        <w:tc>
          <w:tcPr>
            <w:tcW w:w="2420" w:type="dxa"/>
            <w:vAlign w:val="bottom"/>
          </w:tcPr>
          <w:p>
            <w:pPr>
              <w:spacing w:after="0"/>
              <w:rPr>
                <w:sz w:val="16"/>
                <w:szCs w:val="16"/>
                <w:color w:val="auto"/>
              </w:rPr>
            </w:pPr>
          </w:p>
        </w:tc>
        <w:tc>
          <w:tcPr>
            <w:tcW w:w="5500" w:type="dxa"/>
            <w:vAlign w:val="bottom"/>
          </w:tcPr>
          <w:p>
            <w:pPr>
              <w:spacing w:after="0" w:line="195" w:lineRule="exact"/>
              <w:rPr>
                <w:sz w:val="20"/>
                <w:szCs w:val="20"/>
                <w:color w:val="auto"/>
              </w:rPr>
            </w:pPr>
            <w:r>
              <w:rPr>
                <w:rFonts w:ascii="Arial" w:cs="Arial" w:eastAsia="Arial" w:hAnsi="Arial"/>
                <w:sz w:val="18"/>
                <w:szCs w:val="18"/>
                <w:color w:val="auto"/>
              </w:rPr>
              <w:t>William C. Stone</w:t>
            </w:r>
          </w:p>
        </w:tc>
      </w:tr>
      <w:tr>
        <w:trPr>
          <w:trHeight w:val="216"/>
        </w:trPr>
        <w:tc>
          <w:tcPr>
            <w:tcW w:w="3320" w:type="dxa"/>
            <w:vAlign w:val="bottom"/>
          </w:tcPr>
          <w:p>
            <w:pPr>
              <w:spacing w:after="0"/>
              <w:rPr>
                <w:sz w:val="18"/>
                <w:szCs w:val="18"/>
                <w:color w:val="auto"/>
              </w:rPr>
            </w:pPr>
          </w:p>
        </w:tc>
        <w:tc>
          <w:tcPr>
            <w:tcW w:w="2420" w:type="dxa"/>
            <w:vAlign w:val="bottom"/>
          </w:tcPr>
          <w:p>
            <w:pPr>
              <w:spacing w:after="0"/>
              <w:rPr>
                <w:sz w:val="18"/>
                <w:szCs w:val="18"/>
                <w:color w:val="auto"/>
              </w:rPr>
            </w:pPr>
          </w:p>
        </w:tc>
        <w:tc>
          <w:tcPr>
            <w:tcW w:w="5500" w:type="dxa"/>
            <w:vAlign w:val="bottom"/>
          </w:tcPr>
          <w:p>
            <w:pPr>
              <w:spacing w:after="0"/>
              <w:rPr>
                <w:sz w:val="20"/>
                <w:szCs w:val="20"/>
                <w:color w:val="auto"/>
              </w:rPr>
            </w:pPr>
            <w:r>
              <w:rPr>
                <w:rFonts w:ascii="Arial" w:cs="Arial" w:eastAsia="Arial" w:hAnsi="Arial"/>
                <w:sz w:val="18"/>
                <w:szCs w:val="18"/>
                <w:color w:val="auto"/>
              </w:rPr>
              <w:t>Chairman of the Board and Chief Executive Officer</w:t>
            </w:r>
          </w:p>
        </w:tc>
      </w:tr>
      <w:tr>
        <w:trPr>
          <w:trHeight w:val="230"/>
        </w:trPr>
        <w:tc>
          <w:tcPr>
            <w:tcW w:w="3320" w:type="dxa"/>
            <w:vAlign w:val="bottom"/>
          </w:tcPr>
          <w:p>
            <w:pPr>
              <w:spacing w:after="0"/>
              <w:rPr>
                <w:sz w:val="20"/>
                <w:szCs w:val="20"/>
                <w:color w:val="auto"/>
              </w:rPr>
            </w:pPr>
          </w:p>
        </w:tc>
        <w:tc>
          <w:tcPr>
            <w:tcW w:w="2420" w:type="dxa"/>
            <w:vAlign w:val="bottom"/>
          </w:tcPr>
          <w:p>
            <w:pPr>
              <w:spacing w:after="0"/>
              <w:rPr>
                <w:sz w:val="20"/>
                <w:szCs w:val="20"/>
                <w:color w:val="auto"/>
              </w:rPr>
            </w:pPr>
          </w:p>
        </w:tc>
        <w:tc>
          <w:tcPr>
            <w:tcW w:w="5500" w:type="dxa"/>
            <w:vAlign w:val="bottom"/>
          </w:tcPr>
          <w:p>
            <w:pPr>
              <w:spacing w:after="0"/>
              <w:rPr>
                <w:sz w:val="20"/>
                <w:szCs w:val="20"/>
                <w:color w:val="auto"/>
              </w:rPr>
            </w:pPr>
            <w:r>
              <w:rPr>
                <w:rFonts w:ascii="Arial" w:cs="Arial" w:eastAsia="Arial" w:hAnsi="Arial"/>
                <w:sz w:val="18"/>
                <w:szCs w:val="18"/>
                <w:color w:val="auto"/>
              </w:rPr>
              <w:t>(Principal Executive Officer)</w:t>
            </w:r>
          </w:p>
        </w:tc>
      </w:tr>
      <w:tr>
        <w:trPr>
          <w:trHeight w:val="432"/>
        </w:trPr>
        <w:tc>
          <w:tcPr>
            <w:tcW w:w="3320" w:type="dxa"/>
            <w:vAlign w:val="bottom"/>
          </w:tcPr>
          <w:p>
            <w:pPr>
              <w:spacing w:after="0"/>
              <w:rPr>
                <w:sz w:val="20"/>
                <w:szCs w:val="20"/>
                <w:color w:val="auto"/>
              </w:rPr>
            </w:pPr>
            <w:r>
              <w:rPr>
                <w:rFonts w:ascii="Arial" w:cs="Arial" w:eastAsia="Arial" w:hAnsi="Arial"/>
                <w:sz w:val="18"/>
                <w:szCs w:val="18"/>
                <w:color w:val="auto"/>
              </w:rPr>
              <w:t>Date: May 5, 2021</w:t>
            </w:r>
          </w:p>
        </w:tc>
        <w:tc>
          <w:tcPr>
            <w:tcW w:w="2420" w:type="dxa"/>
            <w:vAlign w:val="bottom"/>
          </w:tcPr>
          <w:p>
            <w:pPr>
              <w:ind w:left="1980"/>
              <w:spacing w:after="0"/>
              <w:rPr>
                <w:sz w:val="20"/>
                <w:szCs w:val="20"/>
                <w:color w:val="auto"/>
              </w:rPr>
            </w:pPr>
            <w:r>
              <w:rPr>
                <w:rFonts w:ascii="Arial" w:cs="Arial" w:eastAsia="Arial" w:hAnsi="Arial"/>
                <w:sz w:val="18"/>
                <w:szCs w:val="18"/>
                <w:color w:val="auto"/>
              </w:rPr>
              <w:t>By:</w:t>
            </w:r>
          </w:p>
        </w:tc>
        <w:tc>
          <w:tcPr>
            <w:tcW w:w="550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/s/ Patrick J. Pedonti</w:t>
            </w:r>
          </w:p>
        </w:tc>
      </w:tr>
      <w:tr>
        <w:trPr>
          <w:trHeight w:val="195"/>
        </w:trPr>
        <w:tc>
          <w:tcPr>
            <w:tcW w:w="3320" w:type="dxa"/>
            <w:vAlign w:val="bottom"/>
          </w:tcPr>
          <w:p>
            <w:pPr>
              <w:spacing w:after="0"/>
              <w:rPr>
                <w:sz w:val="16"/>
                <w:szCs w:val="16"/>
                <w:color w:val="auto"/>
              </w:rPr>
            </w:pPr>
          </w:p>
        </w:tc>
        <w:tc>
          <w:tcPr>
            <w:tcW w:w="2420" w:type="dxa"/>
            <w:vAlign w:val="bottom"/>
          </w:tcPr>
          <w:p>
            <w:pPr>
              <w:spacing w:after="0"/>
              <w:rPr>
                <w:sz w:val="16"/>
                <w:szCs w:val="16"/>
                <w:color w:val="auto"/>
              </w:rPr>
            </w:pPr>
          </w:p>
        </w:tc>
        <w:tc>
          <w:tcPr>
            <w:tcW w:w="5500" w:type="dxa"/>
            <w:vAlign w:val="bottom"/>
          </w:tcPr>
          <w:p>
            <w:pPr>
              <w:spacing w:after="0" w:line="195" w:lineRule="exact"/>
              <w:rPr>
                <w:sz w:val="20"/>
                <w:szCs w:val="20"/>
                <w:color w:val="auto"/>
              </w:rPr>
            </w:pPr>
            <w:r>
              <w:rPr>
                <w:rFonts w:ascii="Arial" w:cs="Arial" w:eastAsia="Arial" w:hAnsi="Arial"/>
                <w:sz w:val="18"/>
                <w:szCs w:val="18"/>
                <w:color w:val="auto"/>
              </w:rPr>
              <w:t>Patrick J. Pedonti</w:t>
            </w:r>
          </w:p>
        </w:tc>
      </w:tr>
      <w:tr>
        <w:trPr>
          <w:trHeight w:val="216"/>
        </w:trPr>
        <w:tc>
          <w:tcPr>
            <w:tcW w:w="3320" w:type="dxa"/>
            <w:vAlign w:val="bottom"/>
          </w:tcPr>
          <w:p>
            <w:pPr>
              <w:spacing w:after="0"/>
              <w:rPr>
                <w:sz w:val="18"/>
                <w:szCs w:val="18"/>
                <w:color w:val="auto"/>
              </w:rPr>
            </w:pPr>
          </w:p>
        </w:tc>
        <w:tc>
          <w:tcPr>
            <w:tcW w:w="2420" w:type="dxa"/>
            <w:vAlign w:val="bottom"/>
          </w:tcPr>
          <w:p>
            <w:pPr>
              <w:spacing w:after="0"/>
              <w:rPr>
                <w:sz w:val="18"/>
                <w:szCs w:val="18"/>
                <w:color w:val="auto"/>
              </w:rPr>
            </w:pPr>
          </w:p>
        </w:tc>
        <w:tc>
          <w:tcPr>
            <w:tcW w:w="5500" w:type="dxa"/>
            <w:vAlign w:val="bottom"/>
          </w:tcPr>
          <w:p>
            <w:pPr>
              <w:spacing w:after="0"/>
              <w:rPr>
                <w:sz w:val="20"/>
                <w:szCs w:val="20"/>
                <w:color w:val="auto"/>
              </w:rPr>
            </w:pPr>
            <w:r>
              <w:rPr>
                <w:rFonts w:ascii="Arial" w:cs="Arial" w:eastAsia="Arial" w:hAnsi="Arial"/>
                <w:sz w:val="18"/>
                <w:szCs w:val="18"/>
                <w:color w:val="auto"/>
              </w:rPr>
              <w:t>Senior Vice President and Chief Financial Officer</w:t>
            </w:r>
          </w:p>
        </w:tc>
      </w:tr>
      <w:tr>
        <w:trPr>
          <w:trHeight w:val="230"/>
        </w:trPr>
        <w:tc>
          <w:tcPr>
            <w:tcW w:w="3320" w:type="dxa"/>
            <w:vAlign w:val="bottom"/>
          </w:tcPr>
          <w:p>
            <w:pPr>
              <w:spacing w:after="0"/>
              <w:rPr>
                <w:sz w:val="20"/>
                <w:szCs w:val="20"/>
                <w:color w:val="auto"/>
              </w:rPr>
            </w:pPr>
          </w:p>
        </w:tc>
        <w:tc>
          <w:tcPr>
            <w:tcW w:w="2420" w:type="dxa"/>
            <w:vAlign w:val="bottom"/>
          </w:tcPr>
          <w:p>
            <w:pPr>
              <w:spacing w:after="0"/>
              <w:rPr>
                <w:sz w:val="20"/>
                <w:szCs w:val="20"/>
                <w:color w:val="auto"/>
              </w:rPr>
            </w:pPr>
          </w:p>
        </w:tc>
        <w:tc>
          <w:tcPr>
            <w:tcW w:w="5500" w:type="dxa"/>
            <w:vAlign w:val="bottom"/>
          </w:tcPr>
          <w:p>
            <w:pPr>
              <w:spacing w:after="0"/>
              <w:rPr>
                <w:sz w:val="20"/>
                <w:szCs w:val="20"/>
                <w:color w:val="auto"/>
              </w:rPr>
            </w:pPr>
            <w:r>
              <w:rPr>
                <w:rFonts w:ascii="Arial" w:cs="Arial" w:eastAsia="Arial" w:hAnsi="Arial"/>
                <w:sz w:val="18"/>
                <w:szCs w:val="18"/>
                <w:color w:val="auto"/>
              </w:rPr>
              <w:t>(Principal Financial Officer)</w:t>
            </w:r>
          </w:p>
        </w:tc>
      </w:tr>
    </w:tbl>
    <w:p>
      <w:pPr>
        <w:spacing w:after="0" w:line="1" w:lineRule="exact"/>
        <w:rPr>
          <w:sz w:val="20"/>
          <w:szCs w:val="20"/>
          <w:color w:val="auto"/>
        </w:rPr>
      </w:pPr>
    </w:p>
    <w:sectPr>
      <w:pgSz w:w="11900" w:h="16838" w:orient="portrait"/>
      <w:cols w:equalWidth="0" w:num="1">
        <w:col w:w="11240"/>
      </w:cols>
      <w:pgMar w:left="320" w:top="121" w:right="3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DED7263"/>
    <w:multiLevelType w:val="hybridMultilevel"/>
    <w:lvl w:ilvl="0">
      <w:lvlJc w:val="left"/>
      <w:lvlText w:val="☒"/>
      <w:numFmt w:val="bullet"/>
      <w:start w:val="1"/>
    </w:lvl>
  </w:abstractNum>
  <w:abstractNum w:abstractNumId="1">
    <w:nsid w:val="7FDCC233"/>
    <w:multiLevelType w:val="hybridMultilevel"/>
    <w:lvl w:ilvl="0">
      <w:lvlJc w:val="left"/>
      <w:lvlText w:val="☐"/>
      <w:numFmt w:val="bullet"/>
      <w:start w:val="1"/>
    </w:lvl>
  </w:abstractNum>
  <w:abstractNum w:abstractNumId="2">
    <w:nsid w:val="1BEFD79F"/>
    <w:multiLevelType w:val="hybridMultilevel"/>
    <w:lvl w:ilvl="0">
      <w:lvlJc w:val="left"/>
      <w:lvlText w:val="(%1)"/>
      <w:numFmt w:val="decimal"/>
      <w:start w:val="1"/>
    </w:lvl>
  </w:abstractNum>
  <w:abstractNum w:abstractNumId="3">
    <w:nsid w:val="41A7C4C9"/>
    <w:multiLevelType w:val="hybridMultilevel"/>
    <w:lvl w:ilvl="0">
      <w:lvlJc w:val="left"/>
      <w:lvlText w:val="•"/>
      <w:numFmt w:val="bullet"/>
      <w:start w:val="1"/>
    </w:lvl>
  </w:abstractNum>
  <w:abstractNum w:abstractNumId="4">
    <w:nsid w:val="6B68079A"/>
    <w:multiLevelType w:val="hybridMultilevel"/>
    <w:lvl w:ilvl="0">
      <w:lvlJc w:val="left"/>
      <w:lvlText w:val="•"/>
      <w:numFmt w:val="bullet"/>
      <w:start w:val="1"/>
    </w:lvl>
  </w:abstractNum>
  <w:abstractNum w:abstractNumId="5">
    <w:nsid w:val="4E6AFB66"/>
    <w:multiLevelType w:val="hybridMultilevel"/>
    <w:lvl w:ilvl="0">
      <w:lvlJc w:val="left"/>
      <w:lvlText w:val="(%1)"/>
      <w:numFmt w:val="decimal"/>
      <w:start w:val="1"/>
    </w:lvl>
  </w:abstractNum>
  <w:abstractNum w:abstractNumId="6">
    <w:nsid w:val="25E45D32"/>
    <w:multiLevelType w:val="hybridMultilevel"/>
    <w:lvl w:ilvl="0">
      <w:lvlJc w:val="left"/>
      <w:lvlText w:val="(%1)"/>
      <w:numFmt w:val="decimal"/>
      <w:start w:val="1"/>
    </w:lvl>
  </w:abstractNum>
  <w:abstractNum w:abstractNumId="7">
    <w:nsid w:val="519B500D"/>
    <w:multiLevelType w:val="hybridMultilevel"/>
    <w:lvl w:ilvl="0">
      <w:lvlJc w:val="left"/>
      <w:lvlText w:val="(%1)"/>
      <w:numFmt w:val="decimal"/>
      <w:start w:val="1"/>
    </w:lvl>
  </w:abstractNum>
  <w:abstractNum w:abstractNumId="8">
    <w:nsid w:val="431BD7B7"/>
    <w:multiLevelType w:val="hybridMultilevel"/>
    <w:lvl w:ilvl="0">
      <w:lvlJc w:val="left"/>
      <w:lvlText w:val="%1"/>
      <w:numFmt w:val="decimal"/>
      <w:start w:val="32"/>
    </w:lvl>
  </w:abstractNum>
  <w:abstractNum w:abstractNumId="9">
    <w:nsid w:val="3F2DBA31"/>
    <w:multiLevelType w:val="hybridMultilevel"/>
    <w:lvl w:ilvl="0">
      <w:lvlJc w:val="left"/>
      <w:lvlText w:val="*"/>
      <w:numFmt w:val="bullet"/>
      <w:start w:val="1"/>
    </w:lvl>
  </w:abstractNum>
  <w:abstractNum w:abstractNumId="10">
    <w:nsid w:val="7C83E458"/>
    <w:multiLevelType w:val="hybridMultilevel"/>
    <w:lvl w:ilvl="0">
      <w:lvlJc w:val="left"/>
      <w:lvlText w:val="%1."/>
      <w:numFmt w:val="decimal"/>
      <w:start w:val="1"/>
    </w:lvl>
  </w:abstractNum>
  <w:abstractNum w:abstractNumId="11">
    <w:nsid w:val="257130A3"/>
    <w:multiLevelType w:val="hybridMultilevel"/>
    <w:lvl w:ilvl="0">
      <w:lvlJc w:val="left"/>
      <w:lvlText w:val="%1"/>
      <w:numFmt w:val="decimal"/>
      <w:start w:val="1"/>
    </w:lvl>
    <w:lvl w:ilvl="1">
      <w:lvlJc w:val="left"/>
      <w:lvlText w:val="%2."/>
      <w:numFmt w:val="decimal"/>
      <w:start w:val="10"/>
    </w:lvl>
  </w:abstractNum>
  <w:abstractNum w:abstractNumId="12">
    <w:nsid w:val="62BBD95A"/>
    <w:multiLevelType w:val="hybridMultilevel"/>
    <w:lvl w:ilvl="0">
      <w:lvlJc w:val="left"/>
      <w:lvlText w:val="%1."/>
      <w:numFmt w:val="decimal"/>
      <w:start w:val="2"/>
    </w:lvl>
    <w:lvl w:ilvl="1">
      <w:lvlJc w:val="left"/>
      <w:lvlText w:val="%2"/>
      <w:numFmt w:val="decimal"/>
      <w:start w:val="1"/>
    </w:lvl>
  </w:abstractNum>
  <w:abstractNum w:abstractNumId="13">
    <w:nsid w:val="436C6125"/>
    <w:multiLevelType w:val="hybridMultilevel"/>
    <w:lvl w:ilvl="0">
      <w:lvlJc w:val="left"/>
      <w:lvlText w:val="%1."/>
      <w:numFmt w:val="decimal"/>
      <w:start w:val="3"/>
    </w:lvl>
  </w:abstractNum>
  <w:abstractNum w:abstractNumId="14">
    <w:nsid w:val="628C895D"/>
    <w:multiLevelType w:val="hybridMultilevel"/>
    <w:lvl w:ilvl="0">
      <w:lvlJc w:val="left"/>
      <w:lvlText w:val="%1."/>
      <w:numFmt w:val="decimal"/>
      <w:start w:val="1"/>
    </w:lvl>
  </w:abstractNum>
  <w:abstractNum w:abstractNumId="15">
    <w:nsid w:val="333AB105"/>
    <w:multiLevelType w:val="hybridMultilevel"/>
    <w:lvl w:ilvl="0">
      <w:lvlJc w:val="left"/>
      <w:lvlText w:val="%1."/>
      <w:numFmt w:val="decimal"/>
      <w:start w:val="2"/>
    </w:lvl>
    <w:lvl w:ilvl="1">
      <w:lvlJc w:val="left"/>
      <w:lvlText w:val="(%2)"/>
      <w:numFmt w:val="lowerLetter"/>
      <w:start w:val="1"/>
    </w:lvl>
    <w:lvl w:ilvl="2">
      <w:lvlJc w:val="left"/>
      <w:lvlText w:val="(%3)"/>
      <w:numFmt w:val="decimal"/>
      <w:start w:val="1"/>
    </w:lvl>
  </w:abstractNum>
  <w:abstractNum w:abstractNumId="16">
    <w:nsid w:val="721DA317"/>
    <w:multiLevelType w:val="hybridMultilevel"/>
    <w:lvl w:ilvl="0">
      <w:lvlJc w:val="left"/>
      <w:lvlText w:val="(%1)"/>
      <w:numFmt w:val="upperLetter"/>
      <w:start w:val="1"/>
    </w:lvl>
  </w:abstractNum>
  <w:abstractNum w:abstractNumId="17">
    <w:nsid w:val="2443A858"/>
    <w:multiLevelType w:val="hybridMultilevel"/>
    <w:lvl w:ilvl="0">
      <w:lvlJc w:val="left"/>
      <w:lvlText w:val="%1"/>
      <w:numFmt w:val="decimal"/>
      <w:start w:val="1"/>
    </w:lvl>
    <w:lvl w:ilvl="1">
      <w:lvlJc w:val="left"/>
      <w:lvlText w:val="%2"/>
      <w:numFmt w:val="lowerLetter"/>
      <w:start w:val="1"/>
    </w:lvl>
    <w:lvl w:ilvl="2">
      <w:lvlJc w:val="left"/>
      <w:lvlText w:val="(%3)"/>
      <w:numFmt w:val="decimal"/>
      <w:start w:val="2"/>
    </w:lvl>
  </w:abstractNum>
  <w:abstractNum w:abstractNumId="18">
    <w:nsid w:val="2D1D5AE9"/>
    <w:multiLevelType w:val="hybridMultilevel"/>
    <w:lvl w:ilvl="0">
      <w:lvlJc w:val="left"/>
      <w:lvlText w:val="%1."/>
      <w:numFmt w:val="decimal"/>
      <w:start w:val="4"/>
    </w:lvl>
    <w:lvl w:ilvl="1">
      <w:lvlJc w:val="left"/>
      <w:lvlText w:val="(%2)"/>
      <w:numFmt w:val="lowerLetter"/>
      <w:start w:val="1"/>
    </w:lvl>
    <w:lvl w:ilvl="2">
      <w:lvlJc w:val="left"/>
      <w:lvlText w:val="%3"/>
      <w:numFmt w:val="decimal"/>
      <w:start w:val="1"/>
    </w:lvl>
  </w:abstractNum>
  <w:abstractNum w:abstractNumId="19">
    <w:nsid w:val="6763845E"/>
    <w:multiLevelType w:val="hybridMultilevel"/>
    <w:lvl w:ilvl="0">
      <w:lvlJc w:val="left"/>
      <w:lvlText w:val="%1."/>
      <w:numFmt w:val="decimal"/>
      <w:start w:val="6"/>
    </w:lvl>
  </w:abstractNum>
  <w:abstractNum w:abstractNumId="20">
    <w:nsid w:val="75A2A8D4"/>
    <w:multiLevelType w:val="hybridMultilevel"/>
    <w:lvl w:ilvl="0">
      <w:lvlJc w:val="left"/>
      <w:lvlText w:val="%1."/>
      <w:numFmt w:val="decimal"/>
      <w:start w:val="7"/>
    </w:lvl>
  </w:abstractNum>
  <w:abstractNum w:abstractNumId="21">
    <w:nsid w:val="8EDBDAB"/>
    <w:multiLevelType w:val="hybridMultilevel"/>
    <w:lvl w:ilvl="0">
      <w:lvlJc w:val="left"/>
      <w:lvlText w:val="(%1)"/>
      <w:numFmt w:val="lowerLetter"/>
      <w:start w:val="1"/>
    </w:lvl>
  </w:abstractNum>
  <w:abstractNum w:abstractNumId="22">
    <w:nsid w:val="79838CB2"/>
    <w:multiLevelType w:val="hybridMultilevel"/>
    <w:lvl w:ilvl="0">
      <w:lvlJc w:val="left"/>
      <w:lvlText w:val="(%1)"/>
      <w:numFmt w:val="decimal"/>
      <w:start w:val="1"/>
    </w:lvl>
  </w:abstractNum>
  <w:abstractNum w:abstractNumId="23">
    <w:nsid w:val="4353D0CD"/>
    <w:multiLevelType w:val="hybridMultilevel"/>
    <w:lvl w:ilvl="0">
      <w:lvlJc w:val="left"/>
      <w:lvlText w:val="(%1)"/>
      <w:numFmt w:val="lowerLetter"/>
      <w:start w:val="3"/>
    </w:lvl>
  </w:abstractNum>
  <w:abstractNum w:abstractNumId="24">
    <w:nsid w:val="B03E0C6"/>
    <w:multiLevelType w:val="hybridMultilevel"/>
    <w:lvl w:ilvl="0">
      <w:lvlJc w:val="left"/>
      <w:lvlText w:val="%1."/>
      <w:numFmt w:val="decimal"/>
      <w:start w:val="1"/>
    </w:lvl>
    <w:lvl w:ilvl="1">
      <w:lvlJc w:val="left"/>
      <w:lvlText w:val="%2)"/>
      <w:numFmt w:val="lowerLetter"/>
      <w:start w:val="1"/>
    </w:lvl>
  </w:abstractNum>
  <w:abstractNum w:abstractNumId="25">
    <w:nsid w:val="189A769B"/>
    <w:multiLevelType w:val="hybridMultilevel"/>
    <w:lvl w:ilvl="0">
      <w:lvlJc w:val="left"/>
      <w:lvlText w:val="%1."/>
      <w:numFmt w:val="decimal"/>
      <w:start w:val="1"/>
    </w:lvl>
    <w:lvl w:ilvl="1">
      <w:lvlJc w:val="left"/>
      <w:lvlText w:val="%2)"/>
      <w:numFmt w:val="lowerLetter"/>
      <w:start w:val="1"/>
    </w:lvl>
  </w:abstractNum>
  <w:abstractNum w:abstractNumId="26">
    <w:nsid w:val="54E49EB4"/>
    <w:multiLevelType w:val="hybridMultilevel"/>
    <w:lvl w:ilvl="0">
      <w:lvlJc w:val="left"/>
      <w:lvlText w:val="(%1)"/>
      <w:numFmt w:val="decimal"/>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2021-05-05T15:43:49Z</dcterms:created>
  <dcterms:modified xsi:type="dcterms:W3CDTF">2021-05-05T15:43:49Z</dcterms:modified>
</cp:coreProperties>
</file>