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3" w:lineRule="exact"/>
        <w:rPr>
          <w:sz w:val="24"/>
          <w:szCs w:val="24"/>
          <w:color w:val="auto"/>
        </w:rPr>
      </w:pPr>
    </w:p>
    <w:p>
      <w:pPr>
        <w:ind w:left="4440"/>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6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For the transition period from ______ to 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SS&amp;C TECHNOLOGIES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jc w:val="center"/>
              <w:ind w:left="1985"/>
              <w:spacing w:after="0"/>
              <w:rPr>
                <w:sz w:val="20"/>
                <w:szCs w:val="20"/>
                <w:color w:val="auto"/>
              </w:rPr>
            </w:pPr>
            <w:r>
              <w:rPr>
                <w:rFonts w:ascii="Arial" w:cs="Arial" w:eastAsia="Arial" w:hAnsi="Arial"/>
                <w:sz w:val="15"/>
                <w:szCs w:val="15"/>
                <w:b w:val="1"/>
                <w:bCs w:val="1"/>
                <w:color w:val="auto"/>
                <w:w w:val="94"/>
              </w:rPr>
              <w:t>Delaware</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tcPr>
          <w:p>
            <w:pPr>
              <w:jc w:val="right"/>
              <w:ind w:right="2364"/>
              <w:spacing w:after="0"/>
              <w:rPr>
                <w:sz w:val="20"/>
                <w:szCs w:val="20"/>
                <w:color w:val="auto"/>
              </w:rPr>
            </w:pPr>
            <w:r>
              <w:rPr>
                <w:rFonts w:ascii="Arial" w:cs="Arial" w:eastAsia="Arial" w:hAnsi="Arial"/>
                <w:sz w:val="15"/>
                <w:szCs w:val="15"/>
                <w:b w:val="1"/>
                <w:bCs w:val="1"/>
                <w:color w:val="auto"/>
              </w:rPr>
              <w:t>71-0987913</w:t>
            </w:r>
          </w:p>
        </w:tc>
      </w:tr>
      <w:tr>
        <w:trPr>
          <w:trHeight w:val="186"/>
        </w:trPr>
        <w:tc>
          <w:tcPr>
            <w:tcW w:w="7320" w:type="dxa"/>
            <w:vAlign w:val="bottom"/>
            <w:gridSpan w:val="5"/>
          </w:tcPr>
          <w:p>
            <w:pPr>
              <w:jc w:val="center"/>
              <w:ind w:right="1604"/>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920" w:type="dxa"/>
            <w:vAlign w:val="bottom"/>
            <w:gridSpan w:val="4"/>
          </w:tcPr>
          <w:p>
            <w:pPr>
              <w:ind w:left="20"/>
              <w:spacing w:after="0"/>
              <w:rPr>
                <w:sz w:val="20"/>
                <w:szCs w:val="20"/>
                <w:color w:val="auto"/>
              </w:rPr>
            </w:pPr>
            <w:r>
              <w:rPr>
                <w:rFonts w:ascii="Arial" w:cs="Arial" w:eastAsia="Arial" w:hAnsi="Arial"/>
                <w:sz w:val="14"/>
                <w:szCs w:val="14"/>
                <w:b w:val="1"/>
                <w:bCs w:val="1"/>
                <w:color w:val="auto"/>
              </w:rPr>
              <w:t>(I.R.S. Employer Identification No.)</w:t>
            </w:r>
          </w:p>
        </w:tc>
      </w:tr>
      <w:tr>
        <w:trPr>
          <w:trHeight w:val="197"/>
        </w:trPr>
        <w:tc>
          <w:tcPr>
            <w:tcW w:w="3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gridSpan w:val="2"/>
          </w:tcPr>
          <w:p>
            <w:pPr>
              <w:jc w:val="center"/>
              <w:ind w:right="504"/>
              <w:spacing w:after="0"/>
              <w:rPr>
                <w:sz w:val="20"/>
                <w:szCs w:val="20"/>
                <w:color w:val="auto"/>
              </w:rPr>
            </w:pPr>
            <w:r>
              <w:rPr>
                <w:rFonts w:ascii="Arial" w:cs="Arial" w:eastAsia="Arial" w:hAnsi="Arial"/>
                <w:sz w:val="15"/>
                <w:szCs w:val="15"/>
                <w:b w:val="1"/>
                <w:bCs w:val="1"/>
                <w:color w:val="auto"/>
                <w:w w:val="94"/>
              </w:rPr>
              <w:t>80 Lamberton Road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70"/>
        </w:trPr>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gridSpan w:val="2"/>
          </w:tcPr>
          <w:p>
            <w:pPr>
              <w:jc w:val="center"/>
              <w:ind w:right="504"/>
              <w:spacing w:after="0" w:line="170" w:lineRule="exact"/>
              <w:rPr>
                <w:sz w:val="20"/>
                <w:szCs w:val="20"/>
                <w:color w:val="auto"/>
              </w:rPr>
            </w:pPr>
            <w:r>
              <w:rPr>
                <w:rFonts w:ascii="Arial" w:cs="Arial" w:eastAsia="Arial" w:hAnsi="Arial"/>
                <w:sz w:val="15"/>
                <w:szCs w:val="15"/>
                <w:b w:val="1"/>
                <w:bCs w:val="1"/>
                <w:color w:val="auto"/>
                <w:w w:val="95"/>
              </w:rPr>
              <w:t>Windsor, CT 06095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344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3180" w:type="dxa"/>
            <w:vAlign w:val="bottom"/>
            <w:gridSpan w:val="3"/>
          </w:tcPr>
          <w:p>
            <w:pPr>
              <w:jc w:val="center"/>
              <w:ind w:left="884"/>
              <w:spacing w:after="0" w:line="170" w:lineRule="exact"/>
              <w:rPr>
                <w:sz w:val="20"/>
                <w:szCs w:val="20"/>
                <w:color w:val="auto"/>
              </w:rPr>
            </w:pPr>
            <w:r>
              <w:rPr>
                <w:rFonts w:ascii="Arial" w:cs="Arial" w:eastAsia="Arial" w:hAnsi="Arial"/>
                <w:sz w:val="15"/>
                <w:szCs w:val="15"/>
                <w:b w:val="1"/>
                <w:bCs w:val="1"/>
                <w:color w:val="auto"/>
                <w:w w:val="92"/>
              </w:rPr>
              <w:t>860-298-4500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00" w:type="dxa"/>
            <w:vAlign w:val="bottom"/>
            <w:gridSpan w:val="3"/>
          </w:tcPr>
          <w:p>
            <w:pPr>
              <w:jc w:val="center"/>
              <w:ind w:left="22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198"/>
        </w:trPr>
        <w:tc>
          <w:tcPr>
            <w:tcW w:w="3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gridSpan w:val="6"/>
          </w:tcPr>
          <w:p>
            <w:pPr>
              <w:jc w:val="center"/>
              <w:ind w:right="16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440" w:type="dxa"/>
            <w:vAlign w:val="bottom"/>
          </w:tcPr>
          <w:p>
            <w:pPr>
              <w:spacing w:after="0"/>
              <w:rPr>
                <w:sz w:val="17"/>
                <w:szCs w:val="17"/>
                <w:color w:val="auto"/>
              </w:rPr>
            </w:pPr>
          </w:p>
        </w:tc>
      </w:tr>
      <w:tr>
        <w:trPr>
          <w:trHeight w:val="238"/>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center"/>
              <w:ind w:right="684"/>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2"/>
        </w:trPr>
        <w:tc>
          <w:tcPr>
            <w:tcW w:w="3560" w:type="dxa"/>
            <w:vAlign w:val="bottom"/>
          </w:tcPr>
          <w:p>
            <w:pPr>
              <w:jc w:val="center"/>
              <w:spacing w:after="0"/>
              <w:rPr>
                <w:sz w:val="20"/>
                <w:szCs w:val="20"/>
                <w:color w:val="auto"/>
              </w:rPr>
            </w:pPr>
            <w:r>
              <w:rPr>
                <w:rFonts w:ascii="Arial" w:cs="Arial" w:eastAsia="Arial" w:hAnsi="Arial"/>
                <w:sz w:val="15"/>
                <w:szCs w:val="15"/>
                <w:b w:val="1"/>
                <w:bCs w:val="1"/>
                <w:color w:val="auto"/>
                <w:w w:val="91"/>
              </w:rPr>
              <w:t>Common Stock, $0.01 par value per share</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gridSpan w:val="2"/>
          </w:tcPr>
          <w:p>
            <w:pPr>
              <w:jc w:val="center"/>
              <w:ind w:right="684"/>
              <w:spacing w:after="0"/>
              <w:rPr>
                <w:sz w:val="20"/>
                <w:szCs w:val="20"/>
                <w:color w:val="auto"/>
              </w:rPr>
            </w:pPr>
            <w:r>
              <w:rPr>
                <w:rFonts w:ascii="Arial" w:cs="Arial" w:eastAsia="Arial" w:hAnsi="Arial"/>
                <w:sz w:val="15"/>
                <w:szCs w:val="15"/>
                <w:b w:val="1"/>
                <w:bCs w:val="1"/>
                <w:color w:val="auto"/>
                <w:w w:val="91"/>
              </w:rPr>
              <w:t>SSNC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tcPr>
          <w:p>
            <w:pPr>
              <w:jc w:val="center"/>
              <w:ind w:right="224"/>
              <w:spacing w:after="0"/>
              <w:rPr>
                <w:sz w:val="20"/>
                <w:szCs w:val="20"/>
                <w:color w:val="auto"/>
              </w:rPr>
            </w:pPr>
            <w:r>
              <w:rPr>
                <w:rFonts w:ascii="Arial" w:cs="Arial" w:eastAsia="Arial" w:hAnsi="Arial"/>
                <w:sz w:val="15"/>
                <w:szCs w:val="15"/>
                <w:b w:val="1"/>
                <w:bCs w:val="1"/>
                <w:color w:val="auto"/>
                <w:w w:val="93"/>
              </w:rPr>
              <w:t>The Nasdaq Global Select Market</w:t>
            </w:r>
          </w:p>
        </w:tc>
      </w:tr>
      <w:tr>
        <w:trPr>
          <w:trHeight w:val="199"/>
        </w:trPr>
        <w:tc>
          <w:tcPr>
            <w:tcW w:w="3560" w:type="dxa"/>
            <w:vAlign w:val="bottom"/>
          </w:tcPr>
          <w:p>
            <w:pPr>
              <w:spacing w:after="0"/>
              <w:rPr>
                <w:sz w:val="17"/>
                <w:szCs w:val="17"/>
                <w:color w:val="auto"/>
              </w:rPr>
            </w:pPr>
          </w:p>
        </w:tc>
        <w:tc>
          <w:tcPr>
            <w:tcW w:w="4240" w:type="dxa"/>
            <w:vAlign w:val="bottom"/>
            <w:gridSpan w:val="7"/>
          </w:tcPr>
          <w:p>
            <w:pPr>
              <w:jc w:val="center"/>
              <w:ind w:right="120"/>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3440" w:type="dxa"/>
            <w:vAlign w:val="bottom"/>
          </w:tcPr>
          <w:p>
            <w:pPr>
              <w:spacing w:after="0"/>
              <w:rPr>
                <w:sz w:val="17"/>
                <w:szCs w:val="17"/>
                <w:color w:val="auto"/>
              </w:rPr>
            </w:pPr>
          </w:p>
        </w:tc>
      </w:tr>
      <w:tr>
        <w:trPr>
          <w:trHeight w:val="48"/>
        </w:trPr>
        <w:tc>
          <w:tcPr>
            <w:tcW w:w="7320" w:type="dxa"/>
            <w:vAlign w:val="bottom"/>
            <w:gridSpan w:val="5"/>
          </w:tcPr>
          <w:p>
            <w:pPr>
              <w:spacing w:after="0"/>
              <w:rPr>
                <w:sz w:val="4"/>
                <w:szCs w:val="4"/>
                <w:color w:val="auto"/>
              </w:rPr>
            </w:pPr>
          </w:p>
        </w:tc>
        <w:tc>
          <w:tcPr>
            <w:tcW w:w="480" w:type="dxa"/>
            <w:vAlign w:val="bottom"/>
            <w:gridSpan w:val="3"/>
          </w:tcPr>
          <w:p>
            <w:pPr>
              <w:spacing w:after="0"/>
              <w:rPr>
                <w:sz w:val="4"/>
                <w:szCs w:val="4"/>
                <w:color w:val="auto"/>
              </w:rPr>
            </w:pPr>
          </w:p>
        </w:tc>
        <w:tc>
          <w:tcPr>
            <w:tcW w:w="3440" w:type="dxa"/>
            <w:vAlign w:val="bottom"/>
          </w:tcPr>
          <w:p>
            <w:pPr>
              <w:spacing w:after="0"/>
              <w:rPr>
                <w:sz w:val="4"/>
                <w:szCs w:val="4"/>
                <w:color w:val="auto"/>
              </w:rPr>
            </w:pPr>
          </w:p>
        </w:tc>
      </w:tr>
      <w:tr>
        <w:trPr>
          <w:trHeight w:val="156"/>
        </w:trPr>
        <w:tc>
          <w:tcPr>
            <w:tcW w:w="4500" w:type="dxa"/>
            <w:vAlign w:val="bottom"/>
            <w:gridSpan w:val="3"/>
          </w:tcPr>
          <w:p>
            <w:pPr>
              <w:spacing w:after="0" w:line="156" w:lineRule="exact"/>
              <w:rPr>
                <w:sz w:val="20"/>
                <w:szCs w:val="20"/>
                <w:color w:val="auto"/>
              </w:rPr>
            </w:pPr>
            <w:r>
              <w:rPr>
                <w:rFonts w:ascii="Arial" w:cs="Arial" w:eastAsia="Arial" w:hAnsi="Arial"/>
                <w:sz w:val="15"/>
                <w:szCs w:val="15"/>
                <w:color w:val="auto"/>
                <w:w w:val="93"/>
              </w:rPr>
              <w:t>Indicate by check mark if the registrant is a well-known seasoned issuer,</w:t>
            </w:r>
          </w:p>
        </w:tc>
        <w:tc>
          <w:tcPr>
            <w:tcW w:w="22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85"/>
              </w:rPr>
              <w:t>as defined in Rule 405 of the Securities</w:t>
            </w:r>
          </w:p>
        </w:tc>
        <w:tc>
          <w:tcPr>
            <w:tcW w:w="580" w:type="dxa"/>
            <w:vAlign w:val="bottom"/>
          </w:tcPr>
          <w:p>
            <w:pPr>
              <w:ind w:left="180"/>
              <w:spacing w:after="0" w:line="156" w:lineRule="exact"/>
              <w:rPr>
                <w:sz w:val="20"/>
                <w:szCs w:val="20"/>
                <w:color w:val="auto"/>
              </w:rPr>
            </w:pPr>
            <w:r>
              <w:rPr>
                <w:rFonts w:ascii="Arial" w:cs="Arial" w:eastAsia="Arial" w:hAnsi="Arial"/>
                <w:sz w:val="15"/>
                <w:szCs w:val="15"/>
                <w:color w:val="auto"/>
              </w:rPr>
              <w:t>Act.</w:t>
            </w:r>
          </w:p>
        </w:tc>
        <w:tc>
          <w:tcPr>
            <w:tcW w:w="480" w:type="dxa"/>
            <w:vAlign w:val="bottom"/>
            <w:gridSpan w:val="3"/>
          </w:tcPr>
          <w:p>
            <w:pPr>
              <w:ind w:left="20"/>
              <w:spacing w:after="0" w:line="156" w:lineRule="exact"/>
              <w:rPr>
                <w:sz w:val="20"/>
                <w:szCs w:val="20"/>
                <w:color w:val="auto"/>
              </w:rPr>
            </w:pPr>
            <w:r>
              <w:rPr>
                <w:rFonts w:ascii="Arial" w:cs="Arial" w:eastAsia="Arial" w:hAnsi="Arial"/>
                <w:sz w:val="15"/>
                <w:szCs w:val="15"/>
                <w:color w:val="auto"/>
              </w:rPr>
              <w:t>Yes</w:t>
            </w:r>
          </w:p>
        </w:tc>
        <w:tc>
          <w:tcPr>
            <w:tcW w:w="3440" w:type="dxa"/>
            <w:vAlign w:val="bottom"/>
          </w:tcPr>
          <w:p>
            <w:pPr>
              <w:jc w:val="right"/>
              <w:ind w:right="3084"/>
              <w:spacing w:after="0" w:line="156" w:lineRule="exact"/>
              <w:rPr>
                <w:sz w:val="20"/>
                <w:szCs w:val="20"/>
                <w:color w:val="auto"/>
              </w:rPr>
            </w:pPr>
            <w:r>
              <w:rPr>
                <w:rFonts w:ascii="Arial" w:cs="Arial" w:eastAsia="Arial" w:hAnsi="Arial"/>
                <w:sz w:val="15"/>
                <w:szCs w:val="15"/>
                <w:color w:val="auto"/>
              </w:rPr>
              <w:t>No</w:t>
            </w:r>
          </w:p>
        </w:tc>
      </w:tr>
      <w:tr>
        <w:trPr>
          <w:trHeight w:val="188"/>
        </w:trPr>
        <w:tc>
          <w:tcPr>
            <w:tcW w:w="732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120" w:type="dxa"/>
            <w:vAlign w:val="bottom"/>
          </w:tcPr>
          <w:p>
            <w:pPr>
              <w:spacing w:after="0"/>
              <w:rPr>
                <w:sz w:val="16"/>
                <w:szCs w:val="16"/>
                <w:color w:val="auto"/>
              </w:rPr>
            </w:pPr>
          </w:p>
        </w:tc>
        <w:tc>
          <w:tcPr>
            <w:tcW w:w="360" w:type="dxa"/>
            <w:vAlign w:val="bottom"/>
            <w:gridSpan w:val="2"/>
          </w:tcPr>
          <w:p>
            <w:pPr>
              <w:ind w:left="40"/>
              <w:spacing w:after="0"/>
              <w:rPr>
                <w:sz w:val="20"/>
                <w:szCs w:val="20"/>
                <w:color w:val="auto"/>
              </w:rPr>
            </w:pPr>
            <w:r>
              <w:rPr>
                <w:rFonts w:ascii="Arial" w:cs="Arial" w:eastAsia="Arial" w:hAnsi="Arial"/>
                <w:sz w:val="15"/>
                <w:szCs w:val="15"/>
                <w:color w:val="auto"/>
              </w:rPr>
              <w:t>Yes</w:t>
            </w:r>
          </w:p>
        </w:tc>
        <w:tc>
          <w:tcPr>
            <w:tcW w:w="3440" w:type="dxa"/>
            <w:vAlign w:val="bottom"/>
          </w:tcPr>
          <w:p>
            <w:pPr>
              <w:jc w:val="right"/>
              <w:ind w:right="2944"/>
              <w:spacing w:after="0"/>
              <w:rPr>
                <w:sz w:val="20"/>
                <w:szCs w:val="20"/>
                <w:color w:val="auto"/>
              </w:rPr>
            </w:pPr>
            <w:r>
              <w:rPr>
                <w:rFonts w:ascii="Arial" w:cs="Arial" w:eastAsia="Arial" w:hAnsi="Arial"/>
                <w:sz w:val="15"/>
                <w:szCs w:val="15"/>
                <w:color w:val="auto"/>
              </w:rPr>
              <w:t>No</w:t>
            </w:r>
          </w:p>
        </w:tc>
      </w:tr>
    </w:tbl>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15"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months (or for such shorter period that the Registrant was required to file such reports), and (2) has been subject to such filing requirements for the past 90 days. Yes No Indicate by check mark whether the registrant has submitted electronically and posted on its corporate Web site, if any, every Interactive Data File required to be submitted and posted</w:t>
      </w:r>
    </w:p>
    <w:p>
      <w:pPr>
        <w:spacing w:after="0" w:line="1"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pursuant to Rule 405 of Regulation S-T during the preceding 12 months (or for such shorter period that the registrant was required to submit and post such files. Yes No 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7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480" w:type="dxa"/>
            <w:vAlign w:val="bottom"/>
          </w:tcPr>
          <w:p>
            <w:pPr>
              <w:ind w:left="3360"/>
              <w:spacing w:after="0"/>
              <w:rPr>
                <w:sz w:val="20"/>
                <w:szCs w:val="20"/>
                <w:color w:val="auto"/>
              </w:rPr>
            </w:pPr>
            <w:r>
              <w:rPr>
                <w:rFonts w:ascii="Arial" w:cs="Arial" w:eastAsia="Arial" w:hAnsi="Arial"/>
                <w:sz w:val="15"/>
                <w:szCs w:val="15"/>
                <w:color w:val="auto"/>
              </w:rPr>
              <w:t>Accelerated filer</w:t>
            </w:r>
          </w:p>
        </w:tc>
        <w:tc>
          <w:tcPr>
            <w:tcW w:w="600" w:type="dxa"/>
            <w:vAlign w:val="bottom"/>
            <w:vMerge w:val="restart"/>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5"/>
                <w:szCs w:val="15"/>
                <w:color w:val="auto"/>
              </w:rPr>
              <w:t>Non-accelerated filer</w:t>
            </w:r>
          </w:p>
        </w:tc>
        <w:tc>
          <w:tcPr>
            <w:tcW w:w="5480" w:type="dxa"/>
            <w:vAlign w:val="bottom"/>
          </w:tcPr>
          <w:p>
            <w:pPr>
              <w:ind w:left="3360"/>
              <w:spacing w:after="0" w:line="149" w:lineRule="exact"/>
              <w:rPr>
                <w:sz w:val="20"/>
                <w:szCs w:val="20"/>
                <w:color w:val="auto"/>
              </w:rPr>
            </w:pPr>
            <w:r>
              <w:rPr>
                <w:rFonts w:ascii="Arial" w:cs="Arial" w:eastAsia="Arial" w:hAnsi="Arial"/>
                <w:sz w:val="15"/>
                <w:szCs w:val="15"/>
                <w:color w:val="auto"/>
              </w:rPr>
              <w:t>Smaller reporting company</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5480" w:type="dxa"/>
            <w:vAlign w:val="bottom"/>
          </w:tcPr>
          <w:p>
            <w:pPr>
              <w:ind w:left="3360"/>
              <w:spacing w:after="0"/>
              <w:rPr>
                <w:sz w:val="20"/>
                <w:szCs w:val="20"/>
                <w:color w:val="auto"/>
              </w:rPr>
            </w:pPr>
            <w:r>
              <w:rPr>
                <w:rFonts w:ascii="Arial" w:cs="Arial" w:eastAsia="Arial" w:hAnsi="Arial"/>
                <w:sz w:val="15"/>
                <w:szCs w:val="15"/>
                <w:color w:val="auto"/>
              </w:rPr>
              <w:t>Emerging growth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600"/>
        <w:spacing w:after="0" w:line="252"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right="240"/>
        <w:spacing w:after="0" w:line="17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ind w:right="660"/>
        <w:spacing w:after="0" w:line="244" w:lineRule="auto"/>
        <w:rPr>
          <w:sz w:val="20"/>
          <w:szCs w:val="20"/>
          <w:color w:val="auto"/>
        </w:rPr>
      </w:pPr>
      <w:r>
        <w:rPr>
          <w:rFonts w:ascii="Arial" w:cs="Arial" w:eastAsia="Arial" w:hAnsi="Arial"/>
          <w:sz w:val="15"/>
          <w:szCs w:val="15"/>
          <w:color w:val="auto"/>
        </w:rPr>
        <w:t>As of June 30, 2021, the aggregate market value of the registrant’s common stock held by non-affiliates was $16,086,726,152 based on the closing sale price per share of the registrant’s common stock on The Nasdaq Global Select Market on such date.</w:t>
      </w:r>
    </w:p>
    <w:p>
      <w:pPr>
        <w:spacing w:after="0"/>
        <w:rPr>
          <w:sz w:val="20"/>
          <w:szCs w:val="20"/>
          <w:color w:val="auto"/>
        </w:rPr>
      </w:pPr>
      <w:r>
        <w:rPr>
          <w:rFonts w:ascii="Arial" w:cs="Arial" w:eastAsia="Arial" w:hAnsi="Arial"/>
          <w:sz w:val="15"/>
          <w:szCs w:val="15"/>
          <w:color w:val="auto"/>
        </w:rPr>
        <w:t>There were 256,399,274 shares of the registrant’s common stock outstanding as of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 w:lineRule="exact"/>
        <w:rPr>
          <w:sz w:val="24"/>
          <w:szCs w:val="24"/>
          <w:color w:val="auto"/>
        </w:rPr>
      </w:pPr>
    </w:p>
    <w:p>
      <w:pPr>
        <w:jc w:val="both"/>
        <w:ind w:right="60"/>
        <w:spacing w:after="0" w:line="248" w:lineRule="auto"/>
        <w:rPr>
          <w:sz w:val="20"/>
          <w:szCs w:val="20"/>
          <w:color w:val="auto"/>
        </w:rPr>
      </w:pPr>
      <w:r>
        <w:rPr>
          <w:rFonts w:ascii="Arial" w:cs="Arial" w:eastAsia="Arial" w:hAnsi="Arial"/>
          <w:sz w:val="15"/>
          <w:szCs w:val="15"/>
          <w:color w:val="auto"/>
        </w:rPr>
        <w:t>Part III of this annual report on Form 10-K incorporates by reference certain information from the registrant’s definitive proxy statement for the 2022 annual meeting of stockholders, which the registrant intends to file pursuant to Regulation 14A with the Securities and Exchange Commission not later than 120 days after the registrant’s fiscal year end of December 31, 2021. With the exception of the sections of the definitive proxy statement specifically incorporated herein by reference, the definitive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gridSpan w:val="19"/>
          </w:tcPr>
          <w:p>
            <w:pPr>
              <w:jc w:val="center"/>
              <w:ind w:right="1860"/>
              <w:spacing w:after="0"/>
              <w:rPr>
                <w:sz w:val="20"/>
                <w:szCs w:val="20"/>
                <w:color w:val="auto"/>
              </w:rPr>
            </w:pPr>
            <w:r>
              <w:rPr>
                <w:rFonts w:ascii="Arial" w:cs="Arial" w:eastAsia="Arial" w:hAnsi="Arial"/>
                <w:sz w:val="18"/>
                <w:szCs w:val="18"/>
                <w:b w:val="1"/>
                <w:bCs w:val="1"/>
                <w:color w:val="auto"/>
              </w:rPr>
              <w:t>SS&amp;C TECHNOLOGIES HOLDINGS, INC.</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00" w:type="dxa"/>
            <w:vAlign w:val="bottom"/>
            <w:gridSpan w:val="18"/>
          </w:tcPr>
          <w:p>
            <w:pPr>
              <w:jc w:val="center"/>
              <w:ind w:right="2640"/>
              <w:spacing w:after="0" w:line="202" w:lineRule="exact"/>
              <w:rPr>
                <w:sz w:val="20"/>
                <w:szCs w:val="20"/>
                <w:color w:val="auto"/>
              </w:rPr>
            </w:pPr>
            <w:r>
              <w:rPr>
                <w:rFonts w:ascii="Arial" w:cs="Arial" w:eastAsia="Arial" w:hAnsi="Arial"/>
                <w:sz w:val="18"/>
                <w:szCs w:val="18"/>
                <w:b w:val="1"/>
                <w:bCs w:val="1"/>
                <w:color w:val="auto"/>
                <w:w w:val="99"/>
              </w:rPr>
              <w:t>ANNUAL REPORT ON FORM 10-K</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gridSpan w:val="19"/>
          </w:tcPr>
          <w:p>
            <w:pPr>
              <w:jc w:val="center"/>
              <w:ind w:right="1860"/>
              <w:spacing w:after="0" w:line="202" w:lineRule="exact"/>
              <w:rPr>
                <w:sz w:val="20"/>
                <w:szCs w:val="20"/>
                <w:color w:val="auto"/>
              </w:rPr>
            </w:pPr>
            <w:r>
              <w:rPr>
                <w:rFonts w:ascii="Arial" w:cs="Arial" w:eastAsia="Arial" w:hAnsi="Arial"/>
                <w:sz w:val="18"/>
                <w:szCs w:val="18"/>
                <w:b w:val="1"/>
                <w:bCs w:val="1"/>
                <w:color w:val="auto"/>
                <w:w w:val="96"/>
              </w:rPr>
              <w:t>FOR THE FISCAL YEAR ENDED December 31, 2021</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gridSpan w:val="13"/>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13"/>
            <w:vMerge w:val="restart"/>
          </w:tcPr>
          <w:p>
            <w:pPr>
              <w:jc w:val="center"/>
              <w:ind w:right="470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40" w:type="dxa"/>
            <w:vAlign w:val="bottom"/>
            <w:gridSpan w:val="13"/>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1.</w:t>
            </w:r>
          </w:p>
        </w:tc>
        <w:tc>
          <w:tcPr>
            <w:tcW w:w="3660" w:type="dxa"/>
            <w:vAlign w:val="bottom"/>
            <w:gridSpan w:val="19"/>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4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900" w:type="dxa"/>
            <w:vAlign w:val="bottom"/>
            <w:tcBorders>
              <w:bottom w:val="single" w:sz="8" w:color="0000FF"/>
            </w:tcBorders>
            <w:gridSpan w:val="5"/>
          </w:tcPr>
          <w:p>
            <w:pPr>
              <w:spacing w:after="0" w:line="182" w:lineRule="exact"/>
              <w:rPr>
                <w:rFonts w:ascii="Arial" w:cs="Arial" w:eastAsia="Arial" w:hAnsi="Arial"/>
                <w:sz w:val="18"/>
                <w:szCs w:val="18"/>
                <w:color w:val="0000FF"/>
                <w:w w:val="87"/>
              </w:rPr>
            </w:pPr>
            <w:hyperlink w:anchor="page19">
              <w:r>
                <w:rPr>
                  <w:rFonts w:ascii="Arial" w:cs="Arial" w:eastAsia="Arial" w:hAnsi="Arial"/>
                  <w:sz w:val="18"/>
                  <w:szCs w:val="18"/>
                  <w:color w:val="0000FF"/>
                  <w:w w:val="87"/>
                </w:rPr>
                <w:t>Risk Factors</w:t>
              </w:r>
            </w:hyperlink>
          </w:p>
        </w:tc>
        <w:tc>
          <w:tcPr>
            <w:tcW w:w="20" w:type="dxa"/>
            <w:vAlign w:val="bottom"/>
            <w:tcBorders>
              <w:bottom w:val="single" w:sz="8" w:color="0000EE"/>
            </w:tcBorders>
          </w:tcPr>
          <w:p>
            <w:pPr>
              <w:spacing w:after="0"/>
              <w:rPr>
                <w:sz w:val="15"/>
                <w:szCs w:val="15"/>
                <w:color w:val="auto"/>
              </w:rPr>
            </w:pPr>
          </w:p>
        </w:tc>
        <w:tc>
          <w:tcPr>
            <w:tcW w:w="8020" w:type="dxa"/>
            <w:vAlign w:val="bottom"/>
            <w:gridSpan w:val="24"/>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Unresolved</w:t>
              </w:r>
            </w:hyperlink>
          </w:p>
        </w:tc>
        <w:tc>
          <w:tcPr>
            <w:tcW w:w="8020" w:type="dxa"/>
            <w:vAlign w:val="bottom"/>
            <w:gridSpan w:val="24"/>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Staff Comments</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2060" w:type="dxa"/>
            <w:vAlign w:val="bottom"/>
            <w:gridSpan w:val="12"/>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Properties</w:t>
              </w:r>
            </w:hyperlink>
          </w:p>
        </w:tc>
        <w:tc>
          <w:tcPr>
            <w:tcW w:w="8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8960" w:type="dxa"/>
            <w:vAlign w:val="bottom"/>
            <w:gridSpan w:val="31"/>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8960" w:type="dxa"/>
            <w:vAlign w:val="bottom"/>
            <w:gridSpan w:val="31"/>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13"/>
          </w:tcPr>
          <w:p>
            <w:pPr>
              <w:jc w:val="center"/>
              <w:ind w:right="4700"/>
              <w:spacing w:after="0"/>
              <w:rPr>
                <w:rFonts w:ascii="Arial" w:cs="Arial" w:eastAsia="Arial" w:hAnsi="Arial"/>
                <w:sz w:val="18"/>
                <w:szCs w:val="18"/>
                <w:b w:val="1"/>
                <w:bCs w:val="1"/>
                <w:color w:val="0000FF"/>
                <w:w w:val="99"/>
              </w:rPr>
            </w:pPr>
            <w:hyperlink w:anchor="page36">
              <w:r>
                <w:rPr>
                  <w:rFonts w:ascii="Arial" w:cs="Arial" w:eastAsia="Arial" w:hAnsi="Arial"/>
                  <w:sz w:val="18"/>
                  <w:szCs w:val="18"/>
                  <w:b w:val="1"/>
                  <w:bCs w:val="1"/>
                  <w:color w:val="0000FF"/>
                  <w:w w:val="99"/>
                </w:rPr>
                <w:t>PART II</w:t>
              </w:r>
            </w:hyperlink>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5.</w:t>
            </w:r>
          </w:p>
        </w:tc>
        <w:tc>
          <w:tcPr>
            <w:tcW w:w="3620" w:type="dxa"/>
            <w:vAlign w:val="bottom"/>
            <w:gridSpan w:val="18"/>
            <w:vMerge w:val="restart"/>
          </w:tcPr>
          <w:p>
            <w:pPr>
              <w:spacing w:after="0" w:line="202"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Market for Registrant’s Common Equity, Related</w:t>
              </w:r>
            </w:hyperlink>
          </w:p>
        </w:tc>
        <w:tc>
          <w:tcPr>
            <w:tcW w:w="480" w:type="dxa"/>
            <w:vAlign w:val="bottom"/>
            <w:tcBorders>
              <w:left w:val="single" w:sz="8" w:color="0000EE"/>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20" w:type="dxa"/>
            <w:vAlign w:val="bottom"/>
            <w:gridSpan w:val="7"/>
            <w:vMerge w:val="restart"/>
          </w:tcPr>
          <w:p>
            <w:pPr>
              <w:ind w:left="18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Matters and Issuer Purchases of Equity Securities</w:t>
              </w:r>
            </w:hyperlink>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3620" w:type="dxa"/>
            <w:vAlign w:val="bottom"/>
            <w:gridSpan w:val="18"/>
            <w:vMerge w:val="continue"/>
          </w:tcPr>
          <w:p>
            <w:pPr>
              <w:spacing w:after="0"/>
              <w:rPr>
                <w:sz w:val="15"/>
                <w:szCs w:val="15"/>
                <w:color w:val="auto"/>
              </w:rPr>
            </w:pPr>
          </w:p>
        </w:tc>
        <w:tc>
          <w:tcPr>
            <w:tcW w:w="660" w:type="dxa"/>
            <w:vAlign w:val="bottom"/>
            <w:gridSpan w:val="4"/>
          </w:tcPr>
          <w:p>
            <w:pPr>
              <w:jc w:val="center"/>
              <w:ind w:right="20"/>
              <w:spacing w:after="0" w:line="183" w:lineRule="exact"/>
              <w:rPr>
                <w:rFonts w:ascii="Arial" w:cs="Arial" w:eastAsia="Arial" w:hAnsi="Arial"/>
                <w:sz w:val="17"/>
                <w:szCs w:val="17"/>
                <w:color w:val="0000FF"/>
                <w:w w:val="71"/>
              </w:rPr>
            </w:pPr>
            <w:hyperlink w:anchor="page36">
              <w:r>
                <w:rPr>
                  <w:rFonts w:ascii="Arial" w:cs="Arial" w:eastAsia="Arial" w:hAnsi="Arial"/>
                  <w:sz w:val="17"/>
                  <w:szCs w:val="17"/>
                  <w:color w:val="0000FF"/>
                  <w:w w:val="71"/>
                </w:rPr>
                <w:t>Stockholder</w:t>
              </w:r>
            </w:hyperlink>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20" w:type="dxa"/>
            <w:vAlign w:val="bottom"/>
            <w:gridSpan w:val="7"/>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0000EE"/>
            </w:tcBorders>
          </w:tcPr>
          <w:p>
            <w:pPr>
              <w:spacing w:after="0"/>
              <w:rPr>
                <w:sz w:val="15"/>
                <w:szCs w:val="15"/>
                <w:color w:val="auto"/>
              </w:rPr>
            </w:pPr>
          </w:p>
        </w:tc>
        <w:tc>
          <w:tcPr>
            <w:tcW w:w="7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7"/>
              </w:rPr>
            </w:pPr>
            <w:hyperlink w:anchor="page38">
              <w:r>
                <w:rPr>
                  <w:rFonts w:ascii="Arial" w:cs="Arial" w:eastAsia="Arial" w:hAnsi="Arial"/>
                  <w:sz w:val="18"/>
                  <w:szCs w:val="18"/>
                  <w:color w:val="0000FF"/>
                  <w:w w:val="87"/>
                </w:rPr>
                <w:t>[Reserved]</w:t>
              </w:r>
            </w:hyperlink>
          </w:p>
        </w:tc>
        <w:tc>
          <w:tcPr>
            <w:tcW w:w="20" w:type="dxa"/>
            <w:vAlign w:val="bottom"/>
            <w:tcBorders>
              <w:top w:val="single" w:sz="8" w:color="0000FF"/>
              <w:bottom w:val="single" w:sz="8" w:color="0000EE"/>
            </w:tcBorders>
          </w:tcPr>
          <w:p>
            <w:pPr>
              <w:spacing w:after="0"/>
              <w:rPr>
                <w:sz w:val="15"/>
                <w:szCs w:val="15"/>
                <w:color w:val="auto"/>
              </w:rPr>
            </w:pPr>
          </w:p>
        </w:tc>
        <w:tc>
          <w:tcPr>
            <w:tcW w:w="7260" w:type="dxa"/>
            <w:vAlign w:val="bottom"/>
            <w:tcBorders>
              <w:top w:val="single" w:sz="8" w:color="0000FF"/>
            </w:tcBorders>
            <w:gridSpan w:val="25"/>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7.</w:t>
            </w:r>
          </w:p>
        </w:tc>
        <w:tc>
          <w:tcPr>
            <w:tcW w:w="8960" w:type="dxa"/>
            <w:vAlign w:val="bottom"/>
            <w:gridSpan w:val="31"/>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 Operations</w:t>
              </w:r>
            </w:hyperlink>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6460" w:type="dxa"/>
            <w:vAlign w:val="bottom"/>
            <w:gridSpan w:val="27"/>
          </w:tcPr>
          <w:p>
            <w:pPr>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20" w:type="dxa"/>
            <w:vAlign w:val="bottom"/>
            <w:gridSpan w:val="2"/>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4320" w:type="dxa"/>
            <w:vAlign w:val="bottom"/>
            <w:gridSpan w:val="23"/>
          </w:tcPr>
          <w:p>
            <w:pPr>
              <w:spacing w:after="0" w:line="182" w:lineRule="exact"/>
              <w:rPr>
                <w:rFonts w:ascii="Arial" w:cs="Arial" w:eastAsia="Arial" w:hAnsi="Arial"/>
                <w:sz w:val="18"/>
                <w:szCs w:val="18"/>
                <w:color w:val="0000FF"/>
              </w:rPr>
            </w:pPr>
            <w:hyperlink w:anchor="page53">
              <w:r>
                <w:rPr>
                  <w:rFonts w:ascii="Arial" w:cs="Arial" w:eastAsia="Arial" w:hAnsi="Arial"/>
                  <w:sz w:val="18"/>
                  <w:szCs w:val="18"/>
                  <w:color w:val="0000FF"/>
                </w:rPr>
                <w:t>Financial Statements and Supplementary Data</w:t>
              </w:r>
            </w:hyperlink>
          </w:p>
        </w:tc>
        <w:tc>
          <w:tcPr>
            <w:tcW w:w="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380" w:type="dxa"/>
            <w:vAlign w:val="bottom"/>
            <w:gridSpan w:val="15"/>
            <w:vMerge w:val="restart"/>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on Accounting and Financial Disclosure</w:t>
              </w:r>
            </w:hyperlink>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3360" w:type="dxa"/>
            <w:vAlign w:val="bottom"/>
            <w:gridSpan w:val="15"/>
          </w:tcPr>
          <w:p>
            <w:pPr>
              <w:spacing w:after="0" w:line="182" w:lineRule="exact"/>
              <w:rPr>
                <w:rFonts w:ascii="Arial" w:cs="Arial" w:eastAsia="Arial" w:hAnsi="Arial"/>
                <w:sz w:val="18"/>
                <w:szCs w:val="18"/>
                <w:color w:val="0000FF"/>
                <w:w w:val="84"/>
              </w:rPr>
            </w:pPr>
            <w:hyperlink w:anchor="page88">
              <w:r>
                <w:rPr>
                  <w:rFonts w:ascii="Arial" w:cs="Arial" w:eastAsia="Arial" w:hAnsi="Arial"/>
                  <w:sz w:val="18"/>
                  <w:szCs w:val="18"/>
                  <w:color w:val="0000FF"/>
                  <w:w w:val="84"/>
                </w:rPr>
                <w:t>Changes in and Disagreements with Accountants</w:t>
              </w:r>
            </w:hyperlink>
          </w:p>
        </w:tc>
        <w:tc>
          <w:tcPr>
            <w:tcW w:w="220" w:type="dxa"/>
            <w:vAlign w:val="bottom"/>
            <w:vMerge w:val="continue"/>
          </w:tcPr>
          <w:p>
            <w:pPr>
              <w:spacing w:after="0"/>
              <w:rPr>
                <w:sz w:val="15"/>
                <w:szCs w:val="15"/>
                <w:color w:val="auto"/>
              </w:rPr>
            </w:pPr>
          </w:p>
        </w:tc>
        <w:tc>
          <w:tcPr>
            <w:tcW w:w="5380" w:type="dxa"/>
            <w:vAlign w:val="bottom"/>
            <w:gridSpan w:val="15"/>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6480" w:type="dxa"/>
            <w:vAlign w:val="bottom"/>
            <w:gridSpan w:val="28"/>
          </w:tcPr>
          <w:p>
            <w:pPr>
              <w:spacing w:after="0" w:line="182" w:lineRule="exact"/>
              <w:rPr>
                <w:rFonts w:ascii="Arial" w:cs="Arial" w:eastAsia="Arial" w:hAnsi="Arial"/>
                <w:sz w:val="18"/>
                <w:szCs w:val="18"/>
                <w:color w:val="0000FF"/>
              </w:rPr>
            </w:pPr>
            <w:hyperlink w:anchor="page88">
              <w:r>
                <w:rPr>
                  <w:rFonts w:ascii="Arial" w:cs="Arial" w:eastAsia="Arial" w:hAnsi="Arial"/>
                  <w:sz w:val="18"/>
                  <w:szCs w:val="18"/>
                  <w:color w:val="0000FF"/>
                </w:rPr>
                <w:t>Controls and Procedures</w:t>
              </w:r>
            </w:hyperlink>
          </w:p>
        </w:tc>
        <w:tc>
          <w:tcPr>
            <w:tcW w:w="8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2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780" w:type="dxa"/>
            <w:vAlign w:val="bottom"/>
            <w:gridSpan w:val="10"/>
          </w:tcPr>
          <w:p>
            <w:pPr>
              <w:spacing w:after="0" w:line="182" w:lineRule="exact"/>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8960" w:type="dxa"/>
            <w:vAlign w:val="bottom"/>
            <w:gridSpan w:val="31"/>
          </w:tcPr>
          <w:p>
            <w:pPr>
              <w:spacing w:after="0" w:line="182" w:lineRule="exact"/>
              <w:rPr>
                <w:rFonts w:ascii="Arial" w:cs="Arial" w:eastAsia="Arial" w:hAnsi="Arial"/>
                <w:sz w:val="18"/>
                <w:szCs w:val="18"/>
                <w:color w:val="0000FF"/>
              </w:rPr>
            </w:pPr>
            <w:hyperlink w:anchor="page89">
              <w:r>
                <w:rPr>
                  <w:rFonts w:ascii="Arial" w:cs="Arial" w:eastAsia="Arial" w:hAnsi="Arial"/>
                  <w:sz w:val="18"/>
                  <w:szCs w:val="18"/>
                  <w:color w:val="0000FF"/>
                </w:rPr>
                <w:t>Disclosure Regarding Foreign Jurisdictions that Prevent Inspections</w:t>
              </w:r>
            </w:hyperlink>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7"/>
          </w:tcPr>
          <w:p>
            <w:pPr>
              <w:jc w:val="center"/>
              <w:ind w:right="20"/>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PART III</w:t>
              </w:r>
            </w:hyperlink>
          </w:p>
        </w:tc>
        <w:tc>
          <w:tcPr>
            <w:tcW w:w="560" w:type="dxa"/>
            <w:vAlign w:val="bottom"/>
            <w:tcBorders>
              <w:top w:val="single" w:sz="8" w:color="0000FF"/>
            </w:tcBorders>
          </w:tcPr>
          <w:p>
            <w:pPr>
              <w:spacing w:after="0"/>
              <w:rPr>
                <w:sz w:val="24"/>
                <w:szCs w:val="24"/>
                <w:color w:val="auto"/>
              </w:rPr>
            </w:pPr>
          </w:p>
        </w:tc>
        <w:tc>
          <w:tcPr>
            <w:tcW w:w="4060" w:type="dxa"/>
            <w:vAlign w:val="bottom"/>
            <w:gridSpan w:val="6"/>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4340" w:type="dxa"/>
            <w:vAlign w:val="bottom"/>
            <w:gridSpan w:val="24"/>
          </w:tcPr>
          <w:p>
            <w:pPr>
              <w:spacing w:after="0" w:line="182" w:lineRule="exact"/>
              <w:rPr>
                <w:rFonts w:ascii="Arial" w:cs="Arial" w:eastAsia="Arial" w:hAnsi="Arial"/>
                <w:sz w:val="18"/>
                <w:szCs w:val="18"/>
                <w:color w:val="0000FF"/>
                <w:w w:val="95"/>
              </w:rPr>
            </w:pPr>
            <w:hyperlink w:anchor="page90">
              <w:r>
                <w:rPr>
                  <w:rFonts w:ascii="Arial" w:cs="Arial" w:eastAsia="Arial" w:hAnsi="Arial"/>
                  <w:sz w:val="18"/>
                  <w:szCs w:val="18"/>
                  <w:color w:val="0000FF"/>
                  <w:w w:val="95"/>
                </w:rPr>
                <w:t>Directors, Executive Officers and Corporate Governance</w:t>
              </w:r>
            </w:hyperlink>
          </w:p>
        </w:tc>
        <w:tc>
          <w:tcPr>
            <w:tcW w:w="1120" w:type="dxa"/>
            <w:vAlign w:val="bottom"/>
            <w:gridSpan w:val="2"/>
          </w:tcPr>
          <w:p>
            <w:pPr>
              <w:spacing w:after="0"/>
              <w:rPr>
                <w:sz w:val="15"/>
                <w:szCs w:val="15"/>
                <w:color w:val="auto"/>
              </w:rPr>
            </w:pPr>
          </w:p>
        </w:tc>
        <w:tc>
          <w:tcPr>
            <w:tcW w:w="1840" w:type="dxa"/>
            <w:vAlign w:val="bottom"/>
            <w:gridSpan w:val="3"/>
          </w:tcPr>
          <w:p>
            <w:pPr>
              <w:spacing w:after="0"/>
              <w:rPr>
                <w:sz w:val="15"/>
                <w:szCs w:val="15"/>
                <w:color w:val="auto"/>
              </w:rPr>
            </w:pPr>
          </w:p>
        </w:tc>
        <w:tc>
          <w:tcPr>
            <w:tcW w:w="1660" w:type="dxa"/>
            <w:vAlign w:val="bottom"/>
            <w:gridSpan w:val="2"/>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11.</w:t>
            </w:r>
          </w:p>
        </w:tc>
        <w:tc>
          <w:tcPr>
            <w:tcW w:w="2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114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4100" w:type="dxa"/>
            <w:vAlign w:val="bottom"/>
            <w:gridSpan w:val="20"/>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220" w:type="dxa"/>
            <w:vAlign w:val="bottom"/>
            <w:gridSpan w:val="3"/>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7120" w:type="dxa"/>
            <w:vAlign w:val="bottom"/>
            <w:gridSpan w:val="20"/>
            <w:vMerge w:val="restart"/>
          </w:tcPr>
          <w:p>
            <w:pPr>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Certain Beneficial Owners and Management and Related Stockholder Matters</w:t>
              </w:r>
            </w:hyperlink>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840" w:type="dxa"/>
            <w:vAlign w:val="bottom"/>
            <w:gridSpan w:val="11"/>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Security Ownership of</w:t>
              </w:r>
            </w:hyperlink>
          </w:p>
        </w:tc>
        <w:tc>
          <w:tcPr>
            <w:tcW w:w="7120" w:type="dxa"/>
            <w:vAlign w:val="bottom"/>
            <w:gridSpan w:val="20"/>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7"/>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7300" w:type="dxa"/>
            <w:vAlign w:val="bottom"/>
            <w:gridSpan w:val="29"/>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Certain Relationships and Related Transactions, and Director Independence</w:t>
              </w:r>
            </w:hyperlink>
          </w:p>
        </w:tc>
        <w:tc>
          <w:tcPr>
            <w:tcW w:w="16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7"/>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500" w:type="dxa"/>
            <w:vAlign w:val="bottom"/>
            <w:gridSpan w:val="5"/>
            <w:vMerge w:val="restart"/>
          </w:tcPr>
          <w:p>
            <w:pPr>
              <w:spacing w:after="0" w:line="20" w:lineRule="exact"/>
              <w:rPr>
                <w:sz w:val="1"/>
                <w:szCs w:val="1"/>
                <w:color w:val="auto"/>
              </w:rPr>
            </w:pPr>
          </w:p>
        </w:tc>
        <w:tc>
          <w:tcPr>
            <w:tcW w:w="12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Principal Accountant Fees and Services</w:t>
              </w:r>
            </w:hyperlink>
          </w:p>
        </w:tc>
        <w:tc>
          <w:tcPr>
            <w:tcW w:w="3500" w:type="dxa"/>
            <w:vAlign w:val="bottom"/>
            <w:gridSpan w:val="5"/>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gridSpan w:val="15"/>
          </w:tcPr>
          <w:p>
            <w:pPr>
              <w:jc w:val="center"/>
              <w:ind w:right="4660"/>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PART IV</w:t>
              </w:r>
            </w:hyperlink>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15.</w:t>
            </w:r>
          </w:p>
        </w:tc>
        <w:tc>
          <w:tcPr>
            <w:tcW w:w="3580" w:type="dxa"/>
            <w:vAlign w:val="bottom"/>
            <w:gridSpan w:val="16"/>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Exhibits and Financial Statement Schedules</w:t>
              </w:r>
            </w:hyperlink>
          </w:p>
        </w:tc>
        <w:tc>
          <w:tcPr>
            <w:tcW w:w="740" w:type="dxa"/>
            <w:vAlign w:val="bottom"/>
            <w:tcBorders>
              <w:top w:val="single" w:sz="8" w:color="0000FF"/>
            </w:tcBorders>
            <w:gridSpan w:val="7"/>
          </w:tcPr>
          <w:p>
            <w:pPr>
              <w:spacing w:after="0"/>
              <w:rPr>
                <w:sz w:val="15"/>
                <w:szCs w:val="15"/>
                <w:color w:val="auto"/>
              </w:rPr>
            </w:pPr>
          </w:p>
        </w:tc>
        <w:tc>
          <w:tcPr>
            <w:tcW w:w="4640" w:type="dxa"/>
            <w:vAlign w:val="bottom"/>
            <w:gridSpan w:val="8"/>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0"/>
              </w:rPr>
            </w:pPr>
            <w:hyperlink w:anchor="page93">
              <w:r>
                <w:rPr>
                  <w:rFonts w:ascii="Arial" w:cs="Arial" w:eastAsia="Arial" w:hAnsi="Arial"/>
                  <w:sz w:val="18"/>
                  <w:szCs w:val="18"/>
                  <w:color w:val="0000FF"/>
                  <w:w w:val="90"/>
                </w:rPr>
                <w:t>Form 10-K Summary</w:t>
              </w:r>
            </w:hyperlink>
          </w:p>
        </w:tc>
        <w:tc>
          <w:tcPr>
            <w:tcW w:w="1600" w:type="dxa"/>
            <w:vAlign w:val="bottom"/>
            <w:tcBorders>
              <w:top w:val="single" w:sz="8" w:color="0000FF"/>
            </w:tcBorders>
            <w:gridSpan w:val="5"/>
          </w:tcPr>
          <w:p>
            <w:pPr>
              <w:spacing w:after="0"/>
              <w:rPr>
                <w:sz w:val="15"/>
                <w:szCs w:val="15"/>
                <w:color w:val="auto"/>
              </w:rPr>
            </w:pPr>
          </w:p>
        </w:tc>
        <w:tc>
          <w:tcPr>
            <w:tcW w:w="5800" w:type="dxa"/>
            <w:vAlign w:val="bottom"/>
            <w:gridSpan w:val="17"/>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844"/>
        </w:trPr>
        <w:tc>
          <w:tcPr>
            <w:tcW w:w="1040" w:type="dxa"/>
            <w:vAlign w:val="bottom"/>
          </w:tcPr>
          <w:p>
            <w:pPr>
              <w:spacing w:after="0"/>
              <w:rPr>
                <w:sz w:val="24"/>
                <w:szCs w:val="24"/>
                <w:color w:val="auto"/>
              </w:rPr>
            </w:pPr>
          </w:p>
        </w:tc>
        <w:tc>
          <w:tcPr>
            <w:tcW w:w="4900" w:type="dxa"/>
            <w:vAlign w:val="bottom"/>
            <w:gridSpan w:val="25"/>
          </w:tcPr>
          <w:p>
            <w:pPr>
              <w:jc w:val="center"/>
              <w:ind w:left="4170"/>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16"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Certain statements contained in this annual report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are subject to risks and uncertainties, which could cause actual results to differ materially from those anticipated. Such risks and uncertainties include, but are not limited to, the state of the economy and the financial services industry and other industries in which our clients operate, our ability to realize anticipated benefits from our acquisitions, the effect of customer consolidation on demand for our products and services, the increasing focus of our business on the hedge fund industry, the variability of revenue as a result of activity in the securities markets, our ability to retain and attract clients, fluctuations in customer demand for our products and services, the intensity of competition with respect to our products and services, our exposure to litigation and other claims, terrorist activities and other catastrophic events, disruptions, attacks or failures affecting our software-enabled services, risks associated with our foreign operations, privacy concerns relating to the collection and storage of personal information, evolving regulations and increased scrutiny from regulators, our ability to protect intellectual property assets and litigation regarding intellectual property rights, delays in product development, investment decisions concerning cash balances, regulatory and tax risks, risks associated with our joint ventures, changes in accounting standards, risks related to our substantial indebtedness, and the market price of our stock prevailing from time to time. The factors discussed under “Item 1A. Risk Factors”,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on which they are made and, except to the extent required by applicable securities laws, we undertake no obligation to update or revise any forward-looking statements.</w:t>
      </w:r>
    </w:p>
    <w:p>
      <w:pPr>
        <w:spacing w:after="0" w:line="17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following are some of our registered trademarks and/or service marks in the U.S. and/or in other countries: ADVENT, ADVENT CORPORATE ACTIONS, ADVENT CUSTODIAL DATA, ADVENT ONDEMAND, ADVENT PORTFOLIO EXCHANGE, ALGO, ALGO CREDIT, ALGO MARKET, ALGO ONE, ALGO RISK, ALGORITHMICS, ADVENT REVENUE CENTER, ADVISORWARE, ALL-STAR FUNDS, ALPS, AWD, AXYS, BENEFIX, BLACK DIAMOND, DBC, DST, DST SYSTEMS, ECLIPSE, EZE, EZE CASTLE, EZE ECLIPSE, FAN, FAN MAIL, FIXLINK, GENEVA, GLOBEOP, GLOBEOP HEDGE FUND INDEX, GOREC, GORISK, INTRALINKS, KNOW YOUR RISK, LIBERTY ALL-STAR FUNDS, MARGINMAN, MARK-TO-FUTURE, MAXIMIS, MOXY, PACER, PAGES, PAS, PORTIA, PORTPRO, REALTICK, RECON, ROLLOVER CENTRAL, RISKWATCH, RXFOCUS, SKYLINE, SS&amp;C, SS&amp;C SINGULARITY, SYNCOVA, SYLVAN, TA2000, TAMALE, TAMALE RMS, TRAC, TRADETHRU, TRADEWARE, VISION, WALLETSHARE, and ZOOLOGIC. SS&amp;C Technologies Holdings, Inc. and/or its subsidiaries in the U.S. and/or in other countries have trademark or service mark rights to certain other names and marks other than those referred to in this annual report.</w:t>
      </w:r>
    </w:p>
    <w:p>
      <w:pPr>
        <w:spacing w:after="0" w:line="18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SS&amp;C Technologies Holdings (NASDAQ: SSNC) is the world’s largest hedge fund and private equity administrator, as well as the largest mutual fund transfer agent. SS&amp;C’s unique business model combines end-to-end expertise across financial services operations with software and solutions to service even the most demanding customers in the financial services and healthcare industries. SS&amp;C owns and operates the full technology stack across securities accounting, front-to-back-office operations, performance and risk analytics, regulatory reporting and healthcare information processes.</w:t>
      </w:r>
    </w:p>
    <w:p>
      <w:pPr>
        <w:spacing w:after="0" w:line="1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SS&amp;C’s trusted and proven technology delivers an unparalleled level of scalable capabilities for the most complex portfolios, the most sophisticated strategies, and the highest volumes of transactions. Through a series of carefully selected acquisitions and organic growth, the breadth and depth of SS&amp;C’s expertise in financial services and healthcare technology are unmatched.</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Founded in 1986 and headquartered in Windsor, Connecticut, the Company is home to 24,000+ employees and has 125 offices in 94 cities globally. With 20,000 clients spanning the health and financial services industries, our customers’ needs and requirements are always at the forefront of our strategy. We provide the global financial services industry with a broad range of software-enabled services, which consist of software-enabled outsourcing services and subscription-based on-demand cloud solutions that are managed and hosted at our facilities, and specialized software products, which are deployed at our clients’ facilities. Our software-enabled services, which combine the strengths of our proprietary software with our domain expertise, enable our clients to contract with us to provide many of their mission-critical and complex business processes. For example, we utilize our software to deliver comprehensive fund administration services to alternative and traditional asset managers, including fund manager services, transfer agency services, funds-of-funds services, tax processing and accounting. We offer clients the flexibility to choose from multiple software delivery options, including on premise applications and hosted, multi-tenant or dedicated applications. Additionally, we provide clients with targeted, blended solutions based on a combination of software and software-enabled services. We believe that our software-enabled services provide superior client support and an attractive alternative to clients that do not wish to install, manage and maintain complicated financial software.</w:t>
      </w:r>
    </w:p>
    <w:p>
      <w:pPr>
        <w:spacing w:after="0" w:line="186"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also serve the healthcare industry through our SS&amp;C Health services and technology enabled business. The core purpose of our health business is to enable our clients to provide better health services, including improved quality, cost, experience and outcomes to their members. We do this by applying modern technology to medical and pharmacy claims processing, data and analytics and simplifying and improving the experience for our client users and their members. SS&amp;C Health’s chosen market segments are Health Plans and pharmacy benefit managers, specifically, those who serve government-funded member segments and those who are seeking alternatives to the big three integrated health plans. As a total health partner, our suite of solutions spans across health plan operations. These options include core claims processing, operational software and high value applications for Value-Based Payment, Encounters, Risk-Adjustment and Total Cost management. Unique in the market, we are prepared to support our clients in their transition to interoperability: storing, securely transporting and leveraging claims and clinical information to drive value for their clients and members. These solutions enable us to serve a large population of payer clients across the market segments.</w:t>
      </w:r>
    </w:p>
    <w:p>
      <w:pPr>
        <w:spacing w:after="0" w:line="18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Our business model is characterized by high revenue retention rates and significant cash flow. We generate revenues primarily through our high-value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Maintenance services are generally provided under annually renewable contracts. Pricing in our software-enabled services businesses scales based on several factors which can include our clients’ assets under management, the complexity of asset classes managed, the number of accounts serviced, the volume of transactions, trading volume, medical claims and pharmacy claims volume and the level of service the client requires. We have experienced average revenue retention rates in each of the last five years of greater than 95% on our software-enabled services and maintenance and term licenses contracts for our core enterprise products. We believe that the high value-added nature of our products and services has enabled us to maintain our high revenue retention rates.</w:t>
      </w:r>
    </w:p>
    <w:p>
      <w:pPr>
        <w:spacing w:after="0" w:line="16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generated revenues of $5,051.0 million for the year ended December 31, 2021 as compared to revenues of $4,667.9 million for the year ended December 31, 2020. In 2021, we generated 76% of our revenues from clients in North America and 24% from clients outside North America. Our revenues are highly diversified, with our largest client in 2021 accounting for less than 5% of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right="300"/>
        <w:spacing w:after="0" w:line="261" w:lineRule="auto"/>
        <w:rPr>
          <w:sz w:val="20"/>
          <w:szCs w:val="20"/>
          <w:color w:val="auto"/>
        </w:rPr>
      </w:pPr>
      <w:r>
        <w:rPr>
          <w:rFonts w:ascii="Arial" w:cs="Arial" w:eastAsia="Arial" w:hAnsi="Arial"/>
          <w:sz w:val="18"/>
          <w:szCs w:val="18"/>
          <w:color w:val="auto"/>
        </w:rPr>
        <w:t>revenues. Additional financial information, including geographic information, is available in our Consolidated Financial Statements and Note 13 to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1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serve a number of vertical markets within the financial services and healthcare industries. Our financial services clients include alternative investment funds, investment management firms, institutional and retail asset managers, insurance companies, registered investment advisors (“RIAs”), wealth managers, banks and brokerage firms. Our healthcare clients include individual and government sponsored health plans and healthcare providers. We believe that financial services and healthcare providers will increasingly turn to IT solutions, provided by an independent vendor, as a result of economic challenges and heightened regulatory requirements. Financial services firms are in a search for more risk-averse business strategies, simplified regulatory compliance, and full service solutions provided by a single vendor. Healthcare providers are looking to improve their customers’ experience through better access to data and an enhanced user interface. As a result, we believe these industries will continue to invest in IT and outsourcing solutions.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0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demand for our products and services comes from a number of distinct sources: new formations in asset and wealth management and healthcare, new business lines and combinations of business lines at existing clients, replacement of legacy in-house operations and competitor systems and expansion of our existing client relationships. Underlying these demand drivers are several industry trends, including:</w:t>
      </w:r>
    </w:p>
    <w:p>
      <w:pPr>
        <w:spacing w:after="0" w:line="56" w:lineRule="exact"/>
        <w:rPr>
          <w:sz w:val="20"/>
          <w:szCs w:val="20"/>
          <w:color w:val="auto"/>
        </w:rPr>
      </w:pPr>
    </w:p>
    <w:p>
      <w:pPr>
        <w:jc w:val="both"/>
        <w:ind w:left="440" w:right="180" w:hanging="380"/>
        <w:spacing w:after="0" w:line="24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COVID-19 accelerates adoption of outsourcing and cloud-based solutions. </w:t>
      </w:r>
      <w:r>
        <w:rPr>
          <w:rFonts w:ascii="Arial" w:cs="Arial" w:eastAsia="Arial" w:hAnsi="Arial"/>
          <w:sz w:val="18"/>
          <w:szCs w:val="18"/>
          <w:color w:val="auto"/>
        </w:rPr>
        <w:t>COVID-19 presented a number of challenges for our customer base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global shift to a remote workforce. SS&amp;C continues to see robust interest in its solutions to drive transformation as customers look to emerge from the crisis with more resilience and agility and expect a lasting effect on the way financial services and healthcare firms conduct business. The post-COVID-19 environment requires an increased focused on operational efficiency, infrastructure stability, and ability to access systems and data via cloud-based, web-based portals.</w:t>
      </w:r>
    </w:p>
    <w:p>
      <w:pPr>
        <w:spacing w:after="0" w:line="81" w:lineRule="exact"/>
        <w:rPr>
          <w:rFonts w:ascii="Arial" w:cs="Arial" w:eastAsia="Arial" w:hAnsi="Arial"/>
          <w:sz w:val="18"/>
          <w:szCs w:val="18"/>
          <w:color w:val="auto"/>
        </w:rPr>
      </w:pPr>
    </w:p>
    <w:p>
      <w:pPr>
        <w:ind w:left="440" w:right="20" w:hanging="380"/>
        <w:spacing w:after="0" w:line="24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Diversification of business lines, product proliferation and complexity. </w:t>
      </w:r>
      <w:r>
        <w:rPr>
          <w:rFonts w:ascii="Arial" w:cs="Arial" w:eastAsia="Arial" w:hAnsi="Arial"/>
          <w:sz w:val="18"/>
          <w:szCs w:val="18"/>
          <w:color w:val="auto"/>
        </w:rPr>
        <w:t>As investment managers look to grow through diversified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(alternatives, real assets, and private equity) in global markets, they need their technology investments and servicing partners to be long-lived and deliver a return on their investment for different types of businesses models. Our scalable solutions empower client growth while diversifying their product offering. Our customers' business models and product offerings are becoming increasingly complex. We aim to simplify organizations where possible and make continuous improvements to our systems to handle complexity.</w:t>
      </w:r>
    </w:p>
    <w:p>
      <w:pPr>
        <w:spacing w:after="0" w:line="81" w:lineRule="exact"/>
        <w:rPr>
          <w:rFonts w:ascii="Arial" w:cs="Arial" w:eastAsia="Arial" w:hAnsi="Arial"/>
          <w:sz w:val="18"/>
          <w:szCs w:val="18"/>
          <w:color w:val="auto"/>
        </w:rPr>
      </w:pPr>
    </w:p>
    <w:p>
      <w:pPr>
        <w:ind w:left="420" w:right="60" w:hanging="367"/>
        <w:spacing w:after="0" w:line="241"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Regulatory changes. </w:t>
      </w:r>
      <w:r>
        <w:rPr>
          <w:rFonts w:ascii="Arial" w:cs="Arial" w:eastAsia="Arial" w:hAnsi="Arial"/>
          <w:sz w:val="18"/>
          <w:szCs w:val="18"/>
          <w:color w:val="auto"/>
        </w:rPr>
        <w:t>Our clients must comply with rules, regulations, directives and standards from governmental and self-regulating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clients rely on us to navigate new requirements and facilitate compliance in today’s dynamic and evolving regulatory environment. We are uniquely positioned in our ability to interpret regulations and impact to clients and to implement technology solutions. We expect regulatory changes to increase the complexity of compliance and the demand for our products and services and motivate clients to develop systems infrastructure and research management processes to comply with regulatory requirements.</w:t>
      </w:r>
    </w:p>
    <w:p>
      <w:pPr>
        <w:spacing w:after="0" w:line="81" w:lineRule="exact"/>
        <w:rPr>
          <w:rFonts w:ascii="Arial" w:cs="Arial" w:eastAsia="Arial" w:hAnsi="Arial"/>
          <w:sz w:val="18"/>
          <w:szCs w:val="18"/>
          <w:color w:val="auto"/>
        </w:rPr>
      </w:pPr>
    </w:p>
    <w:p>
      <w:pPr>
        <w:ind w:left="420" w:right="100" w:hanging="367"/>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Focus on digital transformation</w:t>
      </w:r>
      <w:r>
        <w:rPr>
          <w:rFonts w:ascii="Arial" w:cs="Arial" w:eastAsia="Arial" w:hAnsi="Arial"/>
          <w:sz w:val="18"/>
          <w:szCs w:val="18"/>
          <w:color w:val="auto"/>
        </w:rPr>
        <w:t>. Evaluating the implications of new technologies is a challenge for our clients. By combining institutional-grade</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with cutting-edge technology, we help apply the right solutions to help grow our client’s business more efficiently. Many of our clients are faced with internal digital transformation projects or external threats from emerging tech disrupter competition. As a result, clients invest in new technology to help expand profit margins and offer new products. In addition, new technology incorporating artificial intelligence (“AI”), including machine learning and Robotic Process Automation (“RPA”), is gaining traction in the financial technology industry. These next-generation tools will increase efficiency and reduce errors without human intervention. Overall, we continue to see increasing migration to the cloud to achieve operational scalability and lower fixed costs.</w:t>
      </w:r>
    </w:p>
    <w:p>
      <w:pPr>
        <w:spacing w:after="0" w:line="82" w:lineRule="exact"/>
        <w:rPr>
          <w:rFonts w:ascii="Arial" w:cs="Arial" w:eastAsia="Arial" w:hAnsi="Arial"/>
          <w:sz w:val="18"/>
          <w:szCs w:val="18"/>
          <w:color w:val="auto"/>
        </w:rPr>
      </w:pPr>
    </w:p>
    <w:p>
      <w:pPr>
        <w:ind w:left="420" w:right="180" w:hanging="367"/>
        <w:spacing w:after="0" w:line="238"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Increased demands for transparency, efficiency, and risk management in financial services</w:t>
      </w:r>
      <w:r>
        <w:rPr>
          <w:rFonts w:ascii="Arial" w:cs="Arial" w:eastAsia="Arial" w:hAnsi="Arial"/>
          <w:sz w:val="18"/>
          <w:szCs w:val="18"/>
          <w:color w:val="auto"/>
        </w:rPr>
        <w:t>. Firms continue to focus on operational risk,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discoveries of fraud and mismanagement during the 2008-2009 U.S. financial crisis and concerns regarding transparency and counterparty exposure. This continued focus has led investment management firms to strive to provide investment data accurately, institutionalize investment operations and automate their investment process. On the wealth management and advisory sides of our business, we have further evolved the relationship between the end client and a firm, with investors demanding transparency and a customized client experience. In addition, we expect wealth managers to become familiar with their clients’ preferences for account access and communication and cater to them. Finally, institutional and individual investors, faced with increasingly competitive low-fee and automated options, push investment managers for greater efficiencies and lower fees.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ind w:left="440" w:right="20" w:hanging="380"/>
        <w:spacing w:after="0" w:line="253"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Transformation of healthcare industry’s business model. </w:t>
      </w:r>
      <w:r>
        <w:rPr>
          <w:rFonts w:ascii="Arial" w:cs="Arial" w:eastAsia="Arial" w:hAnsi="Arial"/>
          <w:sz w:val="17"/>
          <w:szCs w:val="17"/>
          <w:color w:val="auto"/>
        </w:rPr>
        <w:t>The 2010s saw the lowest decade of population growth in U.S. history, with nearly 17%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population reaching age 65+ in 2020 compared to 13% in 2010 with average healthcare spending rates nearly three times that of a working-age person. As the national healthcare expenditure reached $3.8 trillion (over $11,500 per person), with $1.4 trillion coming from government programs, there is a continued increase of regulatory oversight, shifting economic models, and new pricing transparency rules to improve price transparency and cost containment. In addition, the pandemic caused shifts in care delivery to virtual care, telehealth, self-management, aging in place and a remote workforce which we expect to continue. We believe there will be an increased need for population health management and acceleration of innovation through these shifts. With federally-mandated data interoperability and the convergence of administrative and clinical data, an influx of artificial intelligence, more stringent controls in cloud-first solutions, cybersecurity and consumer-directed access to electronic health information is mission-critical. The rapid transformation and market expectations are creating an ongoing need for industry expertise and outsourcing, contributing to opportunity.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core strengths that we believe enable us to differentiate ourselves in the markets we serve: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Enhanced capability through software ownership.</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use our proprietary software products and infrastructure to provide our software-enabled services, strengthening our overall operating margins and providing a competitive advantage. Because we primarily use our proprietary software to execute our software-enabled services and generally own and control our products’ source code, we can quickly enable continuous updates in a highly scalable, reliable and secure manner. This continuous feedback process provides us with a significant advantage over many of our competitors, specifically those software competitors that do not offer a comparable model and therefore do not have the same level of hands-on experience with their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industry leader with a strong market position focused on software and software-enabled services for financial services.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are a global business providing a broad portfolio of software products and software-enabled services and have approximately 125 offices worldwide. As of December 31, 2021, we had over 22,000 development, service and support professionals with significant expertise across the industries we serve and deep working knowledge of our clients’ businesses. We provide highly flexible, scalable and cost-effective solutions that enable our financial services clients to track complex securities, better employ sophisticated investment strategies, scale efficiently and meet evolving regulatory requirements. Our products and services allow our clients to automate and integrate their front-office, middle-office and back-office functions, thus enabling straight-through processing that increases productivity and reduces costs. We believe our product and service offerings position us as a leader within the specific verticals of the financial services software and services market in which we compete.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Trusted provider to our highly diversified and growing client base.</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By providing mission-critical, reliable software products and services for over 35 years, we have developed a large and growing installed base within the financial services industry. Our clients include some of the largest and most well-recognized financial services firms. We believe that our high-quality products and superior services have led to long-term client relationships, some of which date from our earliest days of operations. Our strong client relationships, coupled with the fact that many of our current clients use our products for a relatively small portion of their total funds and investment vehicles under management, provide us with a significant opportunity to sell additional solutions to our existing clients and drive future revenue growth at a lower cost.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alternative fund administration services provider and mutual fund transfer agent.</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third-party service providers participating in the alternative investment market include fund managers, auditors, fund administrators, attorneys, custodians and prime brokers. Each provider performs a valuable function to provide transparency of the fund’s assets and the valuation of those assets. However, conflicts of interest may arise when the above parties offer more than one of these services. The industry is increasingly recognizing these conflicts and, as a result, seeking independent fund administrators such as SS&amp;C.</w:t>
      </w:r>
    </w:p>
    <w:p>
      <w:pPr>
        <w:spacing w:after="0" w:line="80"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SS&amp;C is currently the largest fund administrator for alternative investment managers, including hedge funds, private equity, real assets and fund of funds. We are the largest third-party mutual fund transfer agent. Through our Global Investor and Distribution Solutions (“GIDS”) business, we deliver global transfer agency and investor servicing powered by a single global servicing platform. Investor servicing is offered in many different countries, including the U.S., Canada, U.K., Ireland, Luxembourg, Australia, Hong Kong and Singapore. SS&amp;C also services mutual fund structures in many other fund domiciles. GIDS leverages SS&amp;C’s global regulatory expertise to provide a consistent global approach to regulatory compliance, enabling providers to lower risk and improve client service. Our highly tenured staff of industry experts allow us to deliver consistent service excellence to the asset management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ind w:right="340"/>
        <w:spacing w:after="0" w:line="261" w:lineRule="auto"/>
        <w:rPr>
          <w:sz w:val="20"/>
          <w:szCs w:val="20"/>
          <w:color w:val="auto"/>
        </w:rPr>
      </w:pPr>
      <w:r>
        <w:rPr>
          <w:rFonts w:ascii="Arial" w:cs="Arial" w:eastAsia="Arial" w:hAnsi="Arial"/>
          <w:sz w:val="18"/>
          <w:szCs w:val="18"/>
          <w:color w:val="auto"/>
        </w:rPr>
        <w:t>customers we service. We are operating our proprietary software to provide these services, ensuring all aspects of our offering are optimized to deliver cost-effective, accurate solutions.</w:t>
      </w:r>
    </w:p>
    <w:p>
      <w:pPr>
        <w:spacing w:after="0" w:line="6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a publicly-traded company, our clients and prospects have access to our 10-Qs and 10-Ks filed with the SEC, giving them transparency into our overall financial strength.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 ownership and SS&amp;C private cloud</w:t>
      </w:r>
    </w:p>
    <w:p>
      <w:pPr>
        <w:spacing w:after="0" w:line="198" w:lineRule="exact"/>
        <w:rPr>
          <w:sz w:val="20"/>
          <w:szCs w:val="20"/>
          <w:color w:val="auto"/>
        </w:rPr>
      </w:pPr>
    </w:p>
    <w:p>
      <w:pPr>
        <w:ind w:right="200" w:firstLine="449"/>
        <w:spacing w:after="0" w:line="248" w:lineRule="auto"/>
        <w:rPr>
          <w:sz w:val="20"/>
          <w:szCs w:val="20"/>
          <w:color w:val="auto"/>
        </w:rPr>
      </w:pPr>
      <w:r>
        <w:rPr>
          <w:rFonts w:ascii="Arial" w:cs="Arial" w:eastAsia="Arial" w:hAnsi="Arial"/>
          <w:sz w:val="18"/>
          <w:szCs w:val="18"/>
          <w:color w:val="auto"/>
        </w:rPr>
        <w:t>SS&amp;C owns and operates a global data center footprint to ensure high uptime and regional service delivery for our customers. Our facilities are strategically placed for regional customers and highly scalable. The SS&amp;C Private Cloud delivers our software with very high throughput. Our goal is to manage the infrastructure end-to-end and to limit third-party reliance outside of our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with strong integrating and operating track record.</w:t>
      </w:r>
    </w:p>
    <w:p>
      <w:pPr>
        <w:spacing w:after="0" w:line="104"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Our senior management team has a track record of operational excellence, an average of more than 20 years of experience in the financial services and healthcare industries and a proven ability to acquire and integrate complementary businesses, as demonstrated by the 59 businesses we have acquired since 1995. By leveraging our domain expertise and knowledge, we have developed, and continue to improve, our mission-critical software products and services to enable our clients to overcome the complexities inherent in their businesses. In addition, all of our senior executives are compensated based on our financial success.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08"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Our strategy is to continue to deliver compelling solutions and value propositions to our customers in the financial services and healthcare industries. The following are key elements to our strategy for achieving this objective: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upon and extend our leadership position in software and software-enabled services in the financial services industry.</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Since our founding in 1986, we have focused on building substantial financial services domain expertise through close working relationships with our clients. We have developed a deep knowledge base that enables us to respond to our clients’ most complex financial, accounting, actuarial, tax and regulatory needs. We intend to maintain and enhance our technological leadership by using our domain expertise to build valuable new software-enabled services and solutions, investing in internal development and opportunistically acquiring products and services that address the highly specialized needs of the financial services industry.</w:t>
      </w:r>
    </w:p>
    <w:p>
      <w:pPr>
        <w:spacing w:after="0" w:line="18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internal product development team works closely with marketing, sales and client service personnel to ensure that product evolution reflects developments in the marketplace and trends in client requirements. In addition, we intend to continue to develop our products cost-effectively by leveraging common components across product families. As a result, we believe that we enjoy a competitive advantage because we can address the needs of high-end clients by providing industry-tested products and services, including cloud-based services and related mobility platforms that meet global market demands and enable our clients to automate and integrate functions for improved productivity, compliance, reduced manual intervention and bottom-line savings.</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SS&amp;C’s products are sold to a diverse group of clients from niche players in the financial services and healthcare industries to the largest institutions in the world. Furthermore, we believe our client base represents a fraction of the total number of financial services providers globally. We believe we can grow our client base over time as our products become more widely adopted. We believe we also have an opportunity to capitalize on the increasing adoption of mission-critical outsourcing operations by financial services and healthcare providers as they continue to replace inadequate legacy solutions and custom in-house solutions that are inflexible and costly to maintain. We also believe we have an opportunity to expand our footprint within existing clients. We will continue to focus on cross-selling our products and bundling solutions. Our software-enabled services revenues increased from $3,869.2 million for the year ended December 31, 2019 to $4,256.1 million for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longer-term secular growth trends in financial services and healthcare industries.</w:t>
      </w:r>
    </w:p>
    <w:p>
      <w:pPr>
        <w:spacing w:after="0" w:line="10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With our global footprint and best-in-class product offerings, we aim to capture a significant share of the IT spend of alternative asset, institutional and retail asset managers, wealth managers and the healthcare industry through leveraging the deeply embedded service offering we provide and outdistancing the competition. We expect regulatory changes to increase the complexity of compliance and the demand for our products and services and motivate clients to develop infrastructure and research management processes to mitigate regulatory exposure. We plan to benefit from the growing software spend in the increasingly complex and more highly regulated financial services and healthcare landscape.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Continue to capitalize on acquisitions of complementary businesses and technologies.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intend to continue to employ a highly disciplined and focused acquisition strategy to broaden and enhance our product and service offerings, expand our intellectual property portfolio, add new clients and supplement our internal development efforts. We believe our acquisitions have been an extension of our research and development effort that has enabled us to purchase proven products and remove the uncertainties associated with software development projects. We will seek to opportunistically acquire, at reasonable valuations, businesses, products and technologies in our existing or complementary vertical markets that will enable us to better satisfy our clients’ rigorous and evolving needs. We have a proven ability to integrate complementary businesses as demonstrated by the 59 businesses we have acquired since 1995. Our experienced senior management team leads a rigorous evaluation of our targets to ensure that they satisfy our product or service needs and will successfully integrate with our business while meeting our targeted financial goals. As a result, our acquisitions have contributed marketable products or services that have added to our revenues. Through the broad reach of our direct sales force and our large installed client base, we believe we can market these acquired products and services to a large number of prospective clients. Additionally, we have improved the operational performance and profitability of our acquired businesses, creating significant value for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our international presence.</w:t>
      </w:r>
    </w:p>
    <w:p>
      <w:pPr>
        <w:spacing w:after="0" w:line="104"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We believe there is a significant market opportunity to provide software and services to financial services providers outside North America. In the year ended December 31, 2021, we generated 24% of our revenues from clients outside North America. We are building our international operations to increase our sales outside North America. We plan to continue to expand our global market presence by leveraging our existing software products and software-enabled services. We also plan to leverage our growing presence in the Asia Pacific region due to recent acquisitions. Over the last three years, revenue from the Asia Pacific region has increased 9.8% to $228.0 million. We believe this region presents a compelling growth opportunity.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profitability through margin expansion.</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expect to drive increased margins by delivering innovative end-to-end solutions that provide significant value to customers and warrant premium pricing. We have a significant scale with best-in-class solutions and software-enabled services across the delivery spectrum, which, we believe, combined with a diversified service offering and client base, drives stable revenues and increased operating leverage. In addition, our operating flexibility allows us to scale our costs based on client demands. We can also increase our margins by implementing more technology in our services business, including automating traditionally manual accounting functions.</w:t>
      </w:r>
    </w:p>
    <w:p>
      <w:pPr>
        <w:spacing w:after="0" w:line="8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Along with the productivity improvements mentioned above, and as a result of COVID-19 and SS&amp;C's flexible working policy, we believe we can reduce our real estate footprint and related costs over the medium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mentioned above, we intend to employ a highly disciplined and focused acquisition strategy. Our past acquisitions have enabled us to expand our product and service offerings into new markets or client bases within the financial services industry. New products and services have also enabled us to market other products and services to acquired client bases. In addition, we believe our acquisitions have been an extension of our research and development effort and have enabled us to add to our product and service offerings without incurring the uncertainties sometimes associated with software development projects.</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Since 1995, we have acquired 59 businesses within our industry. These acquisitions have contributed marketable products and services, which have added to our revenues and earnings. We have generally been able to improve our acquired businesses’ operating performance and profitability. We seek to reduce the costs of the acquired businesses by consolidating sales and marketing efforts and eliminating redundant administrative tasks and research and development expenses. In many cases, we have also increased revenues generated by acquired products and services by leveraging our existing products and services, larger sales capabilities and client base.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ind w:right="240" w:firstLine="509"/>
        <w:spacing w:after="0" w:line="261" w:lineRule="auto"/>
        <w:rPr>
          <w:sz w:val="20"/>
          <w:szCs w:val="20"/>
          <w:color w:val="auto"/>
        </w:rPr>
      </w:pPr>
      <w:r>
        <w:rPr>
          <w:rFonts w:ascii="Arial" w:cs="Arial" w:eastAsia="Arial" w:hAnsi="Arial"/>
          <w:sz w:val="18"/>
          <w:szCs w:val="18"/>
          <w:color w:val="auto"/>
        </w:rPr>
        <w:t>We generally seek to acquire companies that satisfy our financial metrics, including expected return on investment. Through our acquisitions, we seek companies that:</w:t>
      </w:r>
    </w:p>
    <w:p>
      <w:pPr>
        <w:spacing w:after="0" w:line="63" w:lineRule="exact"/>
        <w:rPr>
          <w:sz w:val="20"/>
          <w:szCs w:val="20"/>
          <w:color w:val="auto"/>
        </w:rPr>
      </w:pPr>
    </w:p>
    <w:p>
      <w:pPr>
        <w:ind w:left="560" w:hanging="50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complementary products or services in the financial services industries;</w:t>
      </w:r>
    </w:p>
    <w:p>
      <w:pPr>
        <w:spacing w:after="0" w:line="103" w:lineRule="exact"/>
        <w:rPr>
          <w:rFonts w:ascii="Arial" w:cs="Arial" w:eastAsia="Arial" w:hAnsi="Arial"/>
          <w:sz w:val="18"/>
          <w:szCs w:val="18"/>
          <w:color w:val="auto"/>
        </w:rPr>
      </w:pPr>
    </w:p>
    <w:p>
      <w:pPr>
        <w:ind w:left="560" w:hanging="500"/>
        <w:spacing w:after="0" w:line="261"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possess proven technology and an established client base that will provide a source of ongoing revenue and to whom we may be able to sell existing products and services;</w:t>
      </w:r>
    </w:p>
    <w:p>
      <w:pPr>
        <w:spacing w:after="0" w:line="62" w:lineRule="exact"/>
        <w:rPr>
          <w:rFonts w:ascii="Arial" w:cs="Arial" w:eastAsia="Arial" w:hAnsi="Arial"/>
          <w:sz w:val="18"/>
          <w:szCs w:val="18"/>
          <w:color w:val="auto"/>
        </w:rPr>
      </w:pPr>
    </w:p>
    <w:p>
      <w:pPr>
        <w:ind w:left="560" w:hanging="50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intellectual property portfolio to complement our business;</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a highly specialized problem or a market niche in the financial services and healthcare industries;</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global reach into strategic geographic markets; and</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solutions that lend themselves to being delivered as software-enabled services.</w:t>
      </w:r>
    </w:p>
    <w:p>
      <w:pPr>
        <w:spacing w:after="0" w:line="212"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Based on our experience, we believe numerous solution providers address highly particularized financial services needs or provide specialized services that would meet our disciplined acquisition criteria.</w:t>
      </w:r>
    </w:p>
    <w:p>
      <w:pPr>
        <w:spacing w:after="0" w:line="17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 xml:space="preserve">Acquisitions are discussed further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and in Note 8 to our Consolidated Financial Statements. The following table provides a list of the most substantial acquisitions we have made since 2010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Acquisition Date</w:t>
            </w:r>
          </w:p>
        </w:tc>
        <w:tc>
          <w:tcPr>
            <w:tcW w:w="120" w:type="dxa"/>
            <w:vAlign w:val="bottom"/>
          </w:tcPr>
          <w:p>
            <w:pPr>
              <w:spacing w:after="0"/>
              <w:rPr>
                <w:sz w:val="14"/>
                <w:szCs w:val="14"/>
                <w:color w:val="auto"/>
              </w:rPr>
            </w:pPr>
          </w:p>
        </w:tc>
        <w:tc>
          <w:tcPr>
            <w:tcW w:w="22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Acquired Business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 Purchase</w:t>
            </w:r>
          </w:p>
        </w:tc>
        <w:tc>
          <w:tcPr>
            <w:tcW w:w="546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Acquired Capabilities, Products and Services</w:t>
            </w:r>
          </w:p>
        </w:tc>
        <w:tc>
          <w:tcPr>
            <w:tcW w:w="0" w:type="dxa"/>
            <w:vAlign w:val="bottom"/>
          </w:tcPr>
          <w:p>
            <w:pPr>
              <w:spacing w:after="0"/>
              <w:rPr>
                <w:sz w:val="1"/>
                <w:szCs w:val="1"/>
                <w:color w:val="auto"/>
              </w:rPr>
            </w:pPr>
          </w:p>
        </w:tc>
      </w:tr>
      <w:tr>
        <w:trPr>
          <w:trHeight w:val="185"/>
        </w:trPr>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8"/>
                <w:szCs w:val="18"/>
                <w:color w:val="auto"/>
              </w:rPr>
              <w:t>December 2010</w:t>
            </w:r>
          </w:p>
        </w:tc>
        <w:tc>
          <w:tcPr>
            <w:tcW w:w="120" w:type="dxa"/>
            <w:vAlign w:val="bottom"/>
          </w:tcPr>
          <w:p>
            <w:pPr>
              <w:spacing w:after="0"/>
              <w:rPr>
                <w:sz w:val="13"/>
                <w:szCs w:val="13"/>
                <w:color w:val="auto"/>
              </w:rPr>
            </w:pPr>
          </w:p>
        </w:tc>
        <w:tc>
          <w:tcPr>
            <w:tcW w:w="22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TimeShareWare</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30.5</w:t>
            </w:r>
          </w:p>
        </w:tc>
        <w:tc>
          <w:tcPr>
            <w:tcW w:w="180" w:type="dxa"/>
            <w:vAlign w:val="bottom"/>
          </w:tcPr>
          <w:p>
            <w:pPr>
              <w:spacing w:after="0"/>
              <w:rPr>
                <w:sz w:val="13"/>
                <w:szCs w:val="13"/>
                <w:color w:val="auto"/>
              </w:rPr>
            </w:pPr>
          </w:p>
        </w:tc>
        <w:tc>
          <w:tcPr>
            <w:tcW w:w="54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w w:val="97"/>
              </w:rPr>
              <w:t>Added shared ownership property management platform to real estate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May 2012</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Thomson Reuters’ PORTIA</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170.0</w:t>
            </w:r>
          </w:p>
        </w:tc>
        <w:tc>
          <w:tcPr>
            <w:tcW w:w="180" w:type="dxa"/>
            <w:vAlign w:val="bottom"/>
            <w:shd w:val="clear" w:color="auto" w:fill="CFF0FC"/>
          </w:tcPr>
          <w:p>
            <w:pPr>
              <w:spacing w:after="0"/>
              <w:rPr>
                <w:sz w:val="14"/>
                <w:szCs w:val="14"/>
                <w:color w:val="auto"/>
              </w:rPr>
            </w:pPr>
          </w:p>
        </w:tc>
        <w:tc>
          <w:tcPr>
            <w:tcW w:w="5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Added portfolio management software and outsourcing services for</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Business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institutional managers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June 2012</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GlobeOp Financial Services</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834.4</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8"/>
              </w:rPr>
              <w:t>Expanded fund administration services in hedge fund and other asset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management sectors</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November 2014</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DST Global Solutions</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w:t>
            </w:r>
          </w:p>
        </w:tc>
        <w:tc>
          <w:tcPr>
            <w:tcW w:w="180" w:type="dxa"/>
            <w:vAlign w:val="bottom"/>
            <w:shd w:val="clear" w:color="auto" w:fill="CFF0FC"/>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Added investment management software and services</w:t>
            </w: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July 2015</w:t>
            </w:r>
          </w:p>
        </w:tc>
        <w:tc>
          <w:tcPr>
            <w:tcW w:w="120" w:type="dxa"/>
            <w:vAlign w:val="bottom"/>
          </w:tcPr>
          <w:p>
            <w:pPr>
              <w:spacing w:after="0"/>
              <w:rPr>
                <w:sz w:val="17"/>
                <w:szCs w:val="17"/>
                <w:color w:val="auto"/>
              </w:rPr>
            </w:pPr>
          </w:p>
        </w:tc>
        <w:tc>
          <w:tcPr>
            <w:tcW w:w="2260" w:type="dxa"/>
            <w:vAlign w:val="bottom"/>
          </w:tcPr>
          <w:p>
            <w:pPr>
              <w:spacing w:after="0" w:line="202" w:lineRule="exact"/>
              <w:rPr>
                <w:sz w:val="20"/>
                <w:szCs w:val="20"/>
                <w:color w:val="auto"/>
              </w:rPr>
            </w:pPr>
            <w:r>
              <w:rPr>
                <w:rFonts w:ascii="Arial" w:cs="Arial" w:eastAsia="Arial" w:hAnsi="Arial"/>
                <w:sz w:val="18"/>
                <w:szCs w:val="18"/>
                <w:color w:val="auto"/>
              </w:rPr>
              <w:t>Advent Software, Inc.</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2,600.0</w:t>
            </w:r>
          </w:p>
        </w:tc>
        <w:tc>
          <w:tcPr>
            <w:tcW w:w="18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Expanded global investment management software and services</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September 2015</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Varden Technologies</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4"/>
                <w:szCs w:val="14"/>
                <w:color w:val="auto"/>
              </w:rPr>
            </w:pPr>
          </w:p>
        </w:tc>
        <w:tc>
          <w:tcPr>
            <w:tcW w:w="5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Added cloud-based client and advisor communication solutions for</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investment firms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November 2015</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Primatics Financial</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116.0</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1"/>
              </w:rPr>
              <w:t>Added cloud-based integrated risk, compliance and finance solution for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banking industry</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March 2016</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Citigroup's Alternative</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425.0</w:t>
            </w:r>
          </w:p>
        </w:tc>
        <w:tc>
          <w:tcPr>
            <w:tcW w:w="180" w:type="dxa"/>
            <w:vAlign w:val="bottom"/>
            <w:shd w:val="clear" w:color="auto" w:fill="CFF0FC"/>
          </w:tcPr>
          <w:p>
            <w:pPr>
              <w:spacing w:after="0"/>
              <w:rPr>
                <w:sz w:val="14"/>
                <w:szCs w:val="14"/>
                <w:color w:val="auto"/>
              </w:rPr>
            </w:pPr>
          </w:p>
        </w:tc>
        <w:tc>
          <w:tcPr>
            <w:tcW w:w="5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5"/>
              </w:rPr>
              <w:t>Expanded fund administration services in hedge fund and private equity</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Investor Service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sectors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December 2016</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Wells Fargo's Global Funds</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75.1</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5"/>
              </w:rPr>
              <w:t>Expanded fund administration services in hedge fund and private equity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sectors</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December 2016</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Conifer Financial Services,</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88.5</w:t>
            </w:r>
          </w:p>
        </w:tc>
        <w:tc>
          <w:tcPr>
            <w:tcW w:w="180" w:type="dxa"/>
            <w:vAlign w:val="bottom"/>
            <w:shd w:val="clear" w:color="auto" w:fill="CFF0FC"/>
          </w:tcPr>
          <w:p>
            <w:pPr>
              <w:spacing w:after="0"/>
              <w:rPr>
                <w:sz w:val="14"/>
                <w:szCs w:val="14"/>
                <w:color w:val="auto"/>
              </w:rPr>
            </w:pPr>
          </w:p>
        </w:tc>
        <w:tc>
          <w:tcPr>
            <w:tcW w:w="5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8"/>
              </w:rPr>
              <w:t>Expanded fund administration services in hedge fund and other asset</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LLC</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management sectors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October 2017</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CommonWealth Fund</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16.4</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5"/>
              </w:rPr>
              <w:t>Expanded fund administration services in hedge fund and private equity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Services Ltd.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sectors</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April 2018</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DST Systems, Inc.</w:t>
            </w: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5,400.0</w:t>
            </w:r>
          </w:p>
        </w:tc>
        <w:tc>
          <w:tcPr>
            <w:tcW w:w="180" w:type="dxa"/>
            <w:vAlign w:val="bottom"/>
            <w:shd w:val="clear" w:color="auto" w:fill="CFF0FC"/>
          </w:tcPr>
          <w:p>
            <w:pPr>
              <w:spacing w:after="0"/>
              <w:rPr>
                <w:sz w:val="14"/>
                <w:szCs w:val="14"/>
                <w:color w:val="auto"/>
              </w:rPr>
            </w:pPr>
          </w:p>
        </w:tc>
        <w:tc>
          <w:tcPr>
            <w:tcW w:w="54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3"/>
              </w:rPr>
              <w:t>Provided additional scale and breadth across institutional and retail asset</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w w:val="95"/>
              </w:rPr>
              <w:t>management, alternatives, wealth management, and healthcare sectors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June 2018</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CACEIS North America</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20.0</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5"/>
              </w:rPr>
              <w:t>Expanded fund administration services in hedge fund and private equity</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sectors</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October 2018</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Eze Software Group, LLC</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1,450.0</w:t>
            </w:r>
          </w:p>
        </w:tc>
        <w:tc>
          <w:tcPr>
            <w:tcW w:w="180" w:type="dxa"/>
            <w:vAlign w:val="bottom"/>
            <w:shd w:val="clear" w:color="auto" w:fill="CFF0FC"/>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Strengthened SS&amp;C’s front to back office technology</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November 2018</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Intralinks Holdings, Inc.</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1,500.0</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3"/>
              </w:rPr>
              <w:t>Increased key account footprint and adds cloud-based virtual data rooms</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60" w:type="dxa"/>
            <w:vAlign w:val="bottom"/>
          </w:tcPr>
          <w:p>
            <w:pPr>
              <w:spacing w:after="0" w:line="176" w:lineRule="exact"/>
              <w:rPr>
                <w:sz w:val="20"/>
                <w:szCs w:val="20"/>
                <w:color w:val="auto"/>
              </w:rPr>
            </w:pPr>
            <w:r>
              <w:rPr>
                <w:rFonts w:ascii="Arial" w:cs="Arial" w:eastAsia="Arial" w:hAnsi="Arial"/>
                <w:sz w:val="18"/>
                <w:szCs w:val="18"/>
                <w:color w:val="auto"/>
                <w:w w:val="97"/>
              </w:rPr>
              <w:t>and secure collaboration solutions for SS&amp;C’s banking and alternative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clients</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November 2019</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Algorithmics</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88.8</w:t>
            </w:r>
          </w:p>
        </w:tc>
        <w:tc>
          <w:tcPr>
            <w:tcW w:w="180" w:type="dxa"/>
            <w:vAlign w:val="bottom"/>
            <w:shd w:val="clear" w:color="auto" w:fill="CFF0FC"/>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Added cloud-based risk analytics and additional regulatory solutions</w:t>
            </w: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Arial" w:cs="Arial" w:eastAsia="Arial" w:hAnsi="Arial"/>
                <w:sz w:val="18"/>
                <w:szCs w:val="18"/>
                <w:color w:val="auto"/>
              </w:rPr>
              <w:t>March 2020</w:t>
            </w:r>
          </w:p>
        </w:tc>
        <w:tc>
          <w:tcPr>
            <w:tcW w:w="120" w:type="dxa"/>
            <w:vAlign w:val="bottom"/>
          </w:tcPr>
          <w:p>
            <w:pPr>
              <w:spacing w:after="0"/>
              <w:rPr>
                <w:sz w:val="14"/>
                <w:szCs w:val="14"/>
                <w:color w:val="auto"/>
              </w:rPr>
            </w:pPr>
          </w:p>
        </w:tc>
        <w:tc>
          <w:tcPr>
            <w:tcW w:w="2260" w:type="dxa"/>
            <w:vAlign w:val="bottom"/>
          </w:tcPr>
          <w:p>
            <w:pPr>
              <w:spacing w:after="0" w:line="162" w:lineRule="exact"/>
              <w:rPr>
                <w:sz w:val="20"/>
                <w:szCs w:val="20"/>
                <w:color w:val="auto"/>
              </w:rPr>
            </w:pPr>
            <w:r>
              <w:rPr>
                <w:rFonts w:ascii="Arial" w:cs="Arial" w:eastAsia="Arial" w:hAnsi="Arial"/>
                <w:sz w:val="18"/>
                <w:szCs w:val="18"/>
                <w:color w:val="auto"/>
              </w:rPr>
              <w:t>Captricity</w:t>
            </w:r>
          </w:p>
        </w:tc>
        <w:tc>
          <w:tcPr>
            <w:tcW w:w="2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15.8</w:t>
            </w:r>
          </w:p>
        </w:tc>
        <w:tc>
          <w:tcPr>
            <w:tcW w:w="180" w:type="dxa"/>
            <w:vAlign w:val="bottom"/>
          </w:tcPr>
          <w:p>
            <w:pPr>
              <w:spacing w:after="0"/>
              <w:rPr>
                <w:sz w:val="14"/>
                <w:szCs w:val="14"/>
                <w:color w:val="auto"/>
              </w:rPr>
            </w:pPr>
          </w:p>
        </w:tc>
        <w:tc>
          <w:tcPr>
            <w:tcW w:w="5460" w:type="dxa"/>
            <w:vAlign w:val="bottom"/>
          </w:tcPr>
          <w:p>
            <w:pPr>
              <w:spacing w:after="0" w:line="162" w:lineRule="exact"/>
              <w:rPr>
                <w:sz w:val="20"/>
                <w:szCs w:val="20"/>
                <w:color w:val="auto"/>
              </w:rPr>
            </w:pPr>
            <w:r>
              <w:rPr>
                <w:rFonts w:ascii="Arial" w:cs="Arial" w:eastAsia="Arial" w:hAnsi="Arial"/>
                <w:sz w:val="18"/>
                <w:szCs w:val="18"/>
                <w:color w:val="auto"/>
                <w:w w:val="95"/>
              </w:rPr>
              <w:t>Added data transformation platform to extract handwritten and machine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data from paper documents</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May 2020</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Innovest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w:t>
            </w:r>
          </w:p>
        </w:tc>
        <w:tc>
          <w:tcPr>
            <w:tcW w:w="180" w:type="dxa"/>
            <w:vAlign w:val="bottom"/>
            <w:shd w:val="clear" w:color="auto" w:fill="CFF0FC"/>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5"/>
              </w:rPr>
              <w:t>Added web-based trust accounting and unique asset servicing solutions</w:t>
            </w:r>
          </w:p>
        </w:tc>
        <w:tc>
          <w:tcPr>
            <w:tcW w:w="0" w:type="dxa"/>
            <w:vAlign w:val="bottom"/>
          </w:tcPr>
          <w:p>
            <w:pPr>
              <w:spacing w:after="0"/>
              <w:rPr>
                <w:sz w:val="1"/>
                <w:szCs w:val="1"/>
                <w:color w:val="auto"/>
              </w:rPr>
            </w:pPr>
          </w:p>
        </w:tc>
      </w:tr>
      <w:tr>
        <w:trPr>
          <w:trHeight w:val="635"/>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Products and Services</w:t>
      </w:r>
    </w:p>
    <w:p>
      <w:pPr>
        <w:spacing w:after="0" w:line="10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products and services allow professionals in the financial services and healthcare industries to automate complex business processes and are instrumental in helping our clients manage significant information processing requirements. Our solutions enable our clients to focus on core operations, better monitor and manage business performance and risk, improve operating efficiency and reduce operating costs.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and compliance and tax reporting. Our healthcare solutions include claims adjudication, benefit management, care management and business intelligence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Software-enabled Services</w:t>
      </w:r>
    </w:p>
    <w:p>
      <w:pPr>
        <w:spacing w:after="0" w:line="212" w:lineRule="exact"/>
        <w:rPr>
          <w:sz w:val="20"/>
          <w:szCs w:val="20"/>
          <w:color w:val="auto"/>
        </w:rPr>
      </w:pPr>
    </w:p>
    <w:p>
      <w:pPr>
        <w:ind w:left="760" w:right="120" w:hanging="378"/>
        <w:spacing w:after="0" w:line="274"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SS&amp;C GlobeOp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“Best Global Hedge Fund and Private Equity Fund Administrator” of 2021 by Global Custodian, SS&amp;C GlobeOp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serves a worldwide clientele of hedge funds, private equity funds, funds of funds, real asset funds, managed accounts, family office and undertakings for collective investments in transferable securities (“UCITS”), with more than $2.2 trillion in assets under administration. SS&amp;C provides a full suite of comprehensive capabilities, including but not limited to: global regulatory compliance reporting, tax reporting, risk reporting, net asset value (“NAV”) calculations, valuation services, daily reconciliation of cash and security balances, full investor and transfer agency services and automated support of post-trade activities. In addition, under SS&amp;C GlobeOp, SS&amp;C Direct provides similar middle- and back-office outsourcing services and application hosting to institutional asset managers, insurance companies and real estate investment trusts.</w:t>
      </w:r>
    </w:p>
    <w:p>
      <w:pPr>
        <w:spacing w:after="0" w:line="163" w:lineRule="exact"/>
        <w:rPr>
          <w:rFonts w:ascii="Arial" w:cs="Arial" w:eastAsia="Arial" w:hAnsi="Arial"/>
          <w:sz w:val="16"/>
          <w:szCs w:val="16"/>
          <w:color w:val="auto"/>
        </w:rPr>
      </w:pPr>
    </w:p>
    <w:p>
      <w:pPr>
        <w:ind w:left="760" w:right="140" w:hanging="378"/>
        <w:spacing w:after="0" w:line="254"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Global Investor and Distribution Solutions (“GIDS”)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proprietary software applications, GIDS delivers global transfer agency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investor servicing powered by a single global servicing platform. The platform provides investors, advisers, and asset managers’ unique data-driven operational insights, real-time transparent oversight, intelligent automation and state-of-the-art digital tools. Investor servicing is offered in many different countries, including the U.S., Canada, U.K., Ireland, Luxembourg, Australia, Hong Kong and Singapore. SS&amp;C also services mutual fund structures in many other fund domiciles. In addition, GIDS leverages SS&amp;C’s global regulatory expertise to provide a consistent global approach to regulatory compliance, enabling providers to lower risk and improve client service. Services include anti-money laundering and fraud detection, blue sky administration and reporting, event center services, reconciliation, remittance, registered fund services and trade monitoring/surveillance.</w:t>
      </w:r>
    </w:p>
    <w:p>
      <w:pPr>
        <w:spacing w:after="0" w:line="180" w:lineRule="exact"/>
        <w:rPr>
          <w:rFonts w:ascii="Arial" w:cs="Arial" w:eastAsia="Arial" w:hAnsi="Arial"/>
          <w:sz w:val="17"/>
          <w:szCs w:val="17"/>
          <w:color w:val="auto"/>
        </w:rPr>
      </w:pPr>
    </w:p>
    <w:p>
      <w:pPr>
        <w:ind w:left="760" w:right="180" w:hanging="378"/>
        <w:spacing w:after="0" w:line="27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SS&amp;C Retirement Solutions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SS&amp;C’s retirement solutions business provides technology, administration, and record-keeping processes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TRAC’s end-to-end digital platform. SS&amp;C supports organizations that represent more than 12 million participants and approximately 400,000 plan sponsors. Our digital retirement solutions help financial services providers drive more efficient processes, move critical yet cumbersome procedures online, and implement a flexible platform for growth. Services include outsourced recordkeeping and call center operations, SaaS recordkeeping, rollover and income portability, retirement intelligence, advisor practice management, personalized education and financial wellness. The UK and Australian markets include pensions and actuarial services, superannuation and transfer value analysis.</w:t>
      </w:r>
    </w:p>
    <w:p>
      <w:pPr>
        <w:spacing w:after="0" w:line="161"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Black Diamond Wealth Platform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Black Diamond offers independent advisors, wealth managers, independent broker-dealers (“IBDs”)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aggregators an innovative and dynamic portfolio management and reporting solution delivered through an easy-to-use, feature-rich web-based application. As a cloud-based product offering, advisors can access Black Diamond's customizable portfolio management and reporting online from anywhere, anytime without the need to maintain costly technology infrastructures. Black Diamond also provides outsourced daily reconciliation and data management services so firms can focus their efforts on servicing clients and growing their business rather than managing complex back-office functions.</w:t>
      </w:r>
    </w:p>
    <w:p>
      <w:pPr>
        <w:spacing w:after="0" w:line="185" w:lineRule="exact"/>
        <w:rPr>
          <w:rFonts w:ascii="Arial" w:cs="Arial" w:eastAsia="Arial" w:hAnsi="Arial"/>
          <w:sz w:val="18"/>
          <w:szCs w:val="18"/>
          <w:color w:val="auto"/>
        </w:rPr>
      </w:pPr>
    </w:p>
    <w:p>
      <w:pPr>
        <w:ind w:left="760" w:right="80" w:hanging="378"/>
        <w:spacing w:after="0" w:line="264"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Bluedoor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SS&amp;C’s Bluedoor is an integrated registry system for wealth managers and fund platforms in the UK and Australia, delivering real-time automation and high levels of straight-through-processing, allowing these financial institutions to improve service efficiency and reduce expenditure and technology debt. Integrated with intelligent business process management functionality and digital applications, Bluedoor helps our clients engage with customers in a meaningful way and provides a flexible approach to deploying new products.</w:t>
      </w:r>
    </w:p>
    <w:p>
      <w:pPr>
        <w:spacing w:after="0" w:line="169" w:lineRule="exact"/>
        <w:rPr>
          <w:rFonts w:ascii="Arial" w:cs="Arial" w:eastAsia="Arial" w:hAnsi="Arial"/>
          <w:sz w:val="17"/>
          <w:szCs w:val="17"/>
          <w:color w:val="auto"/>
        </w:rPr>
      </w:pPr>
    </w:p>
    <w:p>
      <w:pPr>
        <w:ind w:left="760" w:right="34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Advent Outsourcing Services </w:t>
      </w:r>
      <w:r>
        <w:rPr>
          <w:rFonts w:ascii="Arial" w:cs="Arial" w:eastAsia="Arial" w:hAnsi="Arial"/>
          <w:sz w:val="18"/>
          <w:szCs w:val="18"/>
          <w:color w:val="auto"/>
        </w:rPr>
        <w:t>– Advent Outsourcing services provides a full spectrum of tailored options to our clients’ specific needs,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cloud-delivered technology to co-sourcing specific workflows to full outsourcing of operational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0" w:name="page11"/>
    <w:bookmarkEnd w:id="10"/>
    <w:p>
      <w:pPr>
        <w:jc w:val="both"/>
        <w:ind w:left="380" w:right="140"/>
        <w:spacing w:after="0" w:line="248" w:lineRule="auto"/>
        <w:rPr>
          <w:sz w:val="20"/>
          <w:szCs w:val="20"/>
          <w:color w:val="auto"/>
        </w:rPr>
      </w:pPr>
      <w:r>
        <w:rPr>
          <w:rFonts w:ascii="Arial" w:cs="Arial" w:eastAsia="Arial" w:hAnsi="Arial"/>
          <w:sz w:val="18"/>
          <w:szCs w:val="18"/>
          <w:color w:val="auto"/>
        </w:rPr>
        <w:t>processes including data management services such as full account aggregation, daily portfolio reconciliation, corporate actions processing and reference data management. Advent OnDemand is the pre-configured SaaS delivery of one of Advent's asset management solutions hosted by Advent without managed outsourced operational processes.</w:t>
      </w:r>
    </w:p>
    <w:p>
      <w:pPr>
        <w:spacing w:after="0" w:line="182" w:lineRule="exact"/>
        <w:rPr>
          <w:sz w:val="20"/>
          <w:szCs w:val="20"/>
          <w:color w:val="auto"/>
        </w:rPr>
      </w:pPr>
    </w:p>
    <w:p>
      <w:pPr>
        <w:ind w:left="380" w:hanging="378"/>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Advent Data Solutions </w:t>
      </w:r>
      <w:r>
        <w:rPr>
          <w:rFonts w:ascii="Arial" w:cs="Arial" w:eastAsia="Arial" w:hAnsi="Arial"/>
          <w:sz w:val="17"/>
          <w:szCs w:val="17"/>
          <w:color w:val="auto"/>
        </w:rPr>
        <w:t>– Advent Data Solutions consists of various data offerings provided to clients in an automated manner and format.</w:t>
      </w:r>
    </w:p>
    <w:p>
      <w:pPr>
        <w:spacing w:after="0" w:line="111" w:lineRule="exact"/>
        <w:rPr>
          <w:sz w:val="20"/>
          <w:szCs w:val="20"/>
          <w:color w:val="auto"/>
        </w:rPr>
      </w:pPr>
    </w:p>
    <w:p>
      <w:pPr>
        <w:ind w:left="1120" w:right="200" w:hanging="369"/>
        <w:spacing w:after="0" w:line="256"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Advent Custodial Data </w:t>
      </w:r>
      <w:r>
        <w:rPr>
          <w:rFonts w:ascii="Arial" w:cs="Arial" w:eastAsia="Arial" w:hAnsi="Arial"/>
          <w:sz w:val="17"/>
          <w:szCs w:val="17"/>
          <w:color w:val="auto"/>
        </w:rPr>
        <w:t>provides account-level information from a firm’s custodian(s) through a single, secure connection to a data</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managed by Advent. Using Advent Custodial Data, firms can reconcile positions, transactions and cash activity on an exceptions-only basis, or firms can post data directly into their portfolio accounting system.</w:t>
      </w:r>
    </w:p>
    <w:p>
      <w:pPr>
        <w:spacing w:after="0" w:line="1" w:lineRule="exact"/>
        <w:rPr>
          <w:rFonts w:ascii="Arial" w:cs="Arial" w:eastAsia="Arial" w:hAnsi="Arial"/>
          <w:sz w:val="17"/>
          <w:szCs w:val="17"/>
          <w:color w:val="auto"/>
        </w:rPr>
      </w:pPr>
    </w:p>
    <w:p>
      <w:pPr>
        <w:ind w:left="1120" w:right="500" w:hanging="369"/>
        <w:spacing w:after="0" w:line="23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Advent Corporate Actions </w:t>
      </w:r>
      <w:r>
        <w:rPr>
          <w:rFonts w:ascii="Arial" w:cs="Arial" w:eastAsia="Arial" w:hAnsi="Arial"/>
          <w:sz w:val="18"/>
          <w:szCs w:val="18"/>
          <w:color w:val="auto"/>
        </w:rPr>
        <w:t>delivers reports on all corporate actions affecting clients’ portfolios and provides staff with reliable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instructions.</w:t>
      </w:r>
    </w:p>
    <w:p>
      <w:pPr>
        <w:spacing w:after="0" w:line="1" w:lineRule="exact"/>
        <w:rPr>
          <w:rFonts w:ascii="Arial" w:cs="Arial" w:eastAsia="Arial" w:hAnsi="Arial"/>
          <w:sz w:val="18"/>
          <w:szCs w:val="18"/>
          <w:color w:val="auto"/>
        </w:rPr>
      </w:pPr>
    </w:p>
    <w:p>
      <w:pPr>
        <w:ind w:left="1120" w:right="120" w:hanging="369"/>
        <w:spacing w:after="0" w:line="234"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Advent Portfolio Data </w:t>
      </w:r>
      <w:r>
        <w:rPr>
          <w:rFonts w:ascii="Arial" w:cs="Arial" w:eastAsia="Arial" w:hAnsi="Arial"/>
          <w:sz w:val="18"/>
          <w:szCs w:val="18"/>
          <w:color w:val="auto"/>
        </w:rPr>
        <w:t>extends the delivery of account-level data for reconciliation and other workflows from global custodians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counterparties.</w:t>
      </w:r>
    </w:p>
    <w:p>
      <w:pPr>
        <w:spacing w:after="0" w:line="1" w:lineRule="exact"/>
        <w:rPr>
          <w:rFonts w:ascii="Arial" w:cs="Arial" w:eastAsia="Arial" w:hAnsi="Arial"/>
          <w:sz w:val="18"/>
          <w:szCs w:val="18"/>
          <w:color w:val="auto"/>
        </w:rPr>
      </w:pPr>
    </w:p>
    <w:p>
      <w:pPr>
        <w:ind w:left="1120" w:right="400" w:hanging="369"/>
        <w:spacing w:after="0" w:line="243"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Advent Market Data </w:t>
      </w:r>
      <w:r>
        <w:rPr>
          <w:rFonts w:ascii="Arial" w:cs="Arial" w:eastAsia="Arial" w:hAnsi="Arial"/>
          <w:sz w:val="18"/>
          <w:szCs w:val="18"/>
          <w:color w:val="auto"/>
        </w:rPr>
        <w:t>is a single, cloud-based platform with connectivity to several leading global market data sources, allowing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acquire critical data for managing portfolios.</w:t>
      </w:r>
    </w:p>
    <w:p>
      <w:pPr>
        <w:spacing w:after="0" w:line="172" w:lineRule="exact"/>
        <w:rPr>
          <w:rFonts w:ascii="Arial" w:cs="Arial" w:eastAsia="Arial" w:hAnsi="Arial"/>
          <w:sz w:val="18"/>
          <w:szCs w:val="18"/>
          <w:color w:val="auto"/>
        </w:rPr>
      </w:pPr>
    </w:p>
    <w:p>
      <w:pPr>
        <w:ind w:left="380" w:hanging="378"/>
        <w:spacing w:after="0" w:line="253"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ALPS Advisors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ALPS is a comprehensive suite of asset servicing, distribution solutions and asset management for open-end mutual funds,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closed-end funds, exchange-traded funds and alternative investment funds. Focusing on the needs of small- to medium-sized funds that require a broad set of customizable services, we provide compliance, creative services, medallion distribution, fund administration, fund accounting, legal, tax administration, transfer agency and asset management services. Our distribution services range from consulting to active wholesaling and marketing, including closed-end funds initial public offering launch platform services. We also offer products designed to assist clients in meeting the expanding needs associated with distributing U.S. investment products through financial intermediaries. We serve as the asset manager to proprietary open-end mutual funds, closed-end funds and exchange-traded funds through active management and the utilization of sub-advisors and index providers. Additionally, we offer data analytics and consulting services in the U.S. to help our clients gain actionable insights into the needs and preferences of their customers.</w:t>
      </w:r>
    </w:p>
    <w:p>
      <w:pPr>
        <w:spacing w:after="0" w:line="183" w:lineRule="exact"/>
        <w:rPr>
          <w:rFonts w:ascii="Arial" w:cs="Arial" w:eastAsia="Arial" w:hAnsi="Arial"/>
          <w:sz w:val="17"/>
          <w:szCs w:val="17"/>
          <w:color w:val="auto"/>
        </w:rPr>
      </w:pPr>
    </w:p>
    <w:p>
      <w:pPr>
        <w:ind w:left="380" w:right="100" w:hanging="378"/>
        <w:spacing w:after="0" w:line="241"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Virtual Data Rooms (Intralinks)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Intralinks Virtual Data Rooms (“VDRs”), are designed for mergers and acquisitions (M&amp;A),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capital markets communities. The Intralinks VDR is a rich SaaS application providing a secure, customizable environment for deal makers to exchange sensitive documents and information. Within M&amp;A, the VDR is primarily used for sharing content during due diligence. For alternative investments, VDRs are used to facilitate fundraising and fund reporting. Customers working in debt capital markets use VDRs for managing the lifecycle of financing deals.</w:t>
      </w:r>
    </w:p>
    <w:p>
      <w:pPr>
        <w:spacing w:after="0" w:line="189" w:lineRule="exact"/>
        <w:rPr>
          <w:rFonts w:ascii="Arial" w:cs="Arial" w:eastAsia="Arial" w:hAnsi="Arial"/>
          <w:sz w:val="18"/>
          <w:szCs w:val="18"/>
          <w:color w:val="auto"/>
        </w:rPr>
      </w:pPr>
    </w:p>
    <w:p>
      <w:pPr>
        <w:ind w:left="380" w:hanging="378"/>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Healthcare Services</w:t>
      </w:r>
    </w:p>
    <w:p>
      <w:pPr>
        <w:spacing w:after="0" w:line="103" w:lineRule="exact"/>
        <w:rPr>
          <w:rFonts w:ascii="Arial" w:cs="Arial" w:eastAsia="Arial" w:hAnsi="Arial"/>
          <w:sz w:val="18"/>
          <w:szCs w:val="18"/>
          <w:color w:val="auto"/>
        </w:rPr>
      </w:pPr>
    </w:p>
    <w:p>
      <w:pPr>
        <w:ind w:left="1120" w:hanging="369"/>
        <w:spacing w:after="0" w:line="262"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Pharmacy Solutions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use our proprietary software applications, supporting technology and enhanced clinical expertise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pharmacy health management solutions supporting commercial, Medicaid and Medicare Part D plans. These services include pharmacy claims administration, pharmacy network solutions, government programs administration, formulary and rebate management, trend control and quality compliance programs, member services and discount drug card programs.</w:t>
      </w:r>
    </w:p>
    <w:p>
      <w:pPr>
        <w:spacing w:after="0" w:line="64" w:lineRule="exact"/>
        <w:rPr>
          <w:rFonts w:ascii="Arial" w:cs="Arial" w:eastAsia="Arial" w:hAnsi="Arial"/>
          <w:sz w:val="17"/>
          <w:szCs w:val="17"/>
          <w:color w:val="auto"/>
        </w:rPr>
      </w:pPr>
    </w:p>
    <w:p>
      <w:pPr>
        <w:ind w:left="1880" w:right="180" w:hanging="380"/>
        <w:spacing w:after="0" w:line="279" w:lineRule="auto"/>
        <w:tabs>
          <w:tab w:leader="none" w:pos="1880" w:val="left"/>
        </w:tabs>
        <w:numPr>
          <w:ilvl w:val="2"/>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DomaniRx - </w:t>
      </w:r>
      <w:r>
        <w:rPr>
          <w:rFonts w:ascii="Arial" w:cs="Arial" w:eastAsia="Arial" w:hAnsi="Arial"/>
          <w:sz w:val="16"/>
          <w:szCs w:val="16"/>
          <w:color w:val="auto"/>
        </w:rPr>
        <w:t>Domani Rx, LLC, our joint venture with Humana and Anthem, to create a new cloud-native, API-driven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claims adjudication platform. The goal of the venture is to arm healthcare organizations with end-to-end transparency and data analytics to help them keep up with an ever-changing regulatory environment. DomaniRx’s claims adjudication platform will leverage SS&amp;C’s technology capabilities and reside on SS&amp;C’s private cloud. The result will be a single cloud-native user experience with proven scalability, resiliency and best-in-class transactional processing capabilities.</w:t>
      </w:r>
    </w:p>
    <w:p>
      <w:pPr>
        <w:spacing w:after="0" w:line="145" w:lineRule="exact"/>
        <w:rPr>
          <w:rFonts w:ascii="Arial" w:cs="Arial" w:eastAsia="Arial" w:hAnsi="Arial"/>
          <w:sz w:val="16"/>
          <w:szCs w:val="16"/>
          <w:color w:val="auto"/>
        </w:rPr>
      </w:pPr>
    </w:p>
    <w:p>
      <w:pPr>
        <w:ind w:left="1120" w:hanging="369"/>
        <w:spacing w:after="0" w:line="259"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Administration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use our proprietary software applications to provide medical claim administration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 plan compliance and revenue integrity services for payers and providers in the domestic healthcare industry. Healthcare administration services are offered on a software license, remote and business process outsourcing (“BPO”) basis. Combined with our health outcomes optimization solutions described below, our solutions are offered as stand-alone component solutions to complement health plans, existing operations or systems, or as an integrated core administration package of solutions.</w:t>
      </w:r>
    </w:p>
    <w:p>
      <w:pPr>
        <w:spacing w:after="0" w:line="37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327660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544" w:right="379" w:bottom="1440" w:gutter="0" w:footer="0" w:header="0"/>
        </w:sectPr>
      </w:pPr>
    </w:p>
    <w:bookmarkStart w:id="11" w:name="page12"/>
    <w:bookmarkEnd w:id="11"/>
    <w:p>
      <w:pPr>
        <w:ind w:left="1500" w:right="80" w:hanging="369"/>
        <w:spacing w:after="0" w:line="239"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 Outcomes Optimization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health outcomes optimization solutions through our integrated care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 health analytics applications and professional services for health plans and providers in the domestic healthcare industry. Our Integrated Care Management solution is a real-time, intuitive, workflow-driven solution suite that assists clients to improve member outcomes and manage costs. In addition to our proprietary systems, we are the exclusive distributor of Johns Hopkins’ Adjusted Clinical Groups (“ACG”), a patient classification system developed by Johns Hopkins University. The ACG System is a software tool that provides health plans to quickly identify their at-risk population and stratify them into the optimal care management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license, maintenance and related</w:t>
      </w:r>
    </w:p>
    <w:p>
      <w:pPr>
        <w:spacing w:after="0" w:line="212" w:lineRule="exact"/>
        <w:rPr>
          <w:sz w:val="20"/>
          <w:szCs w:val="20"/>
          <w:color w:val="auto"/>
        </w:rPr>
      </w:pPr>
    </w:p>
    <w:p>
      <w:pPr>
        <w:ind w:left="760" w:right="40" w:hanging="378"/>
        <w:spacing w:after="0" w:line="279"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Portfolio/Investment Accounting and Analytics Software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comprehensive, integrated software solutions that help our clients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operations and accelerate global accounting processes. Our portfolio accounting solutions provide seamless front-to-back office integration, with the flexibility to meet the unique accounting needs of our customers and virtually unlimited scalability to accommodate growth. Our fund accounting solutions meet the challenges of high-volume, global fund managers with support for complex, multi-asset class and multi-currency strategies. We also have solutions catered to insurance accounting and commercial, consumer and residential loan accounting.</w:t>
      </w:r>
    </w:p>
    <w:p>
      <w:pPr>
        <w:spacing w:after="0" w:line="146" w:lineRule="exact"/>
        <w:rPr>
          <w:sz w:val="20"/>
          <w:szCs w:val="20"/>
          <w:color w:val="auto"/>
        </w:rPr>
      </w:pPr>
    </w:p>
    <w:p>
      <w:pPr>
        <w:ind w:left="1500" w:right="40" w:hanging="369"/>
        <w:spacing w:after="0" w:line="276" w:lineRule="auto"/>
        <w:tabs>
          <w:tab w:leader="none" w:pos="15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Geneva – </w:t>
      </w:r>
      <w:r>
        <w:rPr>
          <w:rFonts w:ascii="Arial" w:cs="Arial" w:eastAsia="Arial" w:hAnsi="Arial"/>
          <w:sz w:val="16"/>
          <w:szCs w:val="16"/>
          <w:color w:val="auto"/>
        </w:rPr>
        <w:t>Geneva is a global portfolio management platform designed to meet the real-time needs of global asset managers, hedge</w:t>
      </w:r>
      <w:r>
        <w:rPr>
          <w:rFonts w:ascii="Arial" w:cs="Arial" w:eastAsia="Arial" w:hAnsi="Arial"/>
          <w:sz w:val="16"/>
          <w:szCs w:val="16"/>
          <w:i w:val="1"/>
          <w:iCs w:val="1"/>
          <w:color w:val="auto"/>
        </w:rPr>
        <w:t xml:space="preserve"> </w:t>
      </w:r>
      <w:r>
        <w:rPr>
          <w:rFonts w:ascii="Arial" w:cs="Arial" w:eastAsia="Arial" w:hAnsi="Arial"/>
          <w:sz w:val="16"/>
          <w:szCs w:val="16"/>
          <w:color w:val="auto"/>
        </w:rPr>
        <w:t>funds, prime brokers, fund administrators, private equity firms and family offices worldwide. Geneva integrates all phases of the investment management process – portfolio management, reconciliation, light trade capture and risk capabilities. In addition, its “main memory” database offers more accurate and flexible reporting and eliminates batch processing and time-consuming error corrections. As a result, Geneva enables firms to grow into new markets, deliver greater operational efficiencies, enhance investor service, process high trade volumes across multiple securities, improve compliance and security and lower operating costs and risks.</w:t>
      </w:r>
    </w:p>
    <w:p>
      <w:pPr>
        <w:spacing w:after="0" w:line="148" w:lineRule="exact"/>
        <w:rPr>
          <w:rFonts w:ascii="Arial" w:cs="Arial" w:eastAsia="Arial" w:hAnsi="Arial"/>
          <w:sz w:val="16"/>
          <w:szCs w:val="16"/>
          <w:color w:val="auto"/>
        </w:rPr>
      </w:pPr>
    </w:p>
    <w:p>
      <w:pPr>
        <w:ind w:left="1500" w:hanging="36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Advent Portfolio Exchange – </w:t>
      </w:r>
      <w:r>
        <w:rPr>
          <w:rFonts w:ascii="Arial" w:cs="Arial" w:eastAsia="Arial" w:hAnsi="Arial"/>
          <w:sz w:val="18"/>
          <w:szCs w:val="18"/>
          <w:color w:val="auto"/>
        </w:rPr>
        <w:t>Advent Portfolio Exchange (“APX”) is a comprehensive portfolio management solution for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and wealth managers worldwide, which integrates the front-office functions of prospecting, marketing, customer relationship management and internal business management with the back-office operations of portfolio accounting, performance measurement and reporting. It allows firms to manage high-net-worth and institutional clients through a comprehensive range of capabilities, including customized reporting, automated report packaging and performance analytics. APX can be deployed locally as well as hosted in the cloud.</w:t>
      </w:r>
    </w:p>
    <w:p>
      <w:pPr>
        <w:spacing w:after="0" w:line="175" w:lineRule="exact"/>
        <w:rPr>
          <w:rFonts w:ascii="Arial" w:cs="Arial" w:eastAsia="Arial" w:hAnsi="Arial"/>
          <w:sz w:val="18"/>
          <w:szCs w:val="18"/>
          <w:color w:val="auto"/>
        </w:rPr>
      </w:pPr>
    </w:p>
    <w:p>
      <w:pPr>
        <w:ind w:left="1500" w:right="240" w:hanging="369"/>
        <w:spacing w:after="0" w:line="241"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Axys – </w:t>
      </w:r>
      <w:r>
        <w:rPr>
          <w:rFonts w:ascii="Arial" w:cs="Arial" w:eastAsia="Arial" w:hAnsi="Arial"/>
          <w:sz w:val="18"/>
          <w:szCs w:val="18"/>
          <w:color w:val="auto"/>
        </w:rPr>
        <w:t>Axys is a turnkey portfolio management and reporting system for small to mid-size investment management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Axys provides investment professionals with broad portfolio accounting functionality on various investment instruments, including equities, fixed income, mutual funds and cash. By using Axys, clients have a timely decision support tool with immediate access to portfolio holdings, asset allocation, realized and unrealized gains and losses, actual and projected income and other data including performance measurement and flexible reporting.</w:t>
      </w:r>
    </w:p>
    <w:p>
      <w:pPr>
        <w:spacing w:after="0" w:line="189" w:lineRule="exact"/>
        <w:rPr>
          <w:rFonts w:ascii="Arial" w:cs="Arial" w:eastAsia="Arial" w:hAnsi="Arial"/>
          <w:sz w:val="18"/>
          <w:szCs w:val="18"/>
          <w:color w:val="auto"/>
        </w:rPr>
      </w:pPr>
    </w:p>
    <w:p>
      <w:pPr>
        <w:ind w:left="1500" w:right="180" w:hanging="369"/>
        <w:spacing w:after="0" w:line="243"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SS&amp;C Singularity – </w:t>
      </w:r>
      <w:r>
        <w:rPr>
          <w:rFonts w:ascii="Arial" w:cs="Arial" w:eastAsia="Arial" w:hAnsi="Arial"/>
          <w:sz w:val="18"/>
          <w:szCs w:val="18"/>
          <w:color w:val="auto"/>
        </w:rPr>
        <w:t>Our first intelligent investment operations, accounting and analytics system – a cloud-based solution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operating model of financial institutions. Singularity uses artificial intelligence, machine learning, robotic process automation, intelligent workflow optimization and advanced predictive analytics to drive significant cost savings and continuous operational improvements for our clients.</w:t>
      </w:r>
    </w:p>
    <w:p>
      <w:pPr>
        <w:spacing w:after="0" w:line="174" w:lineRule="exact"/>
        <w:rPr>
          <w:rFonts w:ascii="Arial" w:cs="Arial" w:eastAsia="Arial" w:hAnsi="Arial"/>
          <w:sz w:val="18"/>
          <w:szCs w:val="18"/>
          <w:color w:val="auto"/>
        </w:rPr>
      </w:pPr>
    </w:p>
    <w:p>
      <w:pPr>
        <w:ind w:left="1500" w:right="140" w:hanging="369"/>
        <w:spacing w:after="0" w:line="241"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Global Wealth Platform (“GWP”) – </w:t>
      </w:r>
      <w:r>
        <w:rPr>
          <w:rFonts w:ascii="Arial" w:cs="Arial" w:eastAsia="Arial" w:hAnsi="Arial"/>
          <w:sz w:val="18"/>
          <w:szCs w:val="18"/>
          <w:color w:val="auto"/>
        </w:rPr>
        <w:t>GWP is our comprehensive, cloud-based solution that enables wealth managers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investment process on a single platform, leveraging a single database. GWP bridges the front-, middle-, and back-offices and ensures data consistency across all phases of the investment process. This solution simplifies the management of complex investment strategies with the support of all asset classes and multi-currency capabilities in one system. In addition, automation and integration eliminate offline workarounds and manual processes.</w:t>
      </w:r>
    </w:p>
    <w:p>
      <w:pPr>
        <w:spacing w:after="0" w:line="175" w:lineRule="exact"/>
        <w:rPr>
          <w:rFonts w:ascii="Arial" w:cs="Arial" w:eastAsia="Arial" w:hAnsi="Arial"/>
          <w:sz w:val="18"/>
          <w:szCs w:val="18"/>
          <w:color w:val="auto"/>
        </w:rPr>
      </w:pPr>
    </w:p>
    <w:p>
      <w:pPr>
        <w:ind w:left="1500" w:right="20" w:hanging="369"/>
        <w:spacing w:after="0" w:line="241"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Aloha – </w:t>
      </w:r>
      <w:r>
        <w:rPr>
          <w:rFonts w:ascii="Arial" w:cs="Arial" w:eastAsia="Arial" w:hAnsi="Arial"/>
          <w:sz w:val="18"/>
          <w:szCs w:val="18"/>
          <w:color w:val="auto"/>
        </w:rPr>
        <w:t>Aloha is an all-new investment operations platform that provides extensive asset class and functional support across the front-,</w:t>
      </w:r>
      <w:r>
        <w:rPr>
          <w:rFonts w:ascii="Arial" w:cs="Arial" w:eastAsia="Arial" w:hAnsi="Arial"/>
          <w:sz w:val="18"/>
          <w:szCs w:val="18"/>
          <w:i w:val="1"/>
          <w:iCs w:val="1"/>
          <w:color w:val="auto"/>
        </w:rPr>
        <w:t xml:space="preserve"> </w:t>
      </w:r>
      <w:r>
        <w:rPr>
          <w:rFonts w:ascii="Arial" w:cs="Arial" w:eastAsia="Arial" w:hAnsi="Arial"/>
          <w:sz w:val="18"/>
          <w:szCs w:val="18"/>
          <w:color w:val="auto"/>
        </w:rPr>
        <w:t>middle-, and back-office. Built natively for the cloud with advanced technology, Aloha features an innovative user experience, actionable monitors, notifications and alerts infused with AI. Smart, innovative technologies matched with deep functionality streamlines clients businesses and provides users with critical business intelligence via machine learning, workflow engine and KPI and system health monitoring.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left="1120" w:hanging="369"/>
        <w:spacing w:after="0" w:line="284" w:lineRule="auto"/>
        <w:tabs>
          <w:tab w:leader="none" w:pos="11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HiPortfolio </w:t>
      </w:r>
      <w:r>
        <w:rPr>
          <w:rFonts w:ascii="Arial" w:cs="Arial" w:eastAsia="Arial" w:hAnsi="Arial"/>
          <w:sz w:val="16"/>
          <w:szCs w:val="16"/>
          <w:color w:val="auto"/>
        </w:rPr>
        <w:t>– HiPortfolio is an investment accounting and asset servicing solution for third-party administrators, asset managers, and</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firms in over 35 countries. With broad instrument coverage and multi-currency capabilities, HiPortfolio allows our clients to manage the full transaction lifecycle, from trade capture, investment accounting and fund administration, through cash management, reconciliation, corporate actions processing, unit pricing and taxation, to performance measurement and attribution.</w:t>
      </w:r>
    </w:p>
    <w:p>
      <w:pPr>
        <w:spacing w:after="0" w:line="155" w:lineRule="exact"/>
        <w:rPr>
          <w:rFonts w:ascii="Arial" w:cs="Arial" w:eastAsia="Arial" w:hAnsi="Arial"/>
          <w:sz w:val="16"/>
          <w:szCs w:val="16"/>
          <w:color w:val="auto"/>
        </w:rPr>
      </w:pPr>
    </w:p>
    <w:p>
      <w:pPr>
        <w:ind w:left="1120" w:right="60" w:hanging="369"/>
        <w:spacing w:after="0" w:line="279" w:lineRule="auto"/>
        <w:tabs>
          <w:tab w:leader="none" w:pos="11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PORTIA – </w:t>
      </w:r>
      <w:r>
        <w:rPr>
          <w:rFonts w:ascii="Arial" w:cs="Arial" w:eastAsia="Arial" w:hAnsi="Arial"/>
          <w:sz w:val="16"/>
          <w:szCs w:val="16"/>
          <w:color w:val="auto"/>
        </w:rPr>
        <w:t>PORTIA is a comprehensive, middle-to-back office investment operations platform encompassing portfolio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fund accounting, performance measurement and attribution, reconciliation and client reporting for your global assets. Firms of all types worldwide rely on PORTIA to track day-to-day portfolio activity, with visibility across all transactions and positions. Its modular design and open architecture allow for high customization and easy integration with other systems. PORTIA can be installed on-premise, hosted in the cloud or fully outsourced to reduce clients IT footprint and overhead with flexible deployment operations.</w:t>
      </w:r>
    </w:p>
    <w:p>
      <w:pPr>
        <w:spacing w:after="0" w:line="159" w:lineRule="exact"/>
        <w:rPr>
          <w:rFonts w:ascii="Arial" w:cs="Arial" w:eastAsia="Arial" w:hAnsi="Arial"/>
          <w:sz w:val="16"/>
          <w:szCs w:val="16"/>
          <w:color w:val="auto"/>
        </w:rPr>
      </w:pPr>
    </w:p>
    <w:p>
      <w:pPr>
        <w:ind w:left="1120" w:right="4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CAMRA – </w:t>
      </w:r>
      <w:r>
        <w:rPr>
          <w:rFonts w:ascii="Arial" w:cs="Arial" w:eastAsia="Arial" w:hAnsi="Arial"/>
          <w:sz w:val="18"/>
          <w:szCs w:val="18"/>
          <w:color w:val="auto"/>
        </w:rPr>
        <w:t>CAMRA is a portfolio accounting solution tailored to the needs of insurance investment operations. Its multi-currency,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multi-instrument portfolio accounting supports complex securities, sophisticated investment strategies, multi-currency investment management, multiple-bases accounting, and global tax and regulatory processing requirements such as generally accepted accounting principles and Schedule D.</w:t>
      </w:r>
    </w:p>
    <w:p>
      <w:pPr>
        <w:spacing w:after="0" w:line="187" w:lineRule="exact"/>
        <w:rPr>
          <w:rFonts w:ascii="Arial" w:cs="Arial" w:eastAsia="Arial" w:hAnsi="Arial"/>
          <w:sz w:val="18"/>
          <w:szCs w:val="18"/>
          <w:color w:val="auto"/>
        </w:rPr>
      </w:pPr>
    </w:p>
    <w:p>
      <w:pPr>
        <w:ind w:left="112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InnoTrust – </w:t>
      </w:r>
      <w:r>
        <w:rPr>
          <w:rFonts w:ascii="Arial" w:cs="Arial" w:eastAsia="Arial" w:hAnsi="Arial"/>
          <w:sz w:val="18"/>
          <w:szCs w:val="18"/>
          <w:color w:val="auto"/>
        </w:rPr>
        <w:t>InnoTrust supports the accounting and reporting needs of trust companies, banks, private banks, retirement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administrators, and others that need to control, account for and report on assets held in trust, wealth and retirement accounts. InnoTrust is web services/API enabled and provides a full suite of portfolio management tools including rebalancing, trade blotters, trade order management and integrated performance reporting.</w:t>
      </w:r>
    </w:p>
    <w:p>
      <w:pPr>
        <w:spacing w:after="0" w:line="187" w:lineRule="exact"/>
        <w:rPr>
          <w:rFonts w:ascii="Arial" w:cs="Arial" w:eastAsia="Arial" w:hAnsi="Arial"/>
          <w:sz w:val="18"/>
          <w:szCs w:val="18"/>
          <w:color w:val="auto"/>
        </w:rPr>
      </w:pPr>
    </w:p>
    <w:p>
      <w:pPr>
        <w:ind w:left="380" w:hanging="378"/>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Portfolio Management Software</w:t>
      </w:r>
    </w:p>
    <w:p>
      <w:pPr>
        <w:spacing w:after="0" w:line="211" w:lineRule="exact"/>
        <w:rPr>
          <w:rFonts w:ascii="Arial" w:cs="Arial" w:eastAsia="Arial" w:hAnsi="Arial"/>
          <w:sz w:val="18"/>
          <w:szCs w:val="18"/>
          <w:color w:val="auto"/>
        </w:rPr>
      </w:pPr>
    </w:p>
    <w:p>
      <w:pPr>
        <w:ind w:left="1120" w:right="6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Eze Eclipse – </w:t>
      </w:r>
      <w:r>
        <w:rPr>
          <w:rFonts w:ascii="Arial" w:cs="Arial" w:eastAsia="Arial" w:hAnsi="Arial"/>
          <w:sz w:val="18"/>
          <w:szCs w:val="18"/>
          <w:color w:val="auto"/>
        </w:rPr>
        <w:t>Eze Eclipse is a cloud-native front-to-back investment management platform, designed to streamline trading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efficiency and minimize the total cost of ownership for investment managers. Eze Eclipse allows our clients to trade efficiently with optimized order routing, pre-defined allocation schemes, on-the-fly allocation tools and critical data summaries effortlessly reconcile positions, cash and transactions to third parties.</w:t>
      </w:r>
    </w:p>
    <w:p>
      <w:pPr>
        <w:spacing w:after="0" w:line="187" w:lineRule="exact"/>
        <w:rPr>
          <w:rFonts w:ascii="Arial" w:cs="Arial" w:eastAsia="Arial" w:hAnsi="Arial"/>
          <w:sz w:val="18"/>
          <w:szCs w:val="18"/>
          <w:color w:val="auto"/>
        </w:rPr>
      </w:pPr>
    </w:p>
    <w:p>
      <w:pPr>
        <w:ind w:left="1120" w:right="28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and Performance Attribution (Sylvan, Insight) – </w:t>
      </w:r>
      <w:r>
        <w:rPr>
          <w:rFonts w:ascii="Arial" w:cs="Arial" w:eastAsia="Arial" w:hAnsi="Arial"/>
          <w:sz w:val="18"/>
          <w:szCs w:val="18"/>
          <w:color w:val="auto"/>
        </w:rPr>
        <w:t>SS&amp;C’s performance measurement, attribution and composite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platforms streamline the calculation and reporting of performance while enabling our clients to analyze the sources of return. It supports multiple attribution methodologies, customized benchmarking and composite management. We provide full support for industry-mandated GIPS performance reporting standards.</w:t>
      </w:r>
    </w:p>
    <w:p>
      <w:pPr>
        <w:spacing w:after="0" w:line="187" w:lineRule="exact"/>
        <w:rPr>
          <w:rFonts w:ascii="Arial" w:cs="Arial" w:eastAsia="Arial" w:hAnsi="Arial"/>
          <w:sz w:val="18"/>
          <w:szCs w:val="18"/>
          <w:color w:val="auto"/>
        </w:rPr>
      </w:pPr>
    </w:p>
    <w:p>
      <w:pPr>
        <w:ind w:left="1120" w:right="20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Reporting (Vision FI) – </w:t>
      </w:r>
      <w:r>
        <w:rPr>
          <w:rFonts w:ascii="Arial" w:cs="Arial" w:eastAsia="Arial" w:hAnsi="Arial"/>
          <w:sz w:val="18"/>
          <w:szCs w:val="18"/>
          <w:color w:val="auto"/>
        </w:rPr>
        <w:t>SS&amp;C Vision FI (Financial Insights) is a comprehensive, end-to-end solution for designing, producing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distributing client communications. It enables financial organizations to create high-quality reports in a matter of minutes. In addition, the system enables our customers to deliver information to clients through their preferred channels, whether print, email or online through a customizable portal.</w:t>
      </w:r>
    </w:p>
    <w:p>
      <w:pPr>
        <w:spacing w:after="0" w:line="187" w:lineRule="exact"/>
        <w:rPr>
          <w:rFonts w:ascii="Arial" w:cs="Arial" w:eastAsia="Arial" w:hAnsi="Arial"/>
          <w:sz w:val="18"/>
          <w:szCs w:val="18"/>
          <w:color w:val="auto"/>
        </w:rPr>
      </w:pPr>
    </w:p>
    <w:p>
      <w:pPr>
        <w:ind w:left="112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(Recon, Verify) </w:t>
      </w:r>
      <w:r>
        <w:rPr>
          <w:rFonts w:ascii="Arial" w:cs="Arial" w:eastAsia="Arial" w:hAnsi="Arial"/>
          <w:sz w:val="18"/>
          <w:szCs w:val="18"/>
          <w:color w:val="auto"/>
        </w:rPr>
        <w:t>– SS&amp;C’s Verify is a highly scalable reconciliation and exception management system that gives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more control over the accounting lifecycle, including account, cash and position reconciliations. With data translation, rules-based matching and superior investigative tools, our Recon and Verify solutions streamlines operational efficiency delivering full visibility into cash, holdings, transactions, trial balances and security masters.</w:t>
      </w:r>
    </w:p>
    <w:p>
      <w:pPr>
        <w:spacing w:after="0" w:line="187" w:lineRule="exact"/>
        <w:rPr>
          <w:rFonts w:ascii="Arial" w:cs="Arial" w:eastAsia="Arial" w:hAnsi="Arial"/>
          <w:sz w:val="18"/>
          <w:szCs w:val="18"/>
          <w:color w:val="auto"/>
        </w:rPr>
      </w:pPr>
    </w:p>
    <w:p>
      <w:pPr>
        <w:ind w:left="380" w:hanging="378"/>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Trading Software</w:t>
      </w:r>
    </w:p>
    <w:p>
      <w:pPr>
        <w:spacing w:after="0" w:line="211" w:lineRule="exact"/>
        <w:rPr>
          <w:rFonts w:ascii="Arial" w:cs="Arial" w:eastAsia="Arial" w:hAnsi="Arial"/>
          <w:sz w:val="18"/>
          <w:szCs w:val="18"/>
          <w:color w:val="auto"/>
        </w:rPr>
      </w:pPr>
    </w:p>
    <w:p>
      <w:pPr>
        <w:ind w:left="1120" w:right="50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Order Management (Moxy, Eze OMS) – </w:t>
      </w:r>
      <w:r>
        <w:rPr>
          <w:rFonts w:ascii="Arial" w:cs="Arial" w:eastAsia="Arial" w:hAnsi="Arial"/>
          <w:sz w:val="18"/>
          <w:szCs w:val="18"/>
          <w:color w:val="auto"/>
        </w:rPr>
        <w:t>SS&amp;C’s trade order management systems provide centralized platforms for making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trade order decisions quickly and confidently. The platforms have built-in connectivity between asset managers and multiple brokers, counterparties, custodians and trading venues, giving our clients control and visibility across the entire trading process, from asset allocation to settlement.</w:t>
      </w:r>
    </w:p>
    <w:p>
      <w:pPr>
        <w:spacing w:after="0" w:line="187" w:lineRule="exact"/>
        <w:rPr>
          <w:rFonts w:ascii="Arial" w:cs="Arial" w:eastAsia="Arial" w:hAnsi="Arial"/>
          <w:sz w:val="18"/>
          <w:szCs w:val="18"/>
          <w:color w:val="auto"/>
        </w:rPr>
      </w:pPr>
    </w:p>
    <w:p>
      <w:pPr>
        <w:ind w:left="1120" w:hanging="369"/>
        <w:spacing w:after="0" w:line="243"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Execution Management (Eze EMS) – </w:t>
      </w:r>
      <w:r>
        <w:rPr>
          <w:rFonts w:ascii="Arial" w:cs="Arial" w:eastAsia="Arial" w:hAnsi="Arial"/>
          <w:sz w:val="18"/>
          <w:szCs w:val="18"/>
          <w:color w:val="auto"/>
        </w:rPr>
        <w:t>SS&amp;C’s multi-broker execution management system is a high-speed cloud-based platform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traders with centralized access to aggregated liquidity for trade execution, critical trading data and insight for making fast and informed decisions, and the tools necessary to dynamically manage positions, portfolios and trading risk across global equity, futures and options markets</w:t>
      </w:r>
      <w:r>
        <w:rPr>
          <w:rFonts w:ascii="Arial" w:cs="Arial" w:eastAsia="Arial" w:hAnsi="Arial"/>
          <w:sz w:val="18"/>
          <w:szCs w:val="18"/>
          <w:i w:val="1"/>
          <w:iCs w:val="1"/>
          <w:color w:val="auto"/>
        </w:rPr>
        <w:t>.</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327660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328" w:right="359" w:bottom="1440" w:gutter="0" w:footer="0" w:header="0"/>
        </w:sectPr>
      </w:pPr>
    </w:p>
    <w:bookmarkStart w:id="13" w:name="page14"/>
    <w:bookmarkEnd w:id="13"/>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Digital Process Automation</w:t>
      </w:r>
    </w:p>
    <w:p>
      <w:pPr>
        <w:spacing w:after="0" w:line="212" w:lineRule="exact"/>
        <w:rPr>
          <w:sz w:val="20"/>
          <w:szCs w:val="20"/>
          <w:color w:val="auto"/>
        </w:rPr>
      </w:pPr>
    </w:p>
    <w:p>
      <w:pPr>
        <w:ind w:left="1500" w:right="40" w:hanging="369"/>
        <w:spacing w:after="0" w:line="241"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SS&amp;C Chorus – </w:t>
      </w:r>
      <w:r>
        <w:rPr>
          <w:rFonts w:ascii="Arial" w:cs="Arial" w:eastAsia="Arial" w:hAnsi="Arial"/>
          <w:sz w:val="18"/>
          <w:szCs w:val="18"/>
          <w:color w:val="auto"/>
        </w:rPr>
        <w:t>Chorus is our digital process automation product suite, encompassing intelligent automation, business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content management, case management, outbound communications and a low code development platform. Chorus is deployed globally in many industries, including asset management, life insurance, variable annuities, healthcare, property and casualty insurance, banking and wealth management. The value proposition combines the core software with our global professional services organization and secure private cloud application hosting.</w:t>
      </w:r>
    </w:p>
    <w:p>
      <w:pPr>
        <w:spacing w:after="0" w:line="18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Banking and Lending Solutions</w:t>
      </w:r>
    </w:p>
    <w:p>
      <w:pPr>
        <w:spacing w:after="0" w:line="211" w:lineRule="exact"/>
        <w:rPr>
          <w:rFonts w:ascii="Arial" w:cs="Arial" w:eastAsia="Arial" w:hAnsi="Arial"/>
          <w:sz w:val="18"/>
          <w:szCs w:val="18"/>
          <w:color w:val="auto"/>
        </w:rPr>
      </w:pPr>
    </w:p>
    <w:p>
      <w:pPr>
        <w:ind w:left="1500" w:right="560" w:hanging="369"/>
        <w:spacing w:after="0" w:line="270"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EVOLV – </w:t>
      </w:r>
      <w:r>
        <w:rPr>
          <w:rFonts w:ascii="Arial" w:cs="Arial" w:eastAsia="Arial" w:hAnsi="Arial"/>
          <w:sz w:val="17"/>
          <w:szCs w:val="17"/>
          <w:color w:val="auto"/>
        </w:rPr>
        <w:t>EVOLV is a comprehensive, cloud-based, end-to-end accounting solution for financial institutions that integrates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automates all risk and finance processes relating to a loan portfolio, from data capture to back-end reporting and analytics. It streamlines loan accounting, increases efficiency, assures data integrity and strengthens compliance.</w:t>
      </w:r>
    </w:p>
    <w:p>
      <w:pPr>
        <w:spacing w:after="0" w:line="163" w:lineRule="exact"/>
        <w:rPr>
          <w:rFonts w:ascii="Arial" w:cs="Arial" w:eastAsia="Arial" w:hAnsi="Arial"/>
          <w:sz w:val="17"/>
          <w:szCs w:val="17"/>
          <w:color w:val="auto"/>
        </w:rPr>
      </w:pPr>
    </w:p>
    <w:p>
      <w:pPr>
        <w:ind w:left="1500" w:right="140" w:hanging="369"/>
        <w:spacing w:after="0" w:line="270"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Precision LM – </w:t>
      </w:r>
      <w:r>
        <w:rPr>
          <w:rFonts w:ascii="Arial" w:cs="Arial" w:eastAsia="Arial" w:hAnsi="Arial"/>
          <w:sz w:val="17"/>
          <w:szCs w:val="17"/>
          <w:color w:val="auto"/>
        </w:rPr>
        <w:t>Precision LM is a single database application that provides comprehensive commercial loan management from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to final disposition. Precision LM manages all aspects of our clients’ loan process, including pre-qualifying loan requests, processing applications, commitment processing, loan disposition, servicing and accounting.</w:t>
      </w:r>
    </w:p>
    <w:p>
      <w:pPr>
        <w:spacing w:after="0" w:line="163" w:lineRule="exact"/>
        <w:rPr>
          <w:rFonts w:ascii="Arial" w:cs="Arial" w:eastAsia="Arial" w:hAnsi="Arial"/>
          <w:sz w:val="17"/>
          <w:szCs w:val="17"/>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Analytics, Risk and Training</w:t>
      </w:r>
    </w:p>
    <w:p>
      <w:pPr>
        <w:spacing w:after="0" w:line="211" w:lineRule="exact"/>
        <w:rPr>
          <w:rFonts w:ascii="Arial" w:cs="Arial" w:eastAsia="Arial" w:hAnsi="Arial"/>
          <w:sz w:val="18"/>
          <w:szCs w:val="18"/>
          <w:color w:val="auto"/>
        </w:rPr>
      </w:pPr>
    </w:p>
    <w:p>
      <w:pPr>
        <w:jc w:val="both"/>
        <w:ind w:left="1500" w:right="280" w:hanging="369"/>
        <w:spacing w:after="0" w:line="248"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Algorithmics </w:t>
      </w:r>
      <w:r>
        <w:rPr>
          <w:rFonts w:ascii="Arial" w:cs="Arial" w:eastAsia="Arial" w:hAnsi="Arial"/>
          <w:sz w:val="18"/>
          <w:szCs w:val="18"/>
          <w:color w:val="auto"/>
        </w:rPr>
        <w:t>- Algorithmics’ cloud-based solutions deliver risk analytics to address the impact of business and regulatory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The solutions, including counterparty credit risk, financial risk APIs, risk for insurance and work space analyzer, along with others, address market, credit and liquidity risk and capital management.</w:t>
      </w:r>
    </w:p>
    <w:p>
      <w:pPr>
        <w:spacing w:after="0" w:line="181" w:lineRule="exact"/>
        <w:rPr>
          <w:rFonts w:ascii="Arial" w:cs="Arial" w:eastAsia="Arial" w:hAnsi="Arial"/>
          <w:sz w:val="18"/>
          <w:szCs w:val="18"/>
          <w:color w:val="auto"/>
        </w:rPr>
      </w:pPr>
    </w:p>
    <w:p>
      <w:pPr>
        <w:ind w:left="1500" w:right="80" w:hanging="369"/>
        <w:spacing w:after="0" w:line="248"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Tamale RMS – </w:t>
      </w:r>
      <w:r>
        <w:rPr>
          <w:rFonts w:ascii="Arial" w:cs="Arial" w:eastAsia="Arial" w:hAnsi="Arial"/>
          <w:sz w:val="18"/>
          <w:szCs w:val="18"/>
          <w:color w:val="auto"/>
        </w:rPr>
        <w:t>Tamale RMS is a purpose-built research management solution, enabling investment analysts and portfolio managers to</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 an escalating volume of research data and apply it more effectively in due diligence. It is a centralized repository for capturing, managing and sharing every piece of research received or created.</w:t>
      </w:r>
    </w:p>
    <w:p>
      <w:pPr>
        <w:spacing w:after="0" w:line="181" w:lineRule="exact"/>
        <w:rPr>
          <w:rFonts w:ascii="Arial" w:cs="Arial" w:eastAsia="Arial" w:hAnsi="Arial"/>
          <w:sz w:val="18"/>
          <w:szCs w:val="18"/>
          <w:color w:val="auto"/>
        </w:rPr>
      </w:pPr>
    </w:p>
    <w:p>
      <w:pPr>
        <w:ind w:left="1500" w:right="80" w:hanging="369"/>
        <w:spacing w:after="0" w:line="24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Research, Analytics and Consulting - </w:t>
      </w:r>
      <w:r>
        <w:rPr>
          <w:rFonts w:ascii="Arial" w:cs="Arial" w:eastAsia="Arial" w:hAnsi="Arial"/>
          <w:sz w:val="18"/>
          <w:szCs w:val="18"/>
          <w:color w:val="auto"/>
        </w:rPr>
        <w:t>SS&amp;C’s Research, Analytics and Consulting (RAC) group helps leading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industry manage data, gain insight and ignite change in their business. Through effective use of advanced analytics, research and distribution intelligence technologies, SS&amp;C RAC enables business to better understand, predict and optimize key business factors impacting their asset growth and profitability.</w:t>
      </w:r>
    </w:p>
    <w:p>
      <w:pPr>
        <w:spacing w:after="0" w:line="187" w:lineRule="exact"/>
        <w:rPr>
          <w:rFonts w:ascii="Arial" w:cs="Arial" w:eastAsia="Arial" w:hAnsi="Arial"/>
          <w:sz w:val="18"/>
          <w:szCs w:val="18"/>
          <w:color w:val="auto"/>
        </w:rPr>
      </w:pPr>
    </w:p>
    <w:p>
      <w:pPr>
        <w:ind w:left="1500" w:hanging="369"/>
        <w:spacing w:after="0" w:line="259"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Learning Institute – </w:t>
      </w:r>
      <w:r>
        <w:rPr>
          <w:rFonts w:ascii="Arial" w:cs="Arial" w:eastAsia="Arial" w:hAnsi="Arial"/>
          <w:sz w:val="17"/>
          <w:szCs w:val="17"/>
          <w:color w:val="auto"/>
        </w:rPr>
        <w:t>The SS&amp;C Learning Institute is an education, training and research organization dedicated to enriching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professionals and those seeking careers in financial services. Our digital library, instructor-led classes and blended programs are used by many of the world’s leading wealth management firms, investment banks, insurance companies, hedge funds, commercial banks and other asset management companies. In addition, the SS&amp;C Learning Institute offers customized learning paths to enhance the business and finance programs of colleges and universities.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offer a range of professional services to assist clients. Professional services consist of consulting and implementation services, including the initial installation of systems, conversion of historical data and ongoing training and support. In addition, our in-house consulting teams work closely with the client to ensure the smooth transition and operation of our systems. Our consulting teams have a broad range of experience in the financial services industry. They include certified public accountants, chartered financial analysts, mathematicians and IT professionals from the asset management, real estate, investment, insurance, hedge fund, municipal finance, banking and healthcare industries. We believe our commitment to professional services facilitates the adoption of our software products across our target markets. For the year ended December 31, 2021, revenues from professional services represented 2% of total revenues.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Product support</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 xml:space="preserve">We believe a close and active service and support relationship is vital to enhancing client satisfaction and furnishes an essential source of information regarding evolving client issues. We provide our larger clients with a dedicated client support team whose primary responsibility is to answer questions and provide solutions to address ongoing needs. Direct telephone support is provided during extended business hours and additional hours are available during peak periods. We distribute content-rich, periodic blogs and thought leadership targeted at clients and prospects in each of our vertical and geographic markets. We supplement our service and support activities with comprehensive training. Training options include regularly hosted classroom and online instruction, </w:t>
      </w:r>
      <w:r>
        <w:rPr>
          <w:rFonts w:ascii="Arial" w:cs="Arial" w:eastAsia="Arial" w:hAnsi="Arial"/>
          <w:sz w:val="18"/>
          <w:szCs w:val="18"/>
          <w:i w:val="1"/>
          <w:iCs w:val="1"/>
          <w:color w:val="auto"/>
        </w:rPr>
        <w:t>SS&amp;C Learning Institute</w:t>
      </w:r>
      <w:r>
        <w:rPr>
          <w:rFonts w:ascii="Arial" w:cs="Arial" w:eastAsia="Arial" w:hAnsi="Arial"/>
          <w:sz w:val="18"/>
          <w:szCs w:val="18"/>
          <w:color w:val="auto"/>
        </w:rPr>
        <w:t>, and online client seminars, or “webinars,” that address current, often technical, issues in the financial services and healthcare industries.</w:t>
      </w:r>
    </w:p>
    <w:p>
      <w:pPr>
        <w:spacing w:after="0" w:line="19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periodically make maintenance releases of licensed software available to our clients, as well as regulatory updates (generally during the fourth quarter, on a when and if available basis), to meet industry reporting obligations and other processing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Our global financial services and healthcare clients require a full range of information management and analysis on a timely and flexible basis. Our financial services clients include multinational banks, retail banks and credit unions, hedge funds, private equity funds, funds of funds and family offices, institutional and retail asset managers, insurance companies and pension funds, municipal finance groups, brokers/dealers, financial exchanges, commercial lenders, real estate lenders and property managers. Our healthcare clients include health insurance companies, health plans and benefits administrators. Our clients include many of the largest and most well-recognized financial services and healthcare firms. During the year ended December 31, 2021, our top 10 clients represented approximately 15% of total revenues, with no single client accounting for more than 5% of total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believe a direct sales organization is essential in successfully implementing our business strategy, given the complexity and importance of the operations and information managed by our products, the extensive regulatory and reporting requirements of each industry, and the unique dynamics of each vertical market. Our dedicated direct sales and support personnel are located in various sales offices worldwide and routinely undergo product and sales training. We also use telemarketing to support sales of our real estate property management products and work through alliance partners that sell our software-enabled services to their correspondent banking clients.</w:t>
      </w:r>
    </w:p>
    <w:p>
      <w:pPr>
        <w:spacing w:after="0" w:line="189" w:lineRule="exact"/>
        <w:rPr>
          <w:sz w:val="20"/>
          <w:szCs w:val="20"/>
          <w:color w:val="auto"/>
        </w:rPr>
      </w:pPr>
    </w:p>
    <w:p>
      <w:pPr>
        <w:jc w:val="both"/>
        <w:ind w:right="700" w:firstLine="509"/>
        <w:spacing w:after="0" w:line="248" w:lineRule="auto"/>
        <w:rPr>
          <w:sz w:val="20"/>
          <w:szCs w:val="20"/>
          <w:color w:val="auto"/>
        </w:rPr>
      </w:pPr>
      <w:r>
        <w:rPr>
          <w:rFonts w:ascii="Arial" w:cs="Arial" w:eastAsia="Arial" w:hAnsi="Arial"/>
          <w:sz w:val="18"/>
          <w:szCs w:val="18"/>
          <w:color w:val="auto"/>
        </w:rPr>
        <w:t>Our marketing personnel has extensive experience in marketing to the financial services and healthcare industries. They are responsible for identifying market trends, evaluating and developing marketing opportunities, generating client leads and providing sales support. In addition, our marketing activities focus on cost-effective means of reaching current and potential clients, including:</w:t>
      </w:r>
    </w:p>
    <w:p>
      <w:pPr>
        <w:spacing w:after="0" w:line="74" w:lineRule="exact"/>
        <w:rPr>
          <w:sz w:val="20"/>
          <w:szCs w:val="20"/>
          <w:color w:val="auto"/>
        </w:rPr>
      </w:pPr>
    </w:p>
    <w:p>
      <w:pPr>
        <w:ind w:left="560" w:hanging="500"/>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Providing content-rich, periodic blogs and thought leadership targeted at clients and prospects in each of our vertical and geographic markets;</w:t>
      </w:r>
    </w:p>
    <w:p>
      <w:pPr>
        <w:spacing w:after="0" w:line="115" w:lineRule="exact"/>
        <w:rPr>
          <w:rFonts w:ascii="Arial" w:cs="Arial" w:eastAsia="Arial" w:hAnsi="Arial"/>
          <w:sz w:val="17"/>
          <w:szCs w:val="17"/>
          <w:color w:val="auto"/>
        </w:rPr>
      </w:pPr>
    </w:p>
    <w:p>
      <w:pPr>
        <w:ind w:left="560" w:hanging="500"/>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publishing and distributing thought leadership white papers or articles to appropriate press outlets;</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hosting regular product-focused webinars;</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sponsoring virtual and physical seminars and events, speaking engagements and symposiums; and</w:t>
      </w:r>
    </w:p>
    <w:p>
      <w:pPr>
        <w:spacing w:after="0" w:line="103" w:lineRule="exact"/>
        <w:rPr>
          <w:rFonts w:ascii="Arial" w:cs="Arial" w:eastAsia="Arial" w:hAnsi="Arial"/>
          <w:sz w:val="18"/>
          <w:szCs w:val="18"/>
          <w:color w:val="auto"/>
        </w:rPr>
      </w:pPr>
    </w:p>
    <w:p>
      <w:pPr>
        <w:ind w:left="560" w:hanging="500"/>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digital, integrated marketing programs.</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This strategy achieves lower marketing costs, more direct contacts with actual and potential clients, increased marketing leads, distribution of more up-to-date marketing information and an improved ability to measure marketing initiatives.</w:t>
      </w:r>
    </w:p>
    <w:p>
      <w:pPr>
        <w:spacing w:after="0" w:line="17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marketing department also supports the sales force with appropriate and relevant materials, including brochures and fact sheets, for use during the sales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seek to introduce new products and regularly offer product innovation to maintain our competitive advantage. We use multidisciplinary teams of highly trained personnel to meet these goals and leverage this expertise across all product lines. We have invested heavily in developing a comprehensive product analysis process to ensure a high degree of product functionality and quality. Maintaining and improving the integrity, quality and functionality of existing products is the responsibility of individual product managers. Product engineering management efforts focus on enterprise-wide strategies, implementing best-practice technology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right="180"/>
        <w:spacing w:after="0" w:line="248" w:lineRule="auto"/>
        <w:rPr>
          <w:sz w:val="20"/>
          <w:szCs w:val="20"/>
          <w:color w:val="auto"/>
        </w:rPr>
      </w:pPr>
      <w:r>
        <w:rPr>
          <w:rFonts w:ascii="Arial" w:cs="Arial" w:eastAsia="Arial" w:hAnsi="Arial"/>
          <w:sz w:val="18"/>
          <w:szCs w:val="18"/>
          <w:color w:val="auto"/>
        </w:rPr>
        <w:t>regimens, maximizing resources and mapping out an integration plan for our entire umbrella of products as well as third-party products. For the years ended December 31, 2021, 2020 and 2019, our research and development expenses were $414.9 million, $399.4 million and $383.7 million, respectively. In addition, we have made significant investments in intellectual property through our acquisitions.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research and development engineers work closely with our marketing and support personnel to ensure that product evolution reflects developments in the marketplace and trends in client requirements. We have generally issued a major release of our core products during the second or third quarter of each fiscal year, including both functional and technical enhancements. We also provide an annual release typically in the fourth quarter to reflect evolving regulatory changes in time to meet clients’ year-end reporting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The market for the software and services we provide is competitive, rapidly evolving and highly sensitive to new product introductions and marketing efforts by industry participants, although high conversion costs can create barriers to adoption of new products or technologies. The market is fragmented and served by both large-scale firms with broad offerings as well as firms that target only local markets or specific types of clients. We also face competition from information systems developed and serviced internally by the IT departments of large financial services and healthcare firms. We believe that we generally compete effectively as to the factors identified for each market below, although some of our existing competitors and potential competitors have substantially greater financial, technical, distribution and marketing resources than we have and may offer products with different functions or features that are more attractive to potential customers than our offerings.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Hedge Funds and Private Markets: </w:t>
      </w:r>
      <w:r>
        <w:rPr>
          <w:rFonts w:ascii="Arial" w:cs="Arial" w:eastAsia="Arial" w:hAnsi="Arial"/>
          <w:sz w:val="16"/>
          <w:szCs w:val="16"/>
          <w:color w:val="auto"/>
        </w:rPr>
        <w:t>In hedge funds and private markets, we compete with multiple vendors that may be categorized into two groups</w:t>
      </w:r>
    </w:p>
    <w:p>
      <w:pPr>
        <w:spacing w:after="0" w:line="35" w:lineRule="exact"/>
        <w:rPr>
          <w:sz w:val="20"/>
          <w:szCs w:val="20"/>
          <w:color w:val="auto"/>
        </w:rPr>
      </w:pPr>
    </w:p>
    <w:p>
      <w:pPr>
        <w:ind w:right="100" w:firstLine="8"/>
        <w:spacing w:after="0" w:line="272" w:lineRule="auto"/>
        <w:tabs>
          <w:tab w:leader="none" w:pos="1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first consists of independent specialized administration providers, which are generally smaller than us, and the second includes prime brokerage and other financial services firms offering fund administration services. Major competitors in this market include large custodian banks, such as State Street, BNY Mellon, Northern Trust and CITCO Group. The key competitive factors in marketing software and services to the alternative investment industry are the need for independent fund administration, features and adaptability of the software, level and quality of customer support and onboarding, level of software development expertise and total cost of ownership. Our strengths in this market include our expertise, our independence, our transparency, our ability to deliver functionality by multiple methods and our technology, including the ownership of our own software.</w:t>
      </w:r>
    </w:p>
    <w:p>
      <w:pPr>
        <w:spacing w:after="0" w:line="16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the field of hedge fund and private market investor portal technology</w:t>
      </w:r>
      <w:r>
        <w:rPr>
          <w:rFonts w:ascii="Arial" w:cs="Arial" w:eastAsia="Arial" w:hAnsi="Arial"/>
          <w:sz w:val="17"/>
          <w:szCs w:val="17"/>
          <w:color w:val="212121"/>
        </w:rPr>
        <w:t>, we compete with point solutions providers, as well as full-suite providers of</w:t>
      </w:r>
      <w:r>
        <w:rPr>
          <w:rFonts w:ascii="Arial" w:cs="Arial" w:eastAsia="Arial" w:hAnsi="Arial"/>
          <w:sz w:val="17"/>
          <w:szCs w:val="17"/>
          <w:color w:val="auto"/>
        </w:rPr>
        <w:t xml:space="preserve"> </w:t>
      </w:r>
      <w:r>
        <w:rPr>
          <w:rFonts w:ascii="Arial" w:cs="Arial" w:eastAsia="Arial" w:hAnsi="Arial"/>
          <w:sz w:val="17"/>
          <w:szCs w:val="17"/>
          <w:color w:val="212121"/>
        </w:rPr>
        <w:t>alternative investments software solutions, such as eFront, a Blackrock Company, and Allvue Systems. Key competitive factors in this market include platform functionality, interoperability with clients’ existing systems, levels of customer support, and reach within the alternative investments community. Our strengths in this market include our technology, portfolio of complementary solutions, offerings for fund administration, professional services capabilities, customer support and large existing user-base of alternative investments professionals.</w:t>
      </w:r>
    </w:p>
    <w:p>
      <w:pPr>
        <w:spacing w:after="0" w:line="17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i w:val="1"/>
          <w:iCs w:val="1"/>
          <w:color w:val="auto"/>
        </w:rPr>
        <w:t xml:space="preserve">Asset Management: </w:t>
      </w:r>
      <w:r>
        <w:rPr>
          <w:rFonts w:ascii="Arial" w:cs="Arial" w:eastAsia="Arial" w:hAnsi="Arial"/>
          <w:sz w:val="17"/>
          <w:szCs w:val="17"/>
          <w:color w:val="auto"/>
        </w:rPr>
        <w:t>In our asset management market, we compete with a variety of other vendors depending on client characteristics such as size,</w:t>
      </w:r>
      <w:r>
        <w:rPr>
          <w:rFonts w:ascii="Arial" w:cs="Arial" w:eastAsia="Arial" w:hAnsi="Arial"/>
          <w:sz w:val="17"/>
          <w:szCs w:val="17"/>
          <w:i w:val="1"/>
          <w:iCs w:val="1"/>
          <w:color w:val="auto"/>
        </w:rPr>
        <w:t xml:space="preserve"> </w:t>
      </w:r>
      <w:r>
        <w:rPr>
          <w:rFonts w:ascii="Arial" w:cs="Arial" w:eastAsia="Arial" w:hAnsi="Arial"/>
          <w:sz w:val="17"/>
          <w:szCs w:val="17"/>
          <w:color w:val="auto"/>
        </w:rPr>
        <w:t>type, location, computing environment and functionality requirements. Competitors in this market range from larger providers of integrated portfolio management systems and outsourcing services, such as BNY Mellon Financial and State Street, to smaller providers of specialized applications and technologies, such as SimCorp and Empower. We also compete with internal processing and IT departments of our clients and prospective clients. The key competitive factors in marketing asset management solutions are the reliability, accuracy, timeliness and reporting of processed information to internal and external customers, features and adaptability of the software, level and quality of customer support, level of software development expertise and return on investment. Our strengths in this market include our technology, our ability to deliver functionality by multiple delivery methods and our ability to provide cost-effective solutions for clients.</w:t>
      </w:r>
    </w:p>
    <w:p>
      <w:pPr>
        <w:spacing w:after="0" w:line="18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In our healthcare markets, we compete with providers of pharmacy and medical claims processing, benefit management, care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business process outsourcing, business intelligence and analytics. We compete with other third-party providers such as United Health, CVS Health, Cigna/Express Scripts and companies that perform their services in-house with licensed or internally developed systems and processes. SS&amp;C Health is not integrated, owned, controlled or merged with any specific health plan. This structure allows us to demonstrate we do not have business model or channel conflicts that drive membership to a particular channel (such as retail, mail or specialty pharmacies), nor do we compete with our health plan clients. Our independent model enables us to be a client’s strategic partner versus a potential competitor. Our competitors’ healthcare administration and health outcomes optimization solutions are primarily based on complete replacement of a payer’s core system. With a component-based approach,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right="740"/>
        <w:spacing w:after="0" w:line="261" w:lineRule="auto"/>
        <w:rPr>
          <w:sz w:val="20"/>
          <w:szCs w:val="20"/>
          <w:color w:val="auto"/>
        </w:rPr>
      </w:pPr>
      <w:r>
        <w:rPr>
          <w:rFonts w:ascii="Arial" w:cs="Arial" w:eastAsia="Arial" w:hAnsi="Arial"/>
          <w:sz w:val="18"/>
          <w:szCs w:val="18"/>
          <w:color w:val="auto"/>
        </w:rPr>
        <w:t>health payer clients can choose core application replacement, or adopt component applications to address areas that offer the most opportunity for improvement, with minimal disruption to business operations.</w:t>
      </w:r>
    </w:p>
    <w:p>
      <w:pPr>
        <w:spacing w:after="0" w:line="171"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In our insurance market, we compete with a variety of vendors depending on client characteristics such as size, type, location,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environment and functionality requirements. Competitors in this market range from large providers of investment operations, accounting and analytics systems, such as State Street (Princeton Financial Systems), Clearwater Analytics and FIS, to smaller providers of specialized applications and services. We also compete with outsourcers, as well as the internal processing and information technology (“IT”) departments of our clients and prospective clients. The key competitive factors in marketing insurance systems are the accuracy, timeliness and reporting of processed information provided to internal and external clients, features and adaptability of the software, level and quality of customer support, economies of scale and return on investment. Our strengths in this market include our years of experience, our top-tier clients, our ability to provide solutions by multiple delivery methods, our cost-effective and customizable solutions and our expertise.</w:t>
      </w:r>
    </w:p>
    <w:p>
      <w:pPr>
        <w:spacing w:after="0" w:line="181" w:lineRule="exact"/>
        <w:rPr>
          <w:sz w:val="20"/>
          <w:szCs w:val="20"/>
          <w:color w:val="auto"/>
        </w:rPr>
      </w:pPr>
    </w:p>
    <w:p>
      <w:pPr>
        <w:jc w:val="both"/>
        <w:ind w:right="100" w:firstLine="509"/>
        <w:spacing w:after="0" w:line="284" w:lineRule="auto"/>
        <w:rPr>
          <w:sz w:val="20"/>
          <w:szCs w:val="20"/>
          <w:color w:val="auto"/>
        </w:rPr>
      </w:pPr>
      <w:r>
        <w:rPr>
          <w:rFonts w:ascii="Arial" w:cs="Arial" w:eastAsia="Arial" w:hAnsi="Arial"/>
          <w:sz w:val="16"/>
          <w:szCs w:val="16"/>
          <w:i w:val="1"/>
          <w:iCs w:val="1"/>
          <w:color w:val="auto"/>
        </w:rPr>
        <w:t xml:space="preserve">Wealth Management: </w:t>
      </w:r>
      <w:r>
        <w:rPr>
          <w:rFonts w:ascii="Arial" w:cs="Arial" w:eastAsia="Arial" w:hAnsi="Arial"/>
          <w:sz w:val="16"/>
          <w:szCs w:val="16"/>
          <w:color w:val="auto"/>
        </w:rPr>
        <w:t>We define the advisory market as independent and regional broker-dealers, wealth managers, trust companies, advisory firms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registered investment advisers. We compete with a variety of vendors, which are generally smaller firms focused solely on the advisory market. Our competitors include Envestnet, Orion, Addepar, SEI’s wealth management platform and custodians such as Charles Schwab, Fidelity and Raymond James. Our strengths in this market include our premier platforms with flexible and on-demand delivery models and our complementary products and services.</w:t>
      </w:r>
    </w:p>
    <w:p>
      <w:pPr>
        <w:spacing w:after="0" w:line="155"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Banking: </w:t>
      </w:r>
      <w:r>
        <w:rPr>
          <w:rFonts w:ascii="Arial" w:cs="Arial" w:eastAsia="Arial" w:hAnsi="Arial"/>
          <w:sz w:val="18"/>
          <w:szCs w:val="18"/>
          <w:color w:val="auto"/>
        </w:rPr>
        <w:t>In our banking market, there are multiple software and services vendors that are either smaller providers of specialized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or larger providers of enterprise systems, such as FIS and Misys. We also compete with outsourcers as well as the internal processing and IT departments of our clients and prospective clients. The key competitive factors in marketing banking software and services include accuracy and timeliness of processed information provided to clients, features and adaptability of the software, level and quality of customer support, level of software development expertise, total cost of ownership and return on investment. Our strengths in this market include our flexible technology platform and our ability to provide integrated solutions for our clients.</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In our retirement solutions market, we compete with a variety of vendors and service providers depending on client characteristics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size, type and functional requirements. Competitors in this market range from large firms whose principal businesses include providing recordkeeping services, such as Empower, Fidelity and Vanguard, to providers of specialized applications and technologies, such as FIS. We also compete with outsource providers like Infosys, TCS and Wipro. The key competitive factors in marketing retirement solutions include service and the accuracy of information provided to customers. Our strengths in this market include our ability to provide a wide breadth of capability and our cost-effective solutions to our clients.</w:t>
      </w:r>
    </w:p>
    <w:p>
      <w:pPr>
        <w:spacing w:after="0" w:line="159"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i w:val="1"/>
          <w:iCs w:val="1"/>
          <w:color w:val="auto"/>
        </w:rPr>
        <w:t xml:space="preserve">Commercial Lending: </w:t>
      </w:r>
      <w:r>
        <w:rPr>
          <w:rFonts w:ascii="Arial" w:cs="Arial" w:eastAsia="Arial" w:hAnsi="Arial"/>
          <w:sz w:val="16"/>
          <w:szCs w:val="16"/>
          <w:color w:val="auto"/>
        </w:rPr>
        <w:t>In our commercial lending market, we compete with a variety of other vendors depending on client characteristics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size, type, location and functional requirements. Competitors in this market range from large competitors whose principal businesses are not in the loan management business, such as PNC Financial Services (Midland Loan Services) and McCracken Financial Solutions Corporation, to smaller providers of specialized applications and technologies. The key competitive factors in marketing commercial lending solutions are the accuracy, timeliness and reporting of processed information provided to customers, level of software development expertise, level and quality of customer support and features and adaptability of the software. Our strength in this market is our ability to provide both broadly diversified and customizable solutions to our clients.</w:t>
      </w:r>
    </w:p>
    <w:p>
      <w:pPr>
        <w:spacing w:after="0" w:line="161"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i w:val="1"/>
          <w:iCs w:val="1"/>
          <w:color w:val="auto"/>
        </w:rPr>
        <w:t xml:space="preserve">Virtual Data Rooms: </w:t>
      </w:r>
      <w:r>
        <w:rPr>
          <w:rFonts w:ascii="Arial" w:cs="Arial" w:eastAsia="Arial" w:hAnsi="Arial"/>
          <w:sz w:val="16"/>
          <w:szCs w:val="16"/>
          <w:color w:val="auto"/>
        </w:rPr>
        <w:t>In our virtual data rooms ("VDRs") market</w:t>
      </w:r>
      <w:r>
        <w:rPr>
          <w:rFonts w:ascii="Arial" w:cs="Arial" w:eastAsia="Arial" w:hAnsi="Arial"/>
          <w:sz w:val="16"/>
          <w:szCs w:val="16"/>
          <w:color w:val="212121"/>
        </w:rPr>
        <w:t>, we compete for deals involving VDRs that facilitate strategic financial transactions</w:t>
      </w:r>
      <w:r>
        <w:rPr>
          <w:rFonts w:ascii="Arial" w:cs="Arial" w:eastAsia="Arial" w:hAnsi="Arial"/>
          <w:sz w:val="16"/>
          <w:szCs w:val="16"/>
          <w:i w:val="1"/>
          <w:iCs w:val="1"/>
          <w:color w:val="auto"/>
        </w:rPr>
        <w:t xml:space="preserve"> </w:t>
      </w:r>
      <w:r>
        <w:rPr>
          <w:rFonts w:ascii="Arial" w:cs="Arial" w:eastAsia="Arial" w:hAnsi="Arial"/>
          <w:sz w:val="16"/>
          <w:szCs w:val="16"/>
          <w:color w:val="212121"/>
        </w:rPr>
        <w:t>and secure document exchange use cases. For mergers and acquisitions use cases, our principal direct competitors include global services and technology vendors such as Datasite and Donnelly Financial Solutions. In addition, we compete with a range of niche and region-specific competitors depending on client size, location and requirements. For debt capital and secure collaboration use cases, we face competition from software solutions vendors such as IHS Markit and FIS and indirect competition from general-purpose file-sharing solutions such as Box and Dropbox. Key competitive factors in the VDR marker include platform flexibility and quality; fit-for-purpose workflow capabilities and services delivery. Our strengths in this market include our technology, support for industry-specific workflows, experience, reputation, approach to platform security and professional services.</w:t>
      </w:r>
    </w:p>
    <w:p>
      <w:pPr>
        <w:spacing w:after="0" w:line="1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i w:val="1"/>
          <w:iCs w:val="1"/>
          <w:color w:val="auto"/>
        </w:rPr>
        <w:t xml:space="preserve">Trading Software: </w:t>
      </w:r>
      <w:r>
        <w:rPr>
          <w:rFonts w:ascii="Arial" w:cs="Arial" w:eastAsia="Arial" w:hAnsi="Arial"/>
          <w:sz w:val="18"/>
          <w:szCs w:val="18"/>
          <w:color w:val="auto"/>
        </w:rPr>
        <w:t>In our trading software market, we compete with a variety of other vendors depending on client characteristics such as size, type,</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and functionality requirements. Competitors in this market range from small providers that specialize in trading capabilities (such as Flextrade) to larger providers that offer trading as part of a broader portfolio of capabilities (Bloomberg and State Street). We also often compete with internal proprietary tools developed by our clients and prospective clients. The key competitive factors in marketing trading software solutions include flexible workflows, easy-to-use interfaces, reliability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right="140"/>
        <w:spacing w:after="0" w:line="248" w:lineRule="auto"/>
        <w:rPr>
          <w:sz w:val="20"/>
          <w:szCs w:val="20"/>
          <w:color w:val="auto"/>
        </w:rPr>
      </w:pPr>
      <w:r>
        <w:rPr>
          <w:rFonts w:ascii="Arial" w:cs="Arial" w:eastAsia="Arial" w:hAnsi="Arial"/>
          <w:sz w:val="18"/>
          <w:szCs w:val="18"/>
          <w:color w:val="auto"/>
        </w:rPr>
        <w:t>managing real-time data to internal and external parties, product features and adaptability of the software. Our strengths in this market include our client services model and managed services offering, technology, our ability to deliver functionality by multiple delivery methods and our ability to package our offerings with other SS&amp;C products and services for complete front-to-back support.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rely on a combination of trade secret, copyright, trademark and patent law, nondisclosure agreements and technical measures to protect our proprietary technology. We have registered trademarks for many of our products and will continue to evaluate the registration of additional trademarks as appropriate. We generally enter into confidentiality and/or license agreements with our employees, distributors, clients and potential clients. We seek to protect our software, documentation and other written materials under trade secret and copyright laws, which afford limited protection. These efforts may be insufficient to prevent third-parties from asserting intellectual property rights in our technology. Furthermore, it may be possible for unauthorized third-parties to copy portions of our products or to reverse engineer or otherwise obtain and use proprietary information, and third-parties may assert ownership rights in our proprietary technology. For additional risks relating to our proprietary technology, please see “Risk Factors — Risks “Relating to Our Business”. 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18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Rapid technological change characterizes the software development industry. We believe factors such as the technological and creative skills of our personnel, new product developments, frequent product enhancements, name recognition and reliable service and support are more important to establishing and maintaining a leadership position than legal protections of our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December 31, 2021, we had over 24,900 full-time employees, including approximately 14,200 in our international operations, consisting of approximately:</w:t>
      </w:r>
    </w:p>
    <w:p>
      <w:pPr>
        <w:spacing w:after="0" w:line="6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3,500 employees in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19,000 employees in client support, consulting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1,100 employees in sales and marketing;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1,300 employees in finance and administration.</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ability to attract, train and retain highly skilled employees is critical to our success. We value a diverse workforce and an inclusive culture made up of smart people and superb technology. We believe strong collaboration and innovation allow us to be successful. We view diversity as one of our biggest strengths and advantages as a global organization. Our employees have widely diverse cultural backgrounds and life experiences. We value individualism and distinct viewpoints and believe that we can all learn something from each other. We are committed to being an organization that welcomes, celebrates and thrives on diversity. The breadth of our products and services, our global office network and our clientele affords opportunities for mobility and advancement within the Company for people who make a positive impact. We monitor and evaluate various turnover and attrition metrics throughout our management teams. No employee is covered by any collective bargaining agreement.</w:t>
      </w:r>
    </w:p>
    <w:p>
      <w:pPr>
        <w:spacing w:after="0" w:line="166" w:lineRule="exact"/>
        <w:rPr>
          <w:sz w:val="20"/>
          <w:szCs w:val="20"/>
          <w:color w:val="auto"/>
        </w:rPr>
      </w:pPr>
    </w:p>
    <w:p>
      <w:pPr>
        <w:ind w:right="80" w:firstLine="578"/>
        <w:spacing w:after="0" w:line="255" w:lineRule="auto"/>
        <w:rPr>
          <w:sz w:val="20"/>
          <w:szCs w:val="20"/>
          <w:color w:val="auto"/>
        </w:rPr>
      </w:pPr>
      <w:r>
        <w:rPr>
          <w:rFonts w:ascii="Arial" w:cs="Arial" w:eastAsia="Arial" w:hAnsi="Arial"/>
          <w:sz w:val="17"/>
          <w:szCs w:val="17"/>
          <w:color w:val="auto"/>
        </w:rPr>
        <w:t>We have a well-designed rewards program, which benefits both our employees and us by ensuring the alignment of rewards with goals and expectations. Compensation comprises a combination of base salary, bonus and equity. Our compensation program is designed to promote a performance-driven work culture that drives our growth and provides competitive compensation opportunities to attract and retain top performers. We provide benefits programs that are flexible, comprehensive and competitive. While specifics may vary by country, our benefits package generally includes healthcare coverage, retirement benefits, life and disability insurance, wellness and employee assistance programs, flexible leave policies, 401(k), tuition/professional reimbursement program and more. We encourage employees to take time off to maintain a healthy work/life balance when they need it. In addition, we offer professional development and tuition reimbursement for degree programs and job-related coursework.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were incorporated in Delaware in July 2005, as the successor to a corporation originally formed in Connecticut in March 1986. Our principal executive offices are located at 80 Lamberton Road, Windsor, Connecticut 06095, and the telephone number of our principal executive offices is (860) 298-4500.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80" w:firstLine="509"/>
        <w:spacing w:after="0" w:line="239" w:lineRule="auto"/>
        <w:rPr>
          <w:sz w:val="20"/>
          <w:szCs w:val="20"/>
          <w:color w:val="auto"/>
        </w:rPr>
      </w:pPr>
      <w:r>
        <w:rPr>
          <w:rFonts w:ascii="Arial" w:cs="Arial" w:eastAsia="Arial" w:hAnsi="Arial"/>
          <w:sz w:val="18"/>
          <w:szCs w:val="18"/>
          <w:color w:val="auto"/>
        </w:rPr>
        <w:t>Our website address is www.ssctech.com. We make available, free of charge, on our website our annual reports on Form 10-K, quarterly reports on Form 10-Q, current reports on Form 8-K, Proxy Statements for the annual stockholder meetings and amendments thereto that we have filed or furnished with the SEC, as soon as reasonably practicable after we electronically file them with the SEC. The same information is available in print to any stockholder who submits a written request to our Investor Relations department. We are not, however, including the information contained on our website, or information that may be accessed through links on our website, as part of, or incorporating such information by reference into, this annual report on Form 10-K. The SEC maintains an internet site at www.sec.gov that contains reports, proxy and information statements, and other information regarding issuers that file electronically with the SEC.</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carefully consider the following risk factors, in addition to other information included in this annual report on Form 10-K and the other reports we submit to the SEC. If any of the following risks materialize, it could materially affect our business, operating results, cash flows and financial condition and possibly lead to a decline in our stock price. The risks and uncertainties described below are those that we have identified as material, but are not the only risks and uncertainties that we face. Our business is also subject to general risks and uncertainties that affect many other companies. Additional risks and uncertainties not currently known to us or that we have not currently identified as being material may also impair our business, operating results, cash flows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The following is a summary of the material risks and uncertainties that could adversely affect our business, financial condition and results of operations. You should read this summary together with the more detailed description of each risk factor contained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w:t>
      </w:r>
    </w:p>
    <w:p>
      <w:pPr>
        <w:spacing w:after="0" w:line="104" w:lineRule="exact"/>
        <w:rPr>
          <w:sz w:val="20"/>
          <w:szCs w:val="20"/>
          <w:color w:val="auto"/>
        </w:rPr>
      </w:pPr>
    </w:p>
    <w:p>
      <w:pPr>
        <w:ind w:left="560" w:right="100" w:hanging="507"/>
        <w:spacing w:after="0" w:line="26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the COVID-19 pandemic, or the perception of its effects, on our operations and the operations of our customers, could have a material adverse effect on our business, financial condition, results of operations or cash flows;</w:t>
      </w:r>
    </w:p>
    <w:p>
      <w:pPr>
        <w:spacing w:after="0" w:line="62" w:lineRule="exact"/>
        <w:rPr>
          <w:rFonts w:ascii="Arial" w:cs="Arial" w:eastAsia="Arial" w:hAnsi="Arial"/>
          <w:sz w:val="18"/>
          <w:szCs w:val="18"/>
          <w:color w:val="auto"/>
        </w:rPr>
      </w:pPr>
    </w:p>
    <w:p>
      <w:pPr>
        <w:ind w:left="560" w:right="220" w:hanging="507"/>
        <w:spacing w:after="0" w:line="248"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spacing w:after="0" w:line="73"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achieve the anticipated benefits from our acquisitions and may face difficulties in integrating them;</w:t>
      </w:r>
    </w:p>
    <w:p>
      <w:pPr>
        <w:spacing w:after="0" w:line="103" w:lineRule="exact"/>
        <w:rPr>
          <w:rFonts w:ascii="Arial" w:cs="Arial" w:eastAsia="Arial" w:hAnsi="Arial"/>
          <w:sz w:val="18"/>
          <w:szCs w:val="18"/>
          <w:color w:val="auto"/>
        </w:rPr>
      </w:pPr>
    </w:p>
    <w:p>
      <w:pPr>
        <w:ind w:left="560" w:right="240" w:hanging="507"/>
        <w:spacing w:after="0" w:line="26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consolidations or failures among our clients or within their respective industries could adversely affect us by causing a decline in demand for our products and services;</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revenues may decrease due to declines in the levels of participation and activity in the securities markets;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 has become increasingly focused on the hedge fund industry, and we are subject to the variations and fluctuations of that industry;</w:t>
      </w:r>
    </w:p>
    <w:p>
      <w:pPr>
        <w:spacing w:after="0" w:line="126" w:lineRule="exact"/>
        <w:rPr>
          <w:rFonts w:ascii="Arial" w:cs="Arial" w:eastAsia="Arial" w:hAnsi="Arial"/>
          <w:sz w:val="16"/>
          <w:szCs w:val="16"/>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retain and attract clients, our revenues and net income would remain stagnant or decline;</w:t>
      </w:r>
    </w:p>
    <w:p>
      <w:pPr>
        <w:spacing w:after="0" w:line="103" w:lineRule="exact"/>
        <w:rPr>
          <w:rFonts w:ascii="Arial" w:cs="Arial" w:eastAsia="Arial" w:hAnsi="Arial"/>
          <w:sz w:val="18"/>
          <w:szCs w:val="18"/>
          <w:color w:val="auto"/>
        </w:rPr>
      </w:pPr>
    </w:p>
    <w:p>
      <w:pPr>
        <w:ind w:left="560" w:right="240" w:hanging="507"/>
        <w:spacing w:after="0" w:line="26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cannot attract, train and retain qualified employees, we may not be able to provide adequate technical expertise and customer service to our clients;</w:t>
      </w:r>
    </w:p>
    <w:p>
      <w:pPr>
        <w:spacing w:after="0" w:line="62" w:lineRule="exact"/>
        <w:rPr>
          <w:rFonts w:ascii="Arial" w:cs="Arial" w:eastAsia="Arial" w:hAnsi="Arial"/>
          <w:sz w:val="18"/>
          <w:szCs w:val="18"/>
          <w:color w:val="auto"/>
        </w:rPr>
      </w:pPr>
    </w:p>
    <w:p>
      <w:pPr>
        <w:ind w:left="560" w:right="300" w:hanging="507"/>
        <w:spacing w:after="0" w:line="26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significant competition with respect to our products and services, which may result in price reductions, reduced gross margins or loss of market share;</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software-enabled services may be subject to disruptions, attacks or failures that could adversely affect our reputation and our business;</w:t>
      </w:r>
    </w:p>
    <w:p>
      <w:pPr>
        <w:spacing w:after="0" w:line="115" w:lineRule="exact"/>
        <w:rPr>
          <w:rFonts w:ascii="Arial" w:cs="Arial" w:eastAsia="Arial" w:hAnsi="Arial"/>
          <w:sz w:val="17"/>
          <w:szCs w:val="17"/>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our operating results, including our profit margins and profitability, may fluctuate over time;</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tax expense or additional tax exposures could affect our future profitability;</w:t>
      </w:r>
    </w:p>
    <w:p>
      <w:pPr>
        <w:spacing w:after="0" w:line="103" w:lineRule="exact"/>
        <w:rPr>
          <w:rFonts w:ascii="Arial" w:cs="Arial" w:eastAsia="Arial" w:hAnsi="Arial"/>
          <w:sz w:val="18"/>
          <w:szCs w:val="18"/>
          <w:color w:val="auto"/>
        </w:rPr>
      </w:pPr>
    </w:p>
    <w:p>
      <w:pPr>
        <w:ind w:left="560" w:right="140" w:hanging="507"/>
        <w:spacing w:after="0" w:line="261"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third-party service providers on which we rely, or other third-parties with which we do business or which facilitate our business activities, suffer disruptions to their IT systems, our business could be harmed;</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subaccounting services performed by brokerage firms has and will continue to adversely impact our revenues;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catastrophic events may adversely affect our 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ind w:left="507" w:right="280" w:hanging="507"/>
        <w:spacing w:after="0" w:line="261" w:lineRule="auto"/>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substantial operations and a significant number of employees in India and we are therefore subject to regulatory, economic and political uncertainties in India;</w:t>
      </w:r>
    </w:p>
    <w:p>
      <w:pPr>
        <w:spacing w:after="0" w:line="62"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on our senior management and their continued performance and productivity;</w:t>
      </w:r>
    </w:p>
    <w:p>
      <w:pPr>
        <w:spacing w:after="0" w:line="103" w:lineRule="exact"/>
        <w:rPr>
          <w:rFonts w:ascii="Arial" w:cs="Arial" w:eastAsia="Arial" w:hAnsi="Arial"/>
          <w:sz w:val="18"/>
          <w:szCs w:val="18"/>
          <w:color w:val="auto"/>
        </w:rPr>
      </w:pPr>
    </w:p>
    <w:p>
      <w:pPr>
        <w:jc w:val="both"/>
        <w:ind w:left="507" w:right="160" w:hanging="507"/>
        <w:spacing w:after="0" w:line="248" w:lineRule="auto"/>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73"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adapt to rapidly changing technology and evolving industry standards and regulatory requirements;</w:t>
      </w:r>
    </w:p>
    <w:p>
      <w:pPr>
        <w:spacing w:after="0" w:line="103" w:lineRule="exact"/>
        <w:rPr>
          <w:rFonts w:ascii="Arial" w:cs="Arial" w:eastAsia="Arial" w:hAnsi="Arial"/>
          <w:sz w:val="18"/>
          <w:szCs w:val="18"/>
          <w:color w:val="auto"/>
        </w:rPr>
      </w:pPr>
    </w:p>
    <w:p>
      <w:pPr>
        <w:ind w:left="507" w:right="20" w:hanging="507"/>
        <w:spacing w:after="0" w:line="261" w:lineRule="auto"/>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undetected software design defects, errors or failures, or employee errors, may result in defects, delays, loss of our clients’ data, litigation against us and harm to our reputation and business;</w:t>
      </w:r>
    </w:p>
    <w:p>
      <w:pPr>
        <w:spacing w:after="0" w:line="62" w:lineRule="exact"/>
        <w:rPr>
          <w:rFonts w:ascii="Arial" w:cs="Arial" w:eastAsia="Arial" w:hAnsi="Arial"/>
          <w:sz w:val="18"/>
          <w:szCs w:val="18"/>
          <w:color w:val="auto"/>
        </w:rPr>
      </w:pPr>
    </w:p>
    <w:p>
      <w:pPr>
        <w:ind w:left="507" w:right="340" w:hanging="507"/>
        <w:spacing w:after="0" w:line="248" w:lineRule="auto"/>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73"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revenues are derived, and a substantial portion of our operations are conducted, outside the U.S.;</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that could negatively impact our operating results and financial condition;</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investments in funds and our joint ventures could decline in value;</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control certain businesses in which we have significant ownership;</w:t>
      </w:r>
    </w:p>
    <w:p>
      <w:pPr>
        <w:spacing w:after="0" w:line="103" w:lineRule="exact"/>
        <w:rPr>
          <w:rFonts w:ascii="Arial" w:cs="Arial" w:eastAsia="Arial" w:hAnsi="Arial"/>
          <w:sz w:val="18"/>
          <w:szCs w:val="18"/>
          <w:color w:val="auto"/>
        </w:rPr>
      </w:pPr>
    </w:p>
    <w:p>
      <w:pPr>
        <w:ind w:left="507" w:right="360" w:hanging="507"/>
        <w:spacing w:after="0" w:line="261" w:lineRule="auto"/>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some of our joint venture investments are subject to buy-sell agreements, which could, among other things, restrict us from selling our interests even if we were to determine it would be prudent to do so;</w:t>
      </w:r>
    </w:p>
    <w:p>
      <w:pPr>
        <w:spacing w:after="0" w:line="62" w:lineRule="exact"/>
        <w:rPr>
          <w:rFonts w:ascii="Arial" w:cs="Arial" w:eastAsia="Arial" w:hAnsi="Arial"/>
          <w:sz w:val="18"/>
          <w:szCs w:val="18"/>
          <w:color w:val="auto"/>
        </w:rPr>
      </w:pPr>
    </w:p>
    <w:p>
      <w:pPr>
        <w:ind w:left="507" w:hanging="507"/>
        <w:spacing w:after="0"/>
        <w:tabs>
          <w:tab w:leader="none" w:pos="5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material weakness in our internal controls could have a material adverse effect on us;</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18"/>
          <w:szCs w:val="18"/>
          <w:color w:val="auto"/>
        </w:rPr>
        <w:t>Legal or Regulatory Risks</w:t>
      </w:r>
    </w:p>
    <w:p>
      <w:pPr>
        <w:spacing w:after="0" w:line="104" w:lineRule="exact"/>
        <w:rPr>
          <w:sz w:val="20"/>
          <w:szCs w:val="20"/>
          <w:color w:val="auto"/>
        </w:rPr>
      </w:pPr>
    </w:p>
    <w:p>
      <w:pPr>
        <w:ind w:left="507" w:hanging="507"/>
        <w:spacing w:after="0"/>
        <w:tabs>
          <w:tab w:leader="none" w:pos="5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expose us to risks of claims and losses that could be significant and damage our reputation and business prospects;</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is subject to evolving regulations and increased scrutiny from regulators;</w:t>
      </w:r>
    </w:p>
    <w:p>
      <w:pPr>
        <w:spacing w:after="0" w:line="103" w:lineRule="exact"/>
        <w:rPr>
          <w:rFonts w:ascii="Arial" w:cs="Arial" w:eastAsia="Arial" w:hAnsi="Arial"/>
          <w:sz w:val="18"/>
          <w:szCs w:val="18"/>
          <w:color w:val="auto"/>
        </w:rPr>
      </w:pPr>
    </w:p>
    <w:p>
      <w:pPr>
        <w:ind w:left="507" w:right="200" w:hanging="507"/>
        <w:spacing w:after="0" w:line="261" w:lineRule="auto"/>
        <w:tabs>
          <w:tab w:leader="none" w:pos="5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role as a fund administrator has in the past, and may in the future, expose us to claims and litigation from clients, their investors, regulators or other third-parties;</w:t>
      </w:r>
    </w:p>
    <w:p>
      <w:pPr>
        <w:spacing w:after="0" w:line="62" w:lineRule="exact"/>
        <w:rPr>
          <w:rFonts w:ascii="Arial" w:cs="Arial" w:eastAsia="Arial" w:hAnsi="Arial"/>
          <w:sz w:val="18"/>
          <w:szCs w:val="18"/>
          <w:color w:val="auto"/>
        </w:rPr>
      </w:pPr>
    </w:p>
    <w:p>
      <w:pPr>
        <w:ind w:left="507" w:right="320" w:hanging="507"/>
        <w:spacing w:after="0" w:line="261" w:lineRule="auto"/>
        <w:tabs>
          <w:tab w:leader="none" w:pos="5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our platform could be used to collect and store personal information of our customers’ employees or customers, privacy concerns could result in additional cost and liability to us or inhibit use of our platform;</w:t>
      </w:r>
    </w:p>
    <w:p>
      <w:pPr>
        <w:spacing w:after="0" w:line="62" w:lineRule="exact"/>
        <w:rPr>
          <w:rFonts w:ascii="Arial" w:cs="Arial" w:eastAsia="Arial" w:hAnsi="Arial"/>
          <w:sz w:val="18"/>
          <w:szCs w:val="18"/>
          <w:color w:val="auto"/>
        </w:rPr>
      </w:pPr>
    </w:p>
    <w:p>
      <w:pPr>
        <w:ind w:left="507" w:right="260" w:hanging="507"/>
        <w:spacing w:after="0" w:line="261" w:lineRule="auto"/>
        <w:tabs>
          <w:tab w:leader="none" w:pos="5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become subject to litigation regarding our or a third-party’s intellectual property rights or other confidential or proprietary information, which could seriously harm our business and require us to incur significant costs;</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8"/>
          <w:szCs w:val="18"/>
          <w:color w:val="auto"/>
        </w:rPr>
        <w:t>Risks Relating to Our Indebtedness</w:t>
      </w:r>
    </w:p>
    <w:p>
      <w:pPr>
        <w:spacing w:after="0" w:line="104" w:lineRule="exact"/>
        <w:rPr>
          <w:sz w:val="20"/>
          <w:szCs w:val="20"/>
          <w:color w:val="auto"/>
        </w:rPr>
      </w:pPr>
    </w:p>
    <w:p>
      <w:pPr>
        <w:ind w:left="507" w:hanging="507"/>
        <w:spacing w:after="0"/>
        <w:tabs>
          <w:tab w:leader="none" w:pos="5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operations;</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service our indebtedness, we require a significant amount of cash. Our ability to generate cash depends on many factors beyond our control;</w:t>
      </w:r>
    </w:p>
    <w:p>
      <w:pPr>
        <w:spacing w:after="0" w:line="126" w:lineRule="exact"/>
        <w:rPr>
          <w:rFonts w:ascii="Arial" w:cs="Arial" w:eastAsia="Arial" w:hAnsi="Arial"/>
          <w:sz w:val="16"/>
          <w:szCs w:val="16"/>
          <w:color w:val="auto"/>
        </w:rPr>
      </w:pPr>
    </w:p>
    <w:p>
      <w:pPr>
        <w:ind w:left="507" w:hanging="507"/>
        <w:spacing w:after="0"/>
        <w:tabs>
          <w:tab w:leader="none" w:pos="5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restrictive covenants in the agreements governing our indebtedness may restrict our ability to pursue our business strategies;</w:t>
      </w:r>
    </w:p>
    <w:p>
      <w:pPr>
        <w:spacing w:after="0" w:line="103" w:lineRule="exact"/>
        <w:rPr>
          <w:rFonts w:ascii="Arial" w:cs="Arial" w:eastAsia="Arial" w:hAnsi="Arial"/>
          <w:sz w:val="18"/>
          <w:szCs w:val="18"/>
          <w:color w:val="auto"/>
        </w:rPr>
      </w:pPr>
    </w:p>
    <w:p>
      <w:pPr>
        <w:ind w:left="507" w:hanging="507"/>
        <w:spacing w:after="0" w:line="261" w:lineRule="auto"/>
        <w:tabs>
          <w:tab w:leader="none" w:pos="5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replacement of London Interbank Offered Rate (“LIBOR”) with an alternative reference rate may adversely affect interest expense related to our outstanding debt;</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8"/>
          <w:szCs w:val="18"/>
          <w:color w:val="auto"/>
        </w:rPr>
        <w:t>Risks Relating to Ownership of Our Common Stock</w:t>
      </w:r>
    </w:p>
    <w:p>
      <w:pPr>
        <w:spacing w:after="0" w:line="104" w:lineRule="exact"/>
        <w:rPr>
          <w:sz w:val="20"/>
          <w:szCs w:val="20"/>
          <w:color w:val="auto"/>
        </w:rPr>
      </w:pPr>
    </w:p>
    <w:p>
      <w:pPr>
        <w:ind w:left="507" w:right="380" w:hanging="507"/>
        <w:spacing w:after="0" w:line="261" w:lineRule="auto"/>
        <w:tabs>
          <w:tab w:leader="none" w:pos="5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62" w:lineRule="exact"/>
        <w:rPr>
          <w:rFonts w:ascii="Arial" w:cs="Arial" w:eastAsia="Arial" w:hAnsi="Arial"/>
          <w:sz w:val="18"/>
          <w:szCs w:val="18"/>
          <w:color w:val="auto"/>
        </w:rPr>
      </w:pPr>
    </w:p>
    <w:p>
      <w:pPr>
        <w:ind w:left="507" w:hanging="507"/>
        <w:spacing w:after="0"/>
        <w:tabs>
          <w:tab w:leader="none" w:pos="5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 in our common stock;</w:t>
      </w:r>
    </w:p>
    <w:p>
      <w:pPr>
        <w:spacing w:after="0" w:line="103" w:lineRule="exact"/>
        <w:rPr>
          <w:rFonts w:ascii="Arial" w:cs="Arial" w:eastAsia="Arial" w:hAnsi="Arial"/>
          <w:sz w:val="18"/>
          <w:szCs w:val="18"/>
          <w:color w:val="auto"/>
        </w:rPr>
      </w:pPr>
    </w:p>
    <w:p>
      <w:pPr>
        <w:ind w:left="507" w:hanging="507"/>
        <w:spacing w:after="0"/>
        <w:tabs>
          <w:tab w:leader="none" w:pos="5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William C. Stone, our Chairman of the Board and Chief Executive Officer, exerts significant control over our Company;</w:t>
      </w:r>
    </w:p>
    <w:p>
      <w:pPr>
        <w:spacing w:after="0" w:line="21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327660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7"/>
          </w:cols>
          <w:pgMar w:left="373" w:top="436" w:right="339" w:bottom="1440" w:gutter="0" w:footer="0" w:header="0"/>
        </w:sectPr>
      </w:pPr>
    </w:p>
    <w:bookmarkStart w:id="20" w:name="page21"/>
    <w:bookmarkEnd w:id="20"/>
    <w:p>
      <w:pPr>
        <w:ind w:left="560" w:hanging="507"/>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SS&amp;C Holdings is a holding company with no operations or assets of its own and its ability to pay dividends is limited or otherwise restricted;</w:t>
      </w:r>
    </w:p>
    <w:p>
      <w:pPr>
        <w:spacing w:after="0" w:line="115" w:lineRule="exact"/>
        <w:rPr>
          <w:rFonts w:ascii="Arial" w:cs="Arial" w:eastAsia="Arial" w:hAnsi="Arial"/>
          <w:sz w:val="17"/>
          <w:szCs w:val="17"/>
          <w:color w:val="auto"/>
        </w:rPr>
      </w:pPr>
    </w:p>
    <w:p>
      <w:pPr>
        <w:ind w:left="560" w:hanging="507"/>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management has broad discretion in the use of our existing cash resources and may not use such funds effectively; and</w:t>
      </w:r>
    </w:p>
    <w:p>
      <w:pPr>
        <w:spacing w:after="0" w:line="103" w:lineRule="exact"/>
        <w:rPr>
          <w:rFonts w:ascii="Arial" w:cs="Arial" w:eastAsia="Arial" w:hAnsi="Arial"/>
          <w:sz w:val="18"/>
          <w:szCs w:val="18"/>
          <w:color w:val="auto"/>
        </w:rPr>
      </w:pPr>
    </w:p>
    <w:p>
      <w:pPr>
        <w:ind w:left="560" w:right="140" w:hanging="507"/>
        <w:spacing w:after="0" w:line="261"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in our certificate of incorporation and bylaws might discourage, delay or prevent a change of control of our Company or changes in our management and, therefore, depress the trading price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The effect of the COVID-19 pandemic, or the perception of its effects, on our operations and the operations of our customers, could have a material adverse effect on our business, financial condition, results of operations or cash flows.</w:t>
      </w:r>
    </w:p>
    <w:p>
      <w:pPr>
        <w:spacing w:after="0" w:line="6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COVID-19 pandemic continues to create significant volatility, uncertainty and economic disruption in the markets in which we operate. Although initial measures to limit the spread of COVID-19 have been relaxed or terminated in most jurisdictions, new variants have been identified, and this may lead to new measures being put back in place if COVID-19 spreads further in the future. While we were not materially affected in 2021, the potential effects on our business continue to remain uncertain and difficult to predict due to ongoing uncertainty about the duration, magnitude and impact of the COVID-19 pandemic, not to mention the volatile regional and global economic conditions resulting from the pandemic. Some of these potential effects could include:</w:t>
      </w:r>
    </w:p>
    <w:p>
      <w:pPr>
        <w:spacing w:after="0" w:line="27" w:lineRule="exact"/>
        <w:rPr>
          <w:sz w:val="20"/>
          <w:szCs w:val="20"/>
          <w:color w:val="auto"/>
        </w:rPr>
      </w:pPr>
    </w:p>
    <w:p>
      <w:pPr>
        <w:ind w:left="1020" w:right="6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failures, errors, delays, disruptions or instability affecting our key products or services, vendors, suppliers, distributors, IT platforms, data centers, production and delivery systems, applications or processes;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volatile market conditions and reduced demand for our products and services; and</w:t>
      </w:r>
    </w:p>
    <w:p>
      <w:pPr>
        <w:spacing w:after="0" w:line="49"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amplified strain on our workforce, management and other resources, including employee absenteeism, complications from working remotely and illness of key personnel.</w:t>
      </w:r>
    </w:p>
    <w:p>
      <w:pPr>
        <w:spacing w:after="0" w:line="6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These effects, alone or taken together, could have a material adverse effect on our business, financial condition or results of operations, which could be exacerbated if the pandemic is sustained or prolonged. We cannot assure you that we will be successful in our attempts to mitigate any negative effects of this pandemic on our business.</w:t>
      </w:r>
    </w:p>
    <w:p>
      <w:pPr>
        <w:spacing w:after="0" w:line="7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closely monitoring the impact of the pandemic, continually assessing its potential effects on our business and taking appropriate actions in accordance with the recommendations and requirements of relevant authorities. The extent to which the pandemic may impact our operational and financial performance remains uncertain and will depend on many factors outside of our control, including the timing, extent, trajectory and duration of the pandemic; the emergence, spread and severity of new variants; the development, availability, distribution and effectiveness of vaccines and treatments; the imposition of protective public safety measures, including vaccine and testing mandates; and the impact of the pandemic on the global economy. While these factors are uncertain, the COVID-19 pandemic or the perception of its effects could have a material adverse effect on our business, financial condition, results of operations or cash flows.</w:t>
      </w:r>
    </w:p>
    <w:p>
      <w:pPr>
        <w:spacing w:after="0" w:line="83"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spacing w:after="0" w:line="1"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We derive our revenues from the delivery of products and services to clients primarily in the financial services and healthcare industries. Demand for our products and services among companies in those industries could decline for many reasons. If demand for our products or services decreases or if any of the industries we serve decline, our business and our operating results could be adversely affected.</w:t>
      </w:r>
    </w:p>
    <w:p>
      <w:pPr>
        <w:spacing w:after="0" w:line="5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global economy has in the past been subject to severe disruptions in the credit markets, increased uncertainty about economic, political, global trade and market conditions, and periods of heightened volatility in a variety of financial and other markets, including commodity prices and currency rates. Our clients include a range of organizations in the financial services industry whose success is linked to the health of the economy generally and of the financial markets specifically. Unfavorable or uncertain economic conditions, economic instability or economic downturns could: (i) cause our clients or prospective clients to cancel, reduce or delay planned expenditures for our products and services; (ii) impair our clients’ ability to pay for products they have purchased; or (iii) cause our clients to process fewer transactions through our software-enabled services, renegotiate their contracts with us, move their IT solutions in-house, switch to lower-priced solutions offered by our competitors or exit the industry. Fluctuations in the value of assets under our clients’ management could also adversely affect our revenues because pricing in many of our agreements is adjusted based on assets under management. We cannot predict the occurrence, timing or duration of any economic downturn, generally, or in the markets in which our businesses operate. Turbulence in the U.S. and international markets, renewed concern about the strength and sustainability of a recovery and prolonged declines in business consumer spending could materially adversely affect our business, results of operations and financial condition, and the liquidity and financial condition of our clients.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40" w:firstLine="509"/>
        <w:spacing w:after="0"/>
        <w:rPr>
          <w:sz w:val="20"/>
          <w:szCs w:val="20"/>
          <w:color w:val="auto"/>
        </w:rPr>
      </w:pPr>
      <w:r>
        <w:rPr>
          <w:rFonts w:ascii="Arial" w:cs="Arial" w:eastAsia="Arial" w:hAnsi="Arial"/>
          <w:sz w:val="18"/>
          <w:szCs w:val="18"/>
          <w:color w:val="auto"/>
        </w:rPr>
        <w:t>In addition, any other events that adversely affect our clients’ businesses, rates of growth or numbers of clients they serve could decrease demand for our products and services and the number of transactions we process. Events that could adversely affect our clients’ businesses include decreased demand for our clients’ products and services, adverse conditions in our clients’ markets or adverse economic conditions generally. We may be unsuccessful in predicting the needs of changing industries and whether potential clients will accept our products or services. We also may invest in technology or infrastructure for specific clients and not realize additional revenue from such investments. If trends or events do not occur as we expect, our business could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anticipated benefits from our acquisitions and may face difficulties in integrating them.</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have acquired and intend in the future to acquire companies, products or technologies that we believe could complement or expand our business, augment our market coverage, enhance our technical capabilities or otherwise offer growth opportunities. For example, in 2021, we consummated our acquisition of Capita Life &amp; Pensions Services (Ireland) Limited (“Capita”) and announced our intention to acquire Blue Prism Group plc. However, acquisitions could subject us to contingent or unknown liabilities, and we may have to incur debt or severance liabilities or write off investments, infrastructure costs or other assets. Our success is also dependent on our ability to complete the integration of the operations of acquired businesses in an efficient and effective manner, which may be difficult to accomplish in the rapidly changing financial services software and services industry. We may not realize the benefits we anticipate from acquisitions, such as lower costs, increased revenues, synergies and growth opportunities, or we may realize such benefits more slowly than anticipated, due to our inability to:</w:t>
      </w:r>
    </w:p>
    <w:p>
      <w:pPr>
        <w:spacing w:after="0" w:line="73" w:lineRule="exact"/>
        <w:rPr>
          <w:sz w:val="20"/>
          <w:szCs w:val="20"/>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combine operations, facilities and differing firm cultures;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employee morale or retain the clients or employees of acquired entities;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generate market demand for new products and services;</w:t>
      </w:r>
    </w:p>
    <w:p>
      <w:pPr>
        <w:spacing w:after="0" w:line="103" w:lineRule="exact"/>
        <w:rPr>
          <w:rFonts w:ascii="Arial" w:cs="Arial" w:eastAsia="Arial" w:hAnsi="Arial"/>
          <w:sz w:val="18"/>
          <w:szCs w:val="18"/>
          <w:color w:val="auto"/>
        </w:rPr>
      </w:pPr>
    </w:p>
    <w:p>
      <w:pPr>
        <w:ind w:left="560" w:right="240" w:hanging="507"/>
        <w:spacing w:after="0" w:line="261"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coordinate geographically dispersed operations and successfully adapt to the complexities of international operations, including compliance with laws, rules and regulations in multiple jurisdictions;</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integrate the technical teams of acquired companies within our organization; or</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 acquired technologies, products and services into our current and future product and service lines.</w:t>
      </w:r>
    </w:p>
    <w:p>
      <w:pPr>
        <w:spacing w:after="0" w:line="10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process of integrating the operations of acquired companies could disrupt our ongoing operations, divert management from day-to-day responsibilities, increase our expenses and harm our business, results of operations and financial condition. Acquisitions may also place a significant strain on our administrative, operational, financial and other resources. In addition, certain of our acquisitions have generated disputes with stockholders or management of acquired companies or other claimants that have required the expenditure of our resources to address or have led to litigation; any such disputes may reduce the value we hope to realize from our acquisitions, either by increasing our costs of the acquisition, reducing our opportunities to realize revenues from the acquisition or imposing litigation costs or adverse judgments on us. Acquisitions may also expose us to litigation from our stockholders arising out of the acquisition, which, even if unsuccessful, could be costly to defend and serve as a distraction to management.</w:t>
      </w:r>
    </w:p>
    <w:p>
      <w:pPr>
        <w:spacing w:after="0" w:line="16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Consolidations or failures among our clients or within their respective industries could adversely affect us by causing a decline in demand for our products and services.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If banks and financial services firms fail or consolidate, there could be a decline in demand for our products and services. Failures, mergers and consolidations of banks and financial institutions reduce the number of our clients and potential clients, which could adversely affect our revenues even if these events do not reduce the aggregate activities of the consolidated entities. Further, if our clients fail and/or merge with or are acquired by other entities that are not our clients, or that use fewer of our products and services, they may discontinue or reduce their use of our products and services. It is also possible that the larger financial institutions resulting from mergers or consolidations would have greater leverage in negotiating terms with us. In addition, these larger financial institutions could decide to perform in-house some or all of the services that we currently provide or could provide or to consolidate their processing on a non-SS&amp;C system. The resulting decline in demand for our products and services over time could have a material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may decrease due to declines in the levels of participation and activity in the securities markets</w:t>
      </w:r>
      <w:r>
        <w:rPr>
          <w:rFonts w:ascii="Arial" w:cs="Arial" w:eastAsia="Arial" w:hAnsi="Arial"/>
          <w:sz w:val="18"/>
          <w:szCs w:val="18"/>
          <w:color w:val="auto"/>
        </w:rPr>
        <w:t>.</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generate significant revenues from the transaction processing fees we earn for our products and services. These revenue sources are substantially dependent on the levels of participation and activity in the securities markets. The number of unique securities positions held by investors through our clients and our clients’ customer trading volumes reflect the levels of participation and activity in the markets, which are impacted by market prices and the liquidity of the securities markets, among other factors. We could be negatively impacted by the volatile markets as certain of our fees are tied to the asset bases of our clients. The occurrence of significant market volatility or decreased levels of participation would likely result in reduced revenues and decreased profitability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ind w:right="160"/>
        <w:spacing w:after="0" w:line="261" w:lineRule="auto"/>
        <w:rPr>
          <w:sz w:val="20"/>
          <w:szCs w:val="20"/>
          <w:color w:val="auto"/>
        </w:rPr>
      </w:pPr>
      <w:r>
        <w:rPr>
          <w:rFonts w:ascii="Arial" w:cs="Arial" w:eastAsia="Arial" w:hAnsi="Arial"/>
          <w:sz w:val="18"/>
          <w:szCs w:val="18"/>
          <w:color w:val="auto"/>
        </w:rPr>
        <w:t>from our business operations. Additionally, we may be exposed to operational or other risks in connection with any systematic failures in the markets, or the default due to market-related failures of one or more counterparties with whom we transact.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become increasingly focused on the hedge fund industry, and we are subject to the variations and fluctuations of that industry.</w:t>
      </w:r>
    </w:p>
    <w:p>
      <w:pPr>
        <w:spacing w:after="0" w:line="12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Certain of our acquisitions have resulted in a higher percentage of our clients being hedge funds or funds of hedge funds. We derive significant revenues from asset management, administration and distribution contracts with such clients. Under these contracts, the fees paid to us are based on a variety of factors, including the market value of assets under management, assets under administration and number of transactions processed. Assets under management, assets under administration or the number of transactions processed may decline for various reasons, causing results to vary. Factors that could decrease assets under management and assets under administration (and therefore revenues) include declines in the market value of the assets in the funds (and accounts as applicable) managed, administered and distributed, redemptions and other withdrawals from, or shifts among, the funds (and accounts as applicable) managed, administered and distributed, as well as market conditions generally.</w:t>
      </w:r>
    </w:p>
    <w:p>
      <w:pPr>
        <w:spacing w:after="0" w:line="55" w:lineRule="exact"/>
        <w:rPr>
          <w:sz w:val="20"/>
          <w:szCs w:val="20"/>
          <w:color w:val="auto"/>
        </w:rPr>
      </w:pPr>
    </w:p>
    <w:p>
      <w:pPr>
        <w:jc w:val="both"/>
        <w:ind w:right="200" w:firstLine="509"/>
        <w:spacing w:after="0" w:line="271" w:lineRule="auto"/>
        <w:rPr>
          <w:sz w:val="20"/>
          <w:szCs w:val="20"/>
          <w:color w:val="auto"/>
        </w:rPr>
      </w:pPr>
      <w:r>
        <w:rPr>
          <w:rFonts w:ascii="Arial" w:cs="Arial" w:eastAsia="Arial" w:hAnsi="Arial"/>
          <w:sz w:val="16"/>
          <w:szCs w:val="16"/>
          <w:color w:val="auto"/>
        </w:rPr>
        <w:t>These clients and our business relating to them are affected by trends, developments and risks associated with the global hedge fund industry. In addition, the market environment for hedge funds involves risk and has suffered significant turmoil, including as a result of substantial changes in global economies, political uncertainty, stock market declines, a trend toward passive and algorithmic investment strategies and various regulatory initiatives.</w:t>
      </w:r>
    </w:p>
    <w:p>
      <w:pPr>
        <w:ind w:right="40"/>
        <w:spacing w:after="0" w:line="277" w:lineRule="auto"/>
        <w:rPr>
          <w:sz w:val="20"/>
          <w:szCs w:val="20"/>
          <w:color w:val="auto"/>
        </w:rPr>
      </w:pPr>
      <w:r>
        <w:rPr>
          <w:rFonts w:ascii="Arial" w:cs="Arial" w:eastAsia="Arial" w:hAnsi="Arial"/>
          <w:sz w:val="16"/>
          <w:szCs w:val="16"/>
          <w:color w:val="auto"/>
        </w:rPr>
        <w:t>Even in the absence of such factors, the global hedge fund industry is subject to fluctuations in assets under management that are impossible to predict or anticipate. These risks and trends could significantly and adversely affect some or all of our hedge fund clients, which could adversely affect our business, results of operations and financial condition. In addition, market forces have negatively impacted liquidity for many of the financial instruments in which hedge fund client’s trade, which, in turn, could negatively impact our ability to access independent pricing sources for valuing those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and attract clients, our revenues and net income would remain stagnant or decline.</w:t>
      </w:r>
    </w:p>
    <w:p>
      <w:pPr>
        <w:spacing w:after="0" w:line="104"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If we are unable to keep existing clients satisfied, sell additional products and services to existing clients or attract new clients, then our revenues and net income would remain stagnant or decline. A variety of factors could affect our ability to successfully retain and attract clients, including:</w:t>
      </w:r>
    </w:p>
    <w:p>
      <w:pPr>
        <w:spacing w:after="0" w:line="16" w:lineRule="exact"/>
        <w:rPr>
          <w:sz w:val="20"/>
          <w:szCs w:val="20"/>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of potential customers to change software service providers;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client spending for IT;</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competition from internal client solutions and from other vendors;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quality of our client service and the performance of our products;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update our products and services and develop new products and services needed by clients;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understand the organization and processes of our clients;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integrate and manage acquired businesses.</w:t>
      </w:r>
    </w:p>
    <w:p>
      <w:pPr>
        <w:spacing w:after="0" w:line="21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cannot attract, train and retain qualified employees, we may not be able to provide adequate technical expertise and customer service to our clients.</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believe that our success is due in part to our ability to attract, train and retain highly skilled employees. Competition for qualified personnel in the software and hedge fund industries is intense, and we have, at times, found it difficult to attract and retain skilled personnel for our operations. Our failure to attract and retain a sufficient number of highly skilled employees could prevent us from developing and servicing our products at the same levels as our competitors; therefore, we may lose potential clients and suffer a decline in revenues.</w:t>
      </w:r>
    </w:p>
    <w:p>
      <w:pPr>
        <w:spacing w:after="0" w:line="18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with respect to our products and services, which may result in price reductions, reduced gross margins or loss of market share.</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the financial and healthcare markets we serve, we compete based on a variety of factors, including investment performance, the range of products or services offered, brand recognition, business reputation, financial strength, stability and continuity of client and other intermediary relationships, quality of service, and level of fees charged for products and services. The market for financial and healthcare services software and services is competitive, rapidly evolving and highly sensitive to new product and service introductions, technology innovations and marketing efforts by industry participants. The markets we serve are also highly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3" w:name="page24"/>
    <w:bookmarkEnd w:id="23"/>
    <w:p>
      <w:pPr>
        <w:ind w:right="20"/>
        <w:spacing w:after="0" w:line="253" w:lineRule="auto"/>
        <w:rPr>
          <w:sz w:val="20"/>
          <w:szCs w:val="20"/>
          <w:color w:val="auto"/>
        </w:rPr>
      </w:pPr>
      <w:r>
        <w:rPr>
          <w:rFonts w:ascii="Arial" w:cs="Arial" w:eastAsia="Arial" w:hAnsi="Arial"/>
          <w:sz w:val="17"/>
          <w:szCs w:val="17"/>
          <w:color w:val="auto"/>
        </w:rPr>
        <w:t>fragmented and served by numerous firms that target only local markets or specific client types. We also face competition from information systems developed and serviced internally by the IT departments of financial services firms. Some of our current and potential competitors may have significantly greater financial, technical, distribution and marketing resources, generate higher revenues and have greater name recognition. Our current or potential competitors may develop products comparable or superior to those developed by us, or adapt more quickly to new technologies, evolving industry trends or changing client or regulatory requirements. It is also possible that our competitors may enter into alliances with each other or other third-parties, and through such alliances, acquire increased market share. Increased competition may result in price reductions, reduced gross margins and loss of market share. Accordingly, our failure to successfully compete in any of our material businesses could have a material adverse effect on results of operations. Competition could also affect the revenue mix of products or services we provide, resulting in decreased revenues in lines of business with higher profit margins, and our business may not grow as expected and may decline.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software-enabled services may be subject to disruptions, attacks or failures that could adversely affect our reputation and our business.</w:t>
      </w:r>
    </w:p>
    <w:p>
      <w:pPr>
        <w:spacing w:after="0" w:line="127"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Our software-enabled services maintain and process confidential data and process trades and perform other back-office functions, including wiring funds, on behalf of our clients, some of which is critical to their business operations. For example, our trading systems maintain account and trading information for our clients and their customers. In addition, following our acquisition of Intralinks in 2018, our platforms house sensitive, confidential client information. Our internal technology infrastructure on which our software-enabled services depend may be subject to disruptions or may otherwise fail to operate properly or become disabled or damaged as a result of a number of factors, including events that are wholly or partially beyond our control and that could adversely affect our ability to process transactions, provide services or otherwise appropriately conduct our business activities. Such events include IT attacks or failures, threats to physical security, sudden increases in transaction volumes, electrical or telecommunications outages, damaging weather or other acts of nature, or employee or contractor error or malfeasance. In particular, cybersecurity threats have become prevalent in our industry as well as for many firms that process information. Cybersecurity threats are evolving and our security measures, and those of our service providers, may not detect or prevent all attempts to hack our systems, denial-of-service attacks, viruses, malicious software, attempts to gain unauthorized access to data, phishing attacks, social engineering, security breaches or employee or contractor malfeasance and other electronic security breaches that may jeopardize the security of information stored in or transmitted by our sites, networks and systems or that we or our third-party service providers otherwise maintain. Such cyber security incidents could lead to disruptions in our systems, the unauthorized release or destruction of our or our clients’ or other parties’ confidential or otherwise protected information and corruption of data.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the last few years there have been many successful advanced cyber-attacks that have damaged several prominent companies in spite of strong information security measures, and we expect that the risks associated with cyber-attacks and the costs of preventing such attacks will continue to increase in the future. We and our clients are regularly the target of attempted cyber-attacks and we must continuously monitor and develop our systems to protect our technology infrastructure and data from misappropriation or corruption. Although we expend significant resources and oversight efforts in an attempt to ensure that we maintain appropriate safeguards with respect to cyber-attacks, there is no guarantee that our systems and procedures are adequate to protect against all security breaches. If our software-enabled services are disrupted or fail for any reason, or if our systems or facilities are infiltrated or damaged by unauthorized persons, we and our clients could experience data loss, including confidential and personal information, financial loss, harm to their reputation and significant business interruption. If that happens, we may be exposed to significant liability, our reputation may be harmed, our clients may be dissatisfied and we may lose business. Although we maintain privacy, data breach and network security liability insurance, we cannot be certain that our coverage will be adequate or cover liabilities actually incurred, or that insurance will continue to be available to us on economically reasonable terms, or at all. Given the unpredictability of the timing, nature and scope of such failures or disruptions, we could potentially experience significant costs and exposures, including production downtimes, operational delays, other detrimental impacts on our operations or ability to provide services to our customers, the compromising of confidential or otherwise protected information, misappropriation, destruction or corruption of data, security breaches, other manipulation or improper use of our systems or networks, financial losses from remedial actions, loss of business, potential liability, regulatory inquiries, enforcements, actions and fines and/or damage to our reputation, any of which could have a material adverse effect on our business, results of operations and financial condition.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operating results, including our profit margins and profitability, may fluctuate over time.</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Historically, our revenues, profit margins and other operating results have fluctuated from period to period and over time primarily due to the timing, size and nature of our license and service transactions. See “Management’s Discussion and Analysis of Financial Condition and Results of Operations” for further discussion on fluctuations in revenues, profit margins and other operating results. Additional factors that may lead to such fluctuation include: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ind w:left="560" w:hanging="507"/>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timing of the introduction and the market acceptance of new products, product enhancements or services by us or our competitors;</w:t>
      </w:r>
    </w:p>
    <w:p>
      <w:pPr>
        <w:spacing w:after="0" w:line="115" w:lineRule="exact"/>
        <w:rPr>
          <w:rFonts w:ascii="Arial" w:cs="Arial" w:eastAsia="Arial" w:hAnsi="Arial"/>
          <w:sz w:val="17"/>
          <w:szCs w:val="17"/>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lengthy and often unpredictable sales cycles of large client engagements;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our operating costs and other expenses;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health of our clients;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volume of assets under our clients’ management;</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cancellations of maintenance and/or software-enabled services arrangements by our clients;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local, national and international regulatory requirements;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during the relevant period;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our licensing contracts and software-enabled services arrangements;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economic and financial market conditions;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types of products and services we provide.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expense or additional tax exposures could affect our future profitability.</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subject to income taxes in the U.S. and various international jurisdictions. Changes in tax laws and regulations, as well as changes in related interpretations and other tax guidance could materially impact our tax receivables and liabilities and our deferred tax assets and deferred tax liabilities. On December 22, 2017, U.S. federal tax legislation, commonly referred to as the Tax Cuts and Jobs Act (“Tax Act”), was signed into law, significantly reforming the U.S. Internal Revenue Code. The Tax Act, among other things, reduces the U.S. federal statutory corporate tax rate, imposed a one-time transition tax on previously undistributed foreign earnings, limits the deductibility on executive compensation, imposes a tax on Global Intangible Low-Taxed Income (“GILTI”) and modifies or repeals many business deductions and credits. The U.S. Department of Treasury and Internal Revenue Service has issued several complex proposed and final regulations, and related guidance, regarding provisions of the Tax Act. However, several aspects of the legislation remain unclear and subject to interpretation. Further guidance, technical corrections and regulations are expected to be issued, which could lessen or increase certain impacts of the legislation, and President Biden and lawmakers have recently proposed certain legislation which would effectively repeal certain provisions of the Tax Act. Furthermore, states continue to issue guidance and enact legislation in response to the Tax Act, all of which could have a material impact on our income tax expense, assets and liabilities.</w:t>
      </w:r>
    </w:p>
    <w:p>
      <w:pPr>
        <w:spacing w:after="0" w:line="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will arise from time to time. Our business, results of operations and financial condition may be affected by the outcome of investigations, proceedings and other contingencies that cannot be predicted with certainty.</w:t>
      </w:r>
    </w:p>
    <w:p>
      <w:pPr>
        <w:spacing w:after="0" w:line="1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third-party service providers on which we rely, or other third-parties with which we do business or which facilitate our business activities, suffer disruptions to their IT systems, our business could be harmed.</w:t>
      </w:r>
    </w:p>
    <w:p>
      <w:pPr>
        <w:spacing w:after="0" w:line="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providing our software-enabled services to our customers, we depend upon IT infrastructure that is primarily managed by our firm, but we also depend on third-party service providers to provide some of the IT infrastructure on which we rely. Although we seek to ensure that appropriate security and other standards are maintained by these third-parties, these third-parties are also subject to the risks discussed in the preceding risk factor, and there is no guarantee that they will maintain systems and procedures sufficient to protect against system failures and security breaches, including as a result of cyber-attacks.</w:t>
      </w:r>
    </w:p>
    <w:p>
      <w:pPr>
        <w:spacing w:after="0" w:line="81"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addition, the third-parties with which we do business or which facilitate our business activities, including financial intermediaries, are susceptible to the risks described in the preceding risk factor (including regarding the third-parties with which they are similarly interconnected), and our or their business operations and activities may therefore be adversely affected, perhaps materially, by failures, terminations, errors or malfeasance by, or attacks or constraints on, one or more financial, technology or infrastructure institutions or intermediaries with whom they are interconnected or conduct business.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An increase in subaccounting services performed by brokerage firms has and will continue to adversely impact our revenues.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service open-end and closed-end funds registered under the Investment Company Act of 1940, including mutual funds, exchange-traded funds, interval funds and exchange-listed closed-end funds, as well as private funds, collective investment trusts and other accounts under shareowner recordkeeping arrangements which we refer to as registered accounts. These arrangements are distinguished from broker subaccounts, which are serviced under contract with a broker/dealer. Our clients may adopt the broker subaccount structure. We offer subaccounting services to brokerage firms that perform shareowner subaccounting. As the recordkeeping functions in connection with subaccounting are more limited than traditional shareowner accounting, the fees charged are generally lower on a per unit basis. Brokerage firms that obtain agreements from our clients to use a broker subaccount structure cause accounts currently on our traditional recordkeeping system to convert to our subaccounting system, or to the subaccounting systems of other service providers, which generally results in lower revenues. While subaccounting conversions have generally been limited to our non-tax advantaged mutual fund accounts, such conversions have begun to extend to the tax-advantaged accounts (such as retirement and Section 529 accounts) we service, which could adversely affect our business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adversely affect our business.</w:t>
      </w:r>
    </w:p>
    <w:p>
      <w:pPr>
        <w:spacing w:after="0" w:line="10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A war, terrorist attack, natural disaster, pandemic or other catastrophe may adversely affect our business. A catastrophic event could have a direct negative impact on us or an indirect impact on us by, for example, affecting our clients, the financial markets or the overall economy and reducing our ability to provide, our clients’ ability to use, and the demand for, our products and services. The potential for a direct effect on our business operations is due primarily to our significant investment in infrastructure. Although we maintain redundant facilities and have contingency plans in place to protect against both man-made and natural threats, it is impossible to fully anticipate and protect against all potential catastrophes. A computer virus, physical or cyber security breach, criminal act, military action, power or communication failure, flood, severe storm or the like could lead to service interruptions and data losses for clients, disruptions to our operations, or damage to important facilities. In addition, such an event may cause clients to cancel their agreements with us for our products or services. Any of these events could adversely affect our business, results of operation and financial condition.</w:t>
      </w:r>
    </w:p>
    <w:p>
      <w:pPr>
        <w:spacing w:after="0" w:line="16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We have substantial operations and a significant number of employees in India and we are therefore subject to regulatory, economic and political uncertainties in India.</w:t>
      </w:r>
    </w:p>
    <w:p>
      <w:pPr>
        <w:spacing w:after="0" w:line="63"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As of December 31, 2021, we had approximately 7,300 employees located in India. The economy of India may differ favorably or unfavorably from the U.S. economy and our business may be adversely affected by the general economic conditions and economic and fiscal policy in India, including changes in exchange rates and controls, interest rates and taxation policies. In particular, in recent years, India’s government has adopted policies that are designed to promote foreign investment, including significant tax incentives, relaxation of regulatory restrictions, liberalized import and export duties and preferential rules on foreign investment and repatriations. These policies may not continue. In addition, we are subject to risks relating to social stability, political, economic or diplomatic developments affecting India in the future.</w:t>
      </w:r>
    </w:p>
    <w:p>
      <w:pPr>
        <w:spacing w:after="0" w:line="6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India faces major challenges in the years ahead sustaining the economic growth that it has experienced over the past several years. These challenges include the need for substantial infrastructure development and improving access to healthcare and education. Our ability to recruit, train and retain qualified employees and develop and operate our facilities in India could be adversely affected if India does not successfully meet these challenges, in which case we may need to relocate those facilities and that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senior management and their continued performance and productivity.</w:t>
      </w:r>
    </w:p>
    <w:p>
      <w:pPr>
        <w:spacing w:after="0" w:line="10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We are dependent on the continued efforts of the members of our senior management. The loss of any of the members of our senior management may cause a significant disruption in our business, jeopardize existing customer relationships, impair our compliance efforts as a public company, and have a material adverse effect on our business objectives. We do not maintain key man life insurance policies for any senior officer or manager.</w:t>
      </w:r>
    </w:p>
    <w:p>
      <w:pPr>
        <w:spacing w:after="0" w:line="147"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74"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Our success and ability to compete depends in part upon our ability to protect our proprietary technology and other confidential information. We rely on a combination of patent, trade secret, copyright and trademark law, and nondisclosure agreements, license agreements and technical measures to protect our proprietary technology and other confidential information. We have registered trademarks for some of our products and will continue to evaluate the registration of additional trademarks as appropriate. We generally enter into confidentiality agreements with our employees, distributors, clients and potential clients. However, these efforts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20"/>
        <w:spacing w:after="0" w:line="251" w:lineRule="auto"/>
        <w:rPr>
          <w:sz w:val="20"/>
          <w:szCs w:val="20"/>
          <w:color w:val="auto"/>
        </w:rPr>
      </w:pPr>
      <w:r>
        <w:rPr>
          <w:rFonts w:ascii="Arial" w:cs="Arial" w:eastAsia="Arial" w:hAnsi="Arial"/>
          <w:sz w:val="17"/>
          <w:szCs w:val="17"/>
          <w:color w:val="auto"/>
        </w:rPr>
        <w:t>may be insufficient to prevent those parties or others from infringing, misappropriating, violating or asserting rights in our intellectual property, confidential information or other technology and our proprietary technology and confidential information may be subject to embezzlement, theft, or other similar illegal behavior by our employees or third-parties. In addition, our employees, distributors, clients and potential clients may breach our confidentiality agreements and we may not have adequate remedies for any such breach. Furthermore, unauthorized third-parties may seek to copy portions of our products or to reverse engineer or otherwise obtain and use our proprietary information. If a third-party were to gain unauthorized access to or independently develop the confidential or proprietary information we possess, we could suffer a loss of revenues, we could experience an adverse impact on our competitive position, and our relationships with our clients and our reputation could be materially adversely effected. Existing patent and copyright laws afford only limited protection. Third-parties may develop substantially equivalent or superseding proprietary technology or may offer equivalent products in competition with our products in a manner that does not infringe, misappropriate or otherwise violate our intellectual property or other proprietary rights, thereby substantially reducing the value of our proprietary rights. A number of third-parties hold patents and other intellectual property rights with application in the financial services field. Consequently, we are subject to the risk that such third-parties will claim that our products infringe, misappropriate or otherwise violate their intellectual property rights, including their patent rights. Such claims, regardless of merit, could result in expensive and time-consuming litigation, divert the attention of our personnel, and impair our intellectual property rights. Moreover, as a result of such claims, we may be required to redesign our products or services in a manner that is not infringing, misappropriating or otherwise violating such third-party’s intellectual property rights, which may not be technically or commercially feasible. We may also be required to obtain a license to such intellectual property rights, which may not be available on commercially reasonable terms or at all. Any of the foregoing could have a material adverse effect on our business, results of operation, and financial condition.</w:t>
      </w:r>
    </w:p>
    <w:p>
      <w:pPr>
        <w:spacing w:after="0" w:line="75"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incorporate open source software into a limited number of our software products. We monitor our use of open source software in an effort to avoid subjecting our products to unfavorable conditions or conditions we do not intend. Some open source licenses require that source code subject to the license be disclosed to third-parties, grant such third-parties the right to modify and redistribute that source code and a requirement that the source code for any software derived from it be disclosed. If we combine our proprietary software with open source software in a certain manner, we could, under certain open source licenses, be required to release the source code of our proprietary software to the public. Although we believe that we have complied with our obligations under the applicable licenses for open source software that we use, there is little or no legal precedent governing the interpretation of many of the terms of certain of these licenses. As a result, the potential impact of these terms is uncertain and may result in unanticipated obligations or restrictions regarding those of our products, technologies or solutions affected.</w:t>
      </w:r>
    </w:p>
    <w:p>
      <w:pPr>
        <w:spacing w:after="0" w:line="73"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We have acquired and may acquire important technology rights through our acquisitions and have often incorporated and may incorporate features of these technologies across many of our products and services. As a result, we are subject to the above risks and the additional risk that the seller of the technology rights may not have appropriately protected the intellectual property rights we acquired. Indemnification and other rights under applicable acquisition documents are limited in term and scope and therefore provide us with only limited protection.</w:t>
      </w:r>
    </w:p>
    <w:p>
      <w:pPr>
        <w:spacing w:after="0" w:line="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we rely on third-party software in providing some of our products and services. If we lose our licenses to use such software or if such licenses are found to infringe, misappropriate or otherwise violate upon the rights of others, we will need to seek alternative means of obtaining the licensed software to continue to provide our products or services, which may not be feasible on a technical or commercial basis. Our inability to replace such software, or to replace such software in a timely manner, could significantly disrupt our business and our ability to deliver products and services to our clients, and adversely affect our business, results of operation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adapt to rapidly changing technology and evolving industry standards and regulatory requirements.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Rapidly changing technology, evolving industry standards and regulatory requirements and new product and service introductions characterize the market for our products and services. Our future success will depend in part upon our ability to enhance our existing products and services and to develop and introduce new products and services to keep pace with such changes and developments and to meet changing client needs. The process of developing our software products is complex and is expected to become increasingly complex and expensive in the future due to the introduction of new platforms, operating systems and technologies. Current areas of significant technological change include mobility, cloud-based computing and the processing and analyzing of large amounts of data. Our ability to keep up with technology and business and regulatory changes is subject to a number of risks, including that:</w:t>
      </w:r>
    </w:p>
    <w:p>
      <w:pPr>
        <w:spacing w:after="0" w:line="83" w:lineRule="exact"/>
        <w:rPr>
          <w:sz w:val="20"/>
          <w:szCs w:val="20"/>
          <w:color w:val="auto"/>
        </w:rPr>
      </w:pPr>
    </w:p>
    <w:p>
      <w:pPr>
        <w:ind w:left="560" w:right="120" w:hanging="507"/>
        <w:spacing w:after="0" w:line="261"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find it difficult or costly to update our services and software and to develop new products and services quickly enough to meet our clients’ needs;</w:t>
      </w:r>
    </w:p>
    <w:p>
      <w:pPr>
        <w:spacing w:after="0" w:line="62" w:lineRule="exact"/>
        <w:rPr>
          <w:rFonts w:ascii="Arial" w:cs="Arial" w:eastAsia="Arial" w:hAnsi="Arial"/>
          <w:sz w:val="18"/>
          <w:szCs w:val="18"/>
          <w:color w:val="auto"/>
        </w:rPr>
      </w:pPr>
    </w:p>
    <w:p>
      <w:pPr>
        <w:ind w:left="560" w:right="380" w:hanging="507"/>
        <w:spacing w:after="0" w:line="261"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find it difficult or costly to make some features of our software work effectively and securely over the Internet or with new or changed operating systems;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560" w:right="880" w:hanging="507"/>
        <w:spacing w:after="0" w:line="261"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find it difficult or costly to update our software and services to keep pace with business, evolving industry standards, regulatory requirements and other developments in the industries in which our clients operate; and</w:t>
      </w:r>
    </w:p>
    <w:p>
      <w:pPr>
        <w:spacing w:after="0" w:line="62" w:lineRule="exact"/>
        <w:rPr>
          <w:rFonts w:ascii="Arial" w:cs="Arial" w:eastAsia="Arial" w:hAnsi="Arial"/>
          <w:sz w:val="18"/>
          <w:szCs w:val="18"/>
          <w:color w:val="auto"/>
        </w:rPr>
      </w:pPr>
    </w:p>
    <w:p>
      <w:pPr>
        <w:ind w:left="560" w:right="560" w:hanging="507"/>
        <w:spacing w:after="0" w:line="261"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exposed to liability for security breaches that allow unauthorized persons to gain access to confidential information stored on our computers or transmitted over our network.</w:t>
      </w:r>
    </w:p>
    <w:p>
      <w:pPr>
        <w:spacing w:after="0" w:line="63"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Our failure to enhance our existing products and services and to develop and introduce new products and services to promptly address the needs of our clients and a changing marketplace could adversely affect our business, results of operations and financial condition.</w:t>
      </w:r>
    </w:p>
    <w:p>
      <w:pPr>
        <w:spacing w:after="0" w:line="1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Undetected software design defects, errors or failures, or employee errors, may result in defects, delays, loss of our clients’ data, litigation against us and harm to our reputation and business.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software products are highly complex and sophisticated and could contain design defects or software errors that are difficult to detect and correct. Errors or bugs in our software may affect the ability of our products to work with other hardware or software products, delay the development or release of new products or new versions of products, result in the loss of client data, damage our reputation, affect market acceptance of our products or result in the rejection of our products by the market, cause loss of revenues, divert development resources, increase product liability and warranty claims, and increase service and support costs. We cannot be certain that, despite testing by us and our clients, errors will not be found in new products or new versions of products. Moreover, our clients engage in complex trading activities and this complexity increases the likelihood that our employees may make errors. Employee errors, poor employee performance or misconduct may be difficult to detect and deter. These product defects or errors in the product operations, or employee errors, poor performance or misconduct, could cause damages to our clients for which they may assert claims or lawsuits against us. The cost of defending such a lawsuit, regardless of its merit, could be substantial and could divert management’s attention and result in reputational harm.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business, results of operations and financial condition.</w:t>
      </w:r>
    </w:p>
    <w:p>
      <w:pPr>
        <w:spacing w:after="0" w:line="183"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7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part of our transaction processing and other services, we maintain and manage large bank and investment accounts containing client funds, which we hold as agent, as well as operational funds. Our revenues include investment earnings related to client fund cash balances. Our choices in selecting investments, or market conditions that affect the rate of return on or the availability of investments, could have an adverse effect on the level of such revenues. The amounts held in our operational and client deposit accounts could exceed the limits of government insurance programs of organizations such as the Federal Deposit Insurance Corporation and the Securities Investors Protection Corporation, exposing us to the risk of loss. Any substantial loss would have a material adverse impact on our business, results of operations and our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substantial portion of our revenues are derived, and a substantial portion of our operations are conducted, outside the U.S.</w:t>
      </w:r>
    </w:p>
    <w:p>
      <w:pPr>
        <w:spacing w:after="0" w:line="104"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For the years ended December 31, 2021, 2020 and 2019 international revenues accounted for 28%, 27% and 27%, respectively, of our total revenues. We sell certain of our products primarily outside the U.S. In addition, Brexit and international trade tensions have created political and economic uncertainty and instability in global financial and foreign currency markets. The United Kingdom (“U.K.”) exited the European Union (“E.U.”) on January 31, 2020, and its membership in the E.U. single market ended on December 31, 2020 (“Brexit”). A new bilateral trade and cooperation agreement governing the future relationship between the U.K. and the E.U. was announced on December 24, 2020 and formally approved by the 27 member states of the E.U. on December 29, 2020. In March 2021, the U.K. and E.U. agreed on a framework for voluntary regulatory cooperation and dialogue on financial services issues in a memorandum of understanding that is expected to be signed after formal steps are completed, although this has not yet occurred.</w:t>
      </w:r>
    </w:p>
    <w:p>
      <w:pPr>
        <w:spacing w:after="0" w:line="8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While these events provide some clarity regarding the future relationship between the U.K. and the E.U., there remains uncertainty, which may adversely affect our operations and financial results, as we generated approximately $596.0 million, $569.9 million and $652.9 million in revenues from the U.K. in the years ended December 31, 2021, 2020 and 2019, respectively. Our international business is also subject to a variety of other risks, including:</w:t>
      </w:r>
    </w:p>
    <w:p>
      <w:pPr>
        <w:spacing w:after="0" w:line="39" w:lineRule="exact"/>
        <w:rPr>
          <w:sz w:val="20"/>
          <w:szCs w:val="20"/>
          <w:color w:val="auto"/>
        </w:rPr>
      </w:pPr>
    </w:p>
    <w:p>
      <w:pPr>
        <w:ind w:left="560" w:hanging="507"/>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changes in a specific country’s or region’s political or economic climate, including the evolving situation involving Ukraine and Russia;</w:t>
      </w:r>
    </w:p>
    <w:p>
      <w:pPr>
        <w:spacing w:after="0" w:line="126" w:lineRule="exact"/>
        <w:rPr>
          <w:rFonts w:ascii="Arial" w:cs="Arial" w:eastAsia="Arial" w:hAnsi="Arial"/>
          <w:sz w:val="16"/>
          <w:szCs w:val="16"/>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to comply with a variety of local regulations and laws, U.S. export controls, the FCPA and the Bribery Act;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expropriation of assets by foreign governments;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repatriating any international profits;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application of discriminatory fiscal policies;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changes in tax laws and the interpretation of such laws;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difficulty enforcing third-party contractual obligations and intellectual property rights.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factors could adversely affect our business, results of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that could negatively impact our operating results and financial condition.</w:t>
      </w:r>
    </w:p>
    <w:p>
      <w:pPr>
        <w:spacing w:after="0" w:line="11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Because a significant portion of our business is conducted outside the U.S. and significant revenues are generated outside the U.S., we face exposure to adverse movements in foreign currency exchange rates. Fluctuations in currencies relative to currencies in which our earnings are generated also make it more difficult to perform period-to-period comparisons of our reported results of operations. Because our Consolidated Financial Statements are reported in U.S. dollars, translation of sales or earnings generated in other currencies into U.S. dollars can result in a significant increase or decrease in the reported amount of those sales or earnings. In addition, we incur currency transaction risk whenever we enter into either a purchase or a sales transaction using a currency other than the local currency of the transacting entity. Given the volatility of exchange rates, we cannot be assured we will be able to effectively manage our currency translation or transaction risk, and significant changes in the value of foreign currencies relative to the U.S. dollar could adversely affect our financial statements. See “Management’s Discussion and Analysis of Financial Condition and Results of Operations” for further discussion on the foreign currency translation impact on operating results and financial condition.</w:t>
      </w:r>
    </w:p>
    <w:p>
      <w:pPr>
        <w:spacing w:after="0" w:line="76"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We do not currently engage in material hedging activities. Changes in economic or political conditions globally and in any of the countries in which we operate could result in exchange rate movements, new currency or exchange controls or other restrictions being imposed on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funds and our joint ventures could decline in value.</w:t>
      </w:r>
    </w:p>
    <w:p>
      <w:pPr>
        <w:spacing w:after="0" w:line="10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From time to time we add new investment strategies to our investment product offerings by providing the initial cash investments as “seed capital.” The seed capital investments may decline in value. A significant decline in their value could have a material adverse effect on our financial condition or operating results. We are a limited partner in various private equity funds and have future capital commitments related to certain private equity fund investments. These investments are illiquid. Generally, private equity fund securities are non-transferable or are subject to long holding periods, and withdrawals from the private equity firm partnerships are typically not permitted. Even when transfer restrictions do not apply, there is generally no public market for the securities. Therefore, we may not be able to sell the securities at a time when we desire to do so. We may not always be able to sell those investments at the same or higher prices than we paid for them. We also participate in joint ventures with other companies. These joint venture investments could require further capital contributions.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control certain businesses in which we have significant ownership.</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invest in joint ventures and other unconsolidated affiliates as part of our business strategy, and part of our net income is derived from our pro rata share of the earnings of those businesses. Despite owning significant equity interests in those companies and having directors on their boards, we do not control their operations, strategies or financial decisions. The other owners may have economic, business or legal interests or goals that are inconsistent with our goals or the goals of the businesses we co-own. Our pro rata share of any losses due to unfavorable performance of those companies could negatively impact our financial results.</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Some of our joint venture investments are subject to buy-sell agreements, which could, among other things, restrict us from selling our interests even if we were to determine it would be prudent to do so.</w:t>
      </w:r>
    </w:p>
    <w:p>
      <w:pPr>
        <w:spacing w:after="0" w:line="63"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own interests in unconsolidated entities and various real estate joint ventures. Our interests in such unconsolidated entities are subject to buy/sell arrangements, which could restrict our ability to sell our interests even if we were to determine it would be prudent to do so. These arrangements could also allow us to purchase the other owners’ interests to prevent someone else from acquiring them and we cannot control the timing of occasions to do so. The businesses or other owners may encourage us to increase our investment in or make contributions to the businesses at an inopportune time.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40" w:firstLine="509"/>
        <w:spacing w:after="0" w:line="279" w:lineRule="auto"/>
        <w:rPr>
          <w:sz w:val="20"/>
          <w:szCs w:val="20"/>
          <w:color w:val="auto"/>
        </w:rPr>
      </w:pPr>
      <w:r>
        <w:rPr>
          <w:rFonts w:ascii="Arial" w:cs="Arial" w:eastAsia="Arial" w:hAnsi="Arial"/>
          <w:sz w:val="16"/>
          <w:szCs w:val="16"/>
          <w:color w:val="auto"/>
        </w:rPr>
        <w:t>In addition, some of the agreements governing our joint venture arrangements include buy/sell provisions that provide a party to the arrangement with the option to purchase the other party’s interests upon such other party’s change of control at a purchase price that may be less than fair market value. For instance, under the partnership agreement of IFDS L.P., in the event of a change of control of the Company, the other partner would have the option to purchase our interests in IFDS L.P. at a price equal to book value, unless another purchase provision in the partnership agreement was triggered prior to the change of control. Book value may be substantially less than fair market value at the time of any sale of our interests upon a change of control.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material weakness in our internal controls could have a material adverse effect on us.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If we cannot do so, our reputation and operating results could be harmed. A material weakness in our internal control over financial reporting could adversely impact our ability to provide timely and accurate financial information. Even effective internal controls can provide only reasonable assurance with respect to the preparation and fair presentation of financial statements. In addition, controls can be circumvented by individual acts of some persons, by collusion of two or more people, or by management override of the controls. Over time, controls may become inadequate because changes in conditions or deterioration in the degree of compliance with policies or procedures may occur. Because of the inherent limitations in a cost-effective control system, misstatements due to error or fraud may occur and not be detected. If we are unable to report financial information timely and accurately or to maintain effective disclosure controls and procedures, our stock price could be negatively impacted and we could be subject to, among other things, regulatory or enforcement actions by the SEC, which could have a material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or Regulatory Risks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businesses expose us to risks of claims and losses that could be significant and damage our reputation and business prospects.</w:t>
      </w:r>
    </w:p>
    <w:p>
      <w:pPr>
        <w:spacing w:after="0" w:line="115"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Our proprietary applications and related consulting and other services include the processing or clearing of financial and healthcare transactions for our clients and their customers and the design of benefit plans and compliance programs. The dollar amount of transactions processed or cleared is vastly in excess than the revenues we derive from providing these services. In the event we make transaction processing or operational errors, or mismanage any process, we could be exposed to claims for any resulting processing delays, disclosure of protected information, miscalculations, mishandling of pass-through disbursements or other processes, and failure to follow a client’s instructions or meet specifications. Additionally, we may be subject to claims or liability resulting from a failure of third parties (including regulatory authorities) to recognize the limitations of our role as our clients’ agent or consultant, and we may be subject to claims or liability resulting from fraud committed by third parties. We may be exposed to the risk of counterparty breaches or failure to perform. We may be subject to claims, including class actions, for reimbursements, losses or damages arising from any transaction processing or operational error, or from process mismanagement. Because of the sensitive nature of the financial and healthcare transactions we process, our liability and any alleged damages may significantly exceed the fees we receive for performing the service at issue. Litigation could include class action claims based upon, among other theories, various regulatory requirements and consumer protection and privacy laws that class action plaintiffs may attempt to use to assert private rights of action. Any of these claims and related settlements or judgments could affect our operating results, damage our reputation, decrease demand for our products and services, or cause us to make costly operating changes.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evolving regulations and increased scrutiny from regulators.</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Our business is subject to evolving and increasing U.S. and foreign regulation, including privacy, licensing, processing, recordkeeping, investment adviser, broker/dealer, retirement, data protection, reporting and related regulations. New products and services we plan to offer may also be subject to regulation, either directly or as a downstream provider to customers or clients. Such regulations cover all aspects of our business including, but not limited to, sales and trading methods, trade practices among broker/dealers, use and safekeeping of clients’ funds and securities, use of client and employee data, capital structure of securities firms, net capital, anti-money laundering efforts, healthcare, recordkeeping and the conduct of directors, officers and employees. Any violation of applicable regulations could expose us or those businesses to civil or criminal liability, significant fines or sanctions, damage our reputation, the revocation of licenses, censures, or a temporary suspension or permanent bar from conducting business, which could adversely affect our business, results of operations and our financial condition.</w:t>
      </w:r>
    </w:p>
    <w:p>
      <w:pPr>
        <w:spacing w:after="0" w:line="73"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Our clients are subject to extensive regulation, including investment adviser, broker/dealer and privacy regulations applicable to products and services we provide to the financial services industry and insurance, privacy and other regulations applicable to services we provide to the healthcare industry. As a result, our relationships with our clients may subject us to increased scrutiny from a number of regulators, including the Federal Financial Institutions Examination Council (and its constituent members, the Board of Governors of the Federal Reserve System, the Federal Deposit Insurance Corporation, the National Credit Union Administration, the Office of the Comptroller of the Currency and the Consumer Financial Protection Bureau), Australian Securities &amp; Investments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40"/>
        <w:spacing w:after="0" w:line="253" w:lineRule="auto"/>
        <w:rPr>
          <w:sz w:val="20"/>
          <w:szCs w:val="20"/>
          <w:color w:val="auto"/>
        </w:rPr>
      </w:pPr>
      <w:r>
        <w:rPr>
          <w:rFonts w:ascii="Arial" w:cs="Arial" w:eastAsia="Arial" w:hAnsi="Arial"/>
          <w:sz w:val="17"/>
          <w:szCs w:val="17"/>
          <w:color w:val="auto"/>
        </w:rPr>
        <w:t>Commission, Bermuda Monetary Authority, British Virgin Islands Financial Services Commission, Centrale Bank van Curacao en Sint Maarten, Commodity Futures Trading Commission, Federal Trade Commission, Cayman Islands Monetary Authority, Luxembourg Commission de Surveillance du Secteur Financier, Financial Industry Regulatory Authority, U.K. Financial Conduct Authority, Central Bank of Ireland, National Futures Association, Guernsey Financial Services Commission, Jersey Financial Services Commission, Ontario Securities Commission, U.S. Securities and Exchange Commission, Securities Commission of the Bahamas, State Departments of Insurance through Third Party Administrator licenses, U.S. Department of Health &amp; Human Services, U.S. Center for Medicare &amp; Medicaid Services, U.S. Department of Defense, U.S. Office of Inspector General, U.S. Office of Civil Rights, U.S. Treasury Department and other government entities that regulate the financial services, hedge fund and hedge fund services industry in the U.S., the U.K. and the other jurisdictions in which we operate. As a result of the changes in the global economy and the turmoil in global financial markets in recent years, the risk of additional government regulation has increased.</w:t>
      </w:r>
    </w:p>
    <w:p>
      <w:pPr>
        <w:spacing w:after="0" w:line="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In addition, the final outcome of negotiations between the U.K. and the E.U. relating to Brexit remains uncertain. The U.K. withdrew from the E.U. on January 31, 2020, and the transition period ended on December 31, 2020. While a new bilateral trade and cooperation deal governing the future relationship between the U.K. and the E.U. was formally approved by the 27 member states of the E.U. on December 29, 2020, and the U.K. and E.U. agreed on a framework for voluntary regulatory cooperation and dialogue on financial services issues in March 2021, negotiations regarding future regulatory arrangements continue. As a result, the impact of potential changes on the U.K. regulatory regime remains uncertain.</w:t>
      </w:r>
    </w:p>
    <w:p>
      <w:pPr>
        <w:spacing w:after="0" w:line="6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Moreover, our healthcare business is subject to evolving and increasing federal and state regulation. Such federal regulation is developed, interpreted or enforced by regulators including, the Centers for Medicare and Medicaid Services, the U.S. Dept. of Health and Human Services, the Office for Civil Rights and the Office of the Inspector General. Typically a state’s department of insurance regulates much of our healthcare business; however, each state’s statutes dictate such authority. Any of these regulations may limit or curtail our activities, including activities that might be profitable, and changes to existing regulations, or the interpretations thereof, may affect our ability to continue to offer our existing products and services, or to offer products and services we may wish to offer in the future.</w:t>
      </w:r>
    </w:p>
    <w:p>
      <w:pPr>
        <w:spacing w:after="0" w:line="81"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The E.U.’s AIFMD and the U.S. Dodd-Frank Act, among other initiatives, pose significant changes to the regulatory environment in which we and our clients operate. The impact of these regulatory changes remains uncertain. If we fail to comply with any applicable laws, rules or regulations, we may be subject to censure, fines or other sanctions, including revocation of our licenses and/or registrations with various regulatory agencies, criminal penalties and civil lawsuits.</w:t>
      </w:r>
    </w:p>
    <w:p>
      <w:pPr>
        <w:spacing w:after="0" w:line="8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U.S. Foreign Corrupt Practices Act (“FCPA”) and anti-bribery laws in other jurisdictions, including the U.K. Bribery Act (“Bribery Act”), generally prohibit companies and their intermediaries from making improper payments for the purpose of obtaining or retaining business or other commercial advantage. The FCPA also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and our clients operate in a number of jurisdictions that may pose a risk of potential FCPA or Bribery Act violations.</w:t>
      </w:r>
    </w:p>
    <w:p>
      <w:pPr>
        <w:spacing w:after="0" w:line="8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Changes in, and any violation by our clients of, applicable laws and regulations (whether related to the products and services we provide or otherwise) could diminish their business or financial condition and thus their demand for our products and services or could increase our cost of continuing to provide our products and services to such industries. Demand could also decrease if we do not continue to offer products and services that help our clients comply with regulations. For example, our accounts in the healthcare industry are impacted by the Patient Protection and Affordable Care Act of 2010 (the “Affordable Care Act”), including the Health Insurance Marketplace. Changes to the Affordable Care Act have been enacted by Congress in response to the current administration’s stated agenda.</w:t>
      </w:r>
    </w:p>
    <w:p>
      <w:pPr>
        <w:spacing w:after="0" w:line="8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In addition, we cannot predict the nature, scope or effect of future regulatory requirements to which our internal operations might be subject or the manner in which existing laws might be administered or interpreted. While our policies mandate compliance with these laws, there can be no assurance that we will be completely effective in ensuring our compliance with all applicable anti-corruption laws. A failure to comply with these laws, rules or regulations, or allegations of such noncompliance, could adversely affect our business, reputation, results of operations and financial condition.</w:t>
      </w:r>
    </w:p>
    <w:p>
      <w:pPr>
        <w:spacing w:after="0" w:line="15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role as a fund administrator has in the past, and may in the future, expose us to claims and litigation from clients, their investors, regulators or other third-parties.</w:t>
      </w:r>
    </w:p>
    <w:p>
      <w:pPr>
        <w:spacing w:after="0" w:line="6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a service provider, we have been, and may in the future be, subject to claims and lawsuits from investors, regulators, liquidators, other third-parties and our clients, some of which pursue high-risk investment strategies and all of which are subject to substantial market risk, in the event that the underlying fund suffers investment losses, incurs instances of fraud, becomes insolvent, files for bankruptcy or otherwise becomes defunct. Even if we are not ultimately found to be liable, defending such claims or lawsuits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1" w:name="page32"/>
    <w:bookmarkEnd w:id="31"/>
    <w:p>
      <w:pPr>
        <w:ind w:right="280"/>
        <w:spacing w:after="0" w:line="261" w:lineRule="auto"/>
        <w:rPr>
          <w:sz w:val="20"/>
          <w:szCs w:val="20"/>
          <w:color w:val="auto"/>
        </w:rPr>
      </w:pPr>
      <w:r>
        <w:rPr>
          <w:rFonts w:ascii="Arial" w:cs="Arial" w:eastAsia="Arial" w:hAnsi="Arial"/>
          <w:sz w:val="18"/>
          <w:szCs w:val="18"/>
          <w:color w:val="auto"/>
        </w:rPr>
        <w:t>could be time-consuming, divert management resources, harm our reputation and cause us to incur significant expenses. These claims or lawsuits could have an adverse effect on our business, results of operations and financial condition.</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Because our platform could be used to collect and store personal information of our customers’ employees or customers, privacy concerns could result in additional cost and liability to us or inhibit use of our platform.</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Personal privacy has become a significant issue in the U.S. and in many other countries where we offer our solutions or may offer them in the future. The regulatory framework for privacy issues worldwide is currently evolving, is not uniform and is likely to remain uncertain for the foreseeable future. Many federal, state and foreign government bodies and agencies have adopted or are considering adopting laws and regulations regarding the collection, use, disclosure, control, security and deletion of personal information. In the U.S., these include, without limitation, laws and regulations promulgated by states, as well as rules and regulations promulgated under the authority of the Federal Trade Commission (“FTC”) and federal financial regulatory bodies. Additionally, the California Consumer Privacy Act of 2018, which came into effect on January 1, 2020, affords consumers expanded privacy protections. There may be additional amendments to this legislation, and it remains unclear what, if any, modification will be made to this legislation or how it will be interpreted. The effects of this legislation potentially are far-reaching, however, and may require us to modify our data processing practices and policies and to incur costs to comply. Internationally, most of the jurisdictions in which we operate have established their own data security and privacy legal frameworks, many of which are broader in scope, more restrictive and impose greater obligations on us and our customers. For instance, the E.U.</w:t>
      </w:r>
      <w:r>
        <w:rPr>
          <w:rFonts w:ascii="Arial" w:cs="Arial" w:eastAsia="Arial" w:hAnsi="Arial"/>
          <w:sz w:val="17"/>
          <w:szCs w:val="17"/>
          <w:color w:val="231F20"/>
        </w:rPr>
        <w:t>’</w:t>
      </w:r>
      <w:r>
        <w:rPr>
          <w:rFonts w:ascii="Arial" w:cs="Arial" w:eastAsia="Arial" w:hAnsi="Arial"/>
          <w:sz w:val="17"/>
          <w:szCs w:val="17"/>
          <w:color w:val="auto"/>
        </w:rPr>
        <w:t xml:space="preserve">s General Data Protection Regulation (“GDPR”) became effective in May 2018 and </w:t>
      </w:r>
      <w:r>
        <w:rPr>
          <w:rFonts w:ascii="Arial" w:cs="Arial" w:eastAsia="Arial" w:hAnsi="Arial"/>
          <w:sz w:val="17"/>
          <w:szCs w:val="17"/>
          <w:color w:val="231F20"/>
        </w:rPr>
        <w:t>imposes strict requirements related to processing the personal data of</w:t>
      </w:r>
      <w:r>
        <w:rPr>
          <w:rFonts w:ascii="Arial" w:cs="Arial" w:eastAsia="Arial" w:hAnsi="Arial"/>
          <w:sz w:val="17"/>
          <w:szCs w:val="17"/>
          <w:color w:val="auto"/>
        </w:rPr>
        <w:t xml:space="preserve"> </w:t>
      </w:r>
      <w:r>
        <w:rPr>
          <w:rFonts w:ascii="Arial" w:cs="Arial" w:eastAsia="Arial" w:hAnsi="Arial"/>
          <w:sz w:val="17"/>
          <w:szCs w:val="17"/>
          <w:color w:val="231F20"/>
        </w:rPr>
        <w:t xml:space="preserve">E.U. individuals and provides for robust regulatory enforcement and sanctions for non-compliance. E.U. data protection authorities will have the power to impose administrative fines for violations of the GDPR of up to a maximum of €20 million or 4% of the noncompliant company’s annual global turnover for the preceding financial year, whichever is higher, and violations of the GDPR may also lead to damages claims by data controllers and data subjects. Such penalties are in addition to any civil litigation claims by data controllers, data processors, customers and data subjects. </w:t>
      </w:r>
      <w:r>
        <w:rPr>
          <w:rFonts w:ascii="Arial" w:cs="Arial" w:eastAsia="Arial" w:hAnsi="Arial"/>
          <w:sz w:val="17"/>
          <w:szCs w:val="17"/>
          <w:color w:val="000000"/>
        </w:rPr>
        <w:t>The GDPR is likely to</w:t>
      </w:r>
      <w:r>
        <w:rPr>
          <w:rFonts w:ascii="Arial" w:cs="Arial" w:eastAsia="Arial" w:hAnsi="Arial"/>
          <w:sz w:val="17"/>
          <w:szCs w:val="17"/>
          <w:color w:val="231F20"/>
        </w:rPr>
        <w:t xml:space="preserve"> </w:t>
      </w:r>
      <w:r>
        <w:rPr>
          <w:rFonts w:ascii="Arial" w:cs="Arial" w:eastAsia="Arial" w:hAnsi="Arial"/>
          <w:sz w:val="17"/>
          <w:szCs w:val="17"/>
          <w:color w:val="000000"/>
        </w:rPr>
        <w:t xml:space="preserve">increase our obligations, including by mandating documentation requirements and granting certain rights to individuals to inquire into how we collect, use, disclose, retain and process information about them. </w:t>
      </w:r>
      <w:r>
        <w:rPr>
          <w:rFonts w:ascii="Arial" w:cs="Arial" w:eastAsia="Arial" w:hAnsi="Arial"/>
          <w:sz w:val="17"/>
          <w:szCs w:val="17"/>
          <w:color w:val="231F20"/>
        </w:rPr>
        <w:t>Although we are continuing to take steps to comply with applicable portions of the GDPR, the scope</w:t>
      </w:r>
      <w:r>
        <w:rPr>
          <w:rFonts w:ascii="Arial" w:cs="Arial" w:eastAsia="Arial" w:hAnsi="Arial"/>
          <w:sz w:val="17"/>
          <w:szCs w:val="17"/>
          <w:color w:val="000000"/>
        </w:rPr>
        <w:t xml:space="preserve"> </w:t>
      </w:r>
      <w:r>
        <w:rPr>
          <w:rFonts w:ascii="Arial" w:cs="Arial" w:eastAsia="Arial" w:hAnsi="Arial"/>
          <w:sz w:val="17"/>
          <w:szCs w:val="17"/>
          <w:color w:val="231F20"/>
        </w:rPr>
        <w:t>of many of the GDPR’s requirements remains unclear and regulatory guidance on several topics is still forthcoming. Therefore, we cannot assure you that such steps will be sufficient.</w:t>
      </w:r>
    </w:p>
    <w:p>
      <w:pPr>
        <w:spacing w:after="0" w:line="7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Moreover, Brexit has led and could continue to lead to additional compliance costs. As of January 1, 2021, upon the expiry of temporary arrangements between the U.K. and the E.U., data processing in the U.K. is governed by a U.K. version of the GDPR, thereby exposing us to two parallel regulatory regimes, each of which authorizes similar fines and other potentially divergent enforcement actions for certain violations. On June 28, 2021, the European Commission adopted an adequacy decision for the U.K., allowing for a somewhat free exchange of personal information between the E.U. and the U.K.</w:t>
      </w:r>
    </w:p>
    <w:p>
      <w:pPr>
        <w:spacing w:after="0" w:line="81"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to government regulation, privacy advocacy and industry groups may propose new and different self-regulatory standards that either legally or contractually apply to us. As a result of uncertainty regarding the interpretation and application of privacy and data protection-related laws, regulations, and self-regulatory requirements, it is possible that these laws, regulations, and requirements may be interpreted and applied in a manner that is inconsistent with our existing data handling practices or the technological features of our solutions. If so, in addition to the possibility of fines, lawsuits and other claims, each of which may be material, we could be required to fundamentally change our business activities and practices or modify our solutions, which could have an adverse effect on our business. Any inability to adequately address privacy or data protection-related concerns, even if unfounded, or comply with applicable privacy or data protection-related laws, regulations and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solutions. Also, privacy concerns, whether valid or not valid, may inhibit market adoption of our solutions, particularly in foreign countries.</w:t>
      </w:r>
    </w:p>
    <w:p>
      <w:pPr>
        <w:spacing w:after="0" w:line="17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We could become subject to litigation regarding our or a third-party’s intellectual property rights or other confidential or proprietary information, which could seriously harm our business and require us to incur significant costs.</w:t>
      </w:r>
    </w:p>
    <w:p>
      <w:pPr>
        <w:spacing w:after="0" w:line="6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In recent years, there has been a high incidence of litigation in the U.S. involving patents and other intellectual property rights. We are from time to time a party to litigation to enforce our intellectual property rights or to protect our confidential or proprietary information, or as a result of an allegation that we infringe, misappropriate or otherwise violate a third-party’s intellectual property rights, including patents, trademarks, trade secrets and copyrights. From time to time, we have received notices claiming our technology may infringe, misappropriate or otherwise violate third-party intellectual property rights or otherwise threatening to assert intellectual property rights. These claims and any resulting lawsuit, if successful, could subject us to significant liability for damages and our intellectual property rights being reduced, narrowed or held unenforceable or invalid. These lawsuits, regardless of their success, could be time-consuming and expensive to resolve, adversely affect our revenues, profitability and prospects, and divert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line="241" w:lineRule="auto"/>
        <w:rPr>
          <w:sz w:val="20"/>
          <w:szCs w:val="20"/>
          <w:color w:val="auto"/>
        </w:rPr>
      </w:pPr>
      <w:r>
        <w:rPr>
          <w:rFonts w:ascii="Arial" w:cs="Arial" w:eastAsia="Arial" w:hAnsi="Arial"/>
          <w:sz w:val="18"/>
          <w:szCs w:val="18"/>
          <w:color w:val="auto"/>
        </w:rPr>
        <w:t>management time and attention. If we are found to infringe, misappropriate or otherwise violate a third-party’s intellectual property rights, we may be required to pay the third-party substantial monetary damages and to cease the activities covered by such intellectual property rights, unless we obtain a license to such intellectual property rights, which may not be available on commercially reasonable terms or at all. In addition, these claims and threats could also cause us to undertake to re-engineer our products or services which may not be technically or commercially feasible. Any of the foregoing could have a material adverse effect on our business, results of operation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operations.</w:t>
      </w:r>
    </w:p>
    <w:p>
      <w:pPr>
        <w:spacing w:after="0" w:line="104"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We currently have a substantial amount of indebtedness. As of December 31, 2021, we had total indebtedness of $5,979.7 million and an additional $247.3 million available for borrowings under our revolving credit facility. This indebtedness could have adverse consequences. For example, it may:</w:t>
      </w:r>
    </w:p>
    <w:p>
      <w:pPr>
        <w:spacing w:after="0" w:line="16" w:lineRule="exact"/>
        <w:rPr>
          <w:sz w:val="20"/>
          <w:szCs w:val="20"/>
          <w:color w:val="auto"/>
        </w:rPr>
      </w:pPr>
    </w:p>
    <w:p>
      <w:pPr>
        <w:jc w:val="both"/>
        <w:ind w:left="560" w:right="200" w:hanging="507"/>
        <w:spacing w:after="0" w:line="324"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acquisitions, working capital, capital expenditures, research and development efforts and other general corporate purposes;</w:t>
      </w:r>
    </w:p>
    <w:p>
      <w:pPr>
        <w:spacing w:after="0" w:line="16" w:lineRule="exact"/>
        <w:rPr>
          <w:rFonts w:ascii="Arial" w:cs="Arial" w:eastAsia="Arial" w:hAnsi="Arial"/>
          <w:sz w:val="16"/>
          <w:szCs w:val="16"/>
          <w:color w:val="auto"/>
        </w:rPr>
      </w:pPr>
    </w:p>
    <w:p>
      <w:pPr>
        <w:ind w:left="560" w:hanging="50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 our vulnerability to and limit our flexibility in planning for, or reacting to, change in our business and the industry in which we operate;</w:t>
      </w:r>
    </w:p>
    <w:p>
      <w:pPr>
        <w:spacing w:after="0" w:line="115" w:lineRule="exact"/>
        <w:rPr>
          <w:rFonts w:ascii="Arial" w:cs="Arial" w:eastAsia="Arial" w:hAnsi="Arial"/>
          <w:sz w:val="17"/>
          <w:szCs w:val="17"/>
          <w:color w:val="auto"/>
        </w:rPr>
      </w:pPr>
    </w:p>
    <w:p>
      <w:pPr>
        <w:ind w:left="560" w:hanging="507"/>
        <w:spacing w:after="0" w:line="261"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our ability to make certain distributions with respect to our capital stock due to restricted payment and other financial covenants in our credit facilities and other financing agreements;</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borrowings under our senior credit facility are subject to variable rates of interest;</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04" w:lineRule="exact"/>
        <w:rPr>
          <w:sz w:val="20"/>
          <w:szCs w:val="20"/>
          <w:color w:val="auto"/>
        </w:rPr>
      </w:pPr>
    </w:p>
    <w:p>
      <w:pPr>
        <w:ind w:right="300" w:firstLine="509"/>
        <w:spacing w:after="0" w:line="294" w:lineRule="auto"/>
        <w:rPr>
          <w:sz w:val="20"/>
          <w:szCs w:val="20"/>
          <w:color w:val="auto"/>
        </w:rPr>
      </w:pPr>
      <w:r>
        <w:rPr>
          <w:rFonts w:ascii="Arial" w:cs="Arial" w:eastAsia="Arial" w:hAnsi="Arial"/>
          <w:sz w:val="16"/>
          <w:szCs w:val="16"/>
          <w:color w:val="auto"/>
        </w:rPr>
        <w:t>In addition, the agreement governing our senior credit facility contains financial and other restrictive covenants that limit our ability to engage in activities that may be in our long-term best interests, and any additional indebtedness may incur may also contain restrictive covenants. Our failure to comply with those covenants could result in an event of default which, if not cured or waived, could result in the acceleration of all of our debts.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require a significant amount of cash. Our ability to generate cash depends on many factors beyond our control.</w:t>
      </w:r>
    </w:p>
    <w:p>
      <w:pPr>
        <w:spacing w:after="0" w:line="12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estimate that our current levels of indebtedness as of December 31, 2021 will result in annual interest payments of approximately $184.5 million. Our ability to make payments on and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If our business fails to generate sufficient cash flow from operations and future borrowings are not available to us, we may not be able to pay our indebtedness or fund our other liquidity needs. We may need to refinance all or a portion of our indebtedness on or before maturity. We may not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joint ventures. We may not be able to effect such actions, if necessary, on commercially reasonable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restrict our ability to pursue our business strategies.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Credit Agreement limits our ability, among other things, to:</w:t>
      </w:r>
    </w:p>
    <w:p>
      <w:pPr>
        <w:spacing w:after="0" w:line="104" w:lineRule="exact"/>
        <w:rPr>
          <w:sz w:val="20"/>
          <w:szCs w:val="20"/>
          <w:color w:val="auto"/>
        </w:rPr>
      </w:pPr>
    </w:p>
    <w:p>
      <w:pPr>
        <w:ind w:left="560" w:hanging="50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assets, including capital stock of certain subsidiaries;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declare or pay dividends, repurchase or redeem stock or make other distributions to stockholders;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left="560" w:hanging="50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addition, the Credit Agreement also requires us, in certain instances, to maintain compliance with specified leverage ratios. Our ability to comply with these provisions may be affected by events beyond our control, and these provisions could limit our ability to plan for or react to market conditions, meet capital needs or otherwise conduct our business activities and plans.</w:t>
      </w:r>
    </w:p>
    <w:p>
      <w:pPr>
        <w:spacing w:after="0" w:line="7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inability to comply with any of these provisions could result in a default under one or more of the agreements governing our indebtedness. If such a default occurs under one such agreement, the creditors under another debt agreement may elect to declare all borrowings outstanding, together with accrued interest and other fees, to be immediately due and payable. In addition, the lenders under our Credit Agreement would have the right to terminate any commitments they have to provide further borrowings.</w:t>
      </w:r>
    </w:p>
    <w:p>
      <w:pPr>
        <w:spacing w:after="0" w:line="80"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If we are unable to repay outstanding borrowings when due, the lenders under our Credit Agreement also have the right to proceed against the collateral, including substantially all of our domestic assets and the assets of our domestic subsidiaries, granted to them to secure the indebtedness under that facility. If the indebtedness under our Credit Agreement were to be accelerated, we cannot assure you that our assets would be sufficient to repay in full that indebtedness and our other indebtedness.</w:t>
      </w:r>
    </w:p>
    <w:p>
      <w:pPr>
        <w:spacing w:after="0" w:line="18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The replacement of London Interbank Offered Rate (</w:t>
      </w:r>
      <w:r>
        <w:rPr>
          <w:rFonts w:ascii="Arial" w:cs="Arial" w:eastAsia="Arial" w:hAnsi="Arial"/>
          <w:sz w:val="18"/>
          <w:szCs w:val="18"/>
          <w:color w:val="auto"/>
        </w:rPr>
        <w:t>“</w:t>
      </w:r>
      <w:r>
        <w:rPr>
          <w:rFonts w:ascii="Arial" w:cs="Arial" w:eastAsia="Arial" w:hAnsi="Arial"/>
          <w:sz w:val="18"/>
          <w:szCs w:val="18"/>
          <w:b w:val="1"/>
          <w:bCs w:val="1"/>
          <w:i w:val="1"/>
          <w:iCs w:val="1"/>
          <w:color w:val="auto"/>
        </w:rPr>
        <w:t>LIBOR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 an alternative reference rate may adversely affect interest expense related to our outstanding debt.</w:t>
      </w:r>
    </w:p>
    <w:p>
      <w:pPr>
        <w:spacing w:after="0" w:line="63"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The replacement of LIBOR with an alternative reference rate may adversely affect interest expense related to outstanding debt. At December 31, 2021, we had total debt of $5,979.7 million, including $3,974.5 million of variable interest rate debt and which may bear interest rates in relation to U.S. dollar LIBOR, depending on our selection of repayment options. On July 27, 2017, the Financial Conduct Authority (“FCA”) in the U.K. announced that it intends to stop persuading or compelling banks to submit rates for the calculation of LIBOR to the administrator of LIBOR after 2021. The administrator for LIBOR announced on March 5, 2021 that it will permanently cease to publish most LIBOR settings beginning on January 1, 2022 and cease to publish the overnight, one-month, three-month, six-month and 12-month U.S. dollar LIBOR settings on July 1, 2023. Accordingly, the FCA has stated that it does not intend to persuade or compel banks to submit to LIBOR after such respective dates. Until then, however, FCA panel banks have agreed to continue to support LIBOR. The U.S. Federal Reserve, in conjunction with the Alternative Reference Rates Committee, a steering committee comprised of large U.S. financial institutions, is recommending replacing U.S. dollar LIBOR with the Secured Overnight Financing Rate (“SOFR”), a new index calculated by short-term repurchase agreements, backed by Treasury securities. Whether or not SOFR, or another alternative reference rate, attains market traction as a LIBOR replacement tool remains in question. If LIBOR ceases to exist, we may need to renegotiate our Credit Agreement and may not be able to do so with terms that are favorable to us. In particular, the method and rate used to calculate our interest rates and/or payments under the Credit Agreement in the future may result in interest rates and/or payments that are higher than, lower than, or that do not otherwise correlate over time with the interest rates and/or payments that would have been made on our obligations if LIBOR was available in its current form. See “Management’s Discussion and Analysis of Financial Condition and Results of Operations – Contractual Obligations – Senior Secured Credit Facilities” for additional information. The overall financial market may be disrupted as a result of the discontinuation, reform or replacement of LIBOR or any other benchmark rate or any uncertainty in respect thereof. Disruption in the financial market or the inability to renegotiate our Credit Agreement with favorable terms could have a material adverse effect on our business,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16"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3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trading market for our common stock is influenced by the research and reports that equity research analysts publish about us and our business. We do not control these analysts. The price of our stock or trading volume in our stock could decline if one or more equity analysts downgrade our stock or if those analysts issue other unfavorable commentary or cease publishing regular reports about us or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in our common stock.</w:t>
      </w:r>
    </w:p>
    <w:p>
      <w:pPr>
        <w:spacing w:after="0" w:line="104" w:lineRule="exact"/>
        <w:rPr>
          <w:sz w:val="20"/>
          <w:szCs w:val="20"/>
          <w:color w:val="auto"/>
        </w:rPr>
      </w:pPr>
    </w:p>
    <w:p>
      <w:pPr>
        <w:ind w:right="400" w:firstLine="509"/>
        <w:spacing w:after="0" w:line="262" w:lineRule="auto"/>
        <w:rPr>
          <w:sz w:val="20"/>
          <w:szCs w:val="20"/>
          <w:color w:val="auto"/>
        </w:rPr>
      </w:pPr>
      <w:r>
        <w:rPr>
          <w:rFonts w:ascii="Arial" w:cs="Arial" w:eastAsia="Arial" w:hAnsi="Arial"/>
          <w:sz w:val="17"/>
          <w:szCs w:val="17"/>
          <w:color w:val="auto"/>
        </w:rPr>
        <w:t>Shares of our common stock were sold in our initial public offering at a price of $7.50 per share on March 31, 2010, and through December 31, 2021, our common stock has traded as high as $83.28 and as low as $6.64. An active, liquid and orderly market for our common stock may not be sustained, which could depress the trading price of our common stock. In addition, the market price of our common stock may fluctuate significantly. Some of the factors that may cause the market price of our common stock to fluctuate include: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any of our products to achieve or maintain market acceptance;</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of competitive products;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alliances;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any of our markets;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if the market for technology stocks, financial services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C. Stone, our Chairman of the Board and Chief Executive Officer, exerts significant control over our Company.</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February 17, 2022, William C. Stone, our Chairman of the Board and Chief Executive Officer, beneficially owned approximately 13.3% of the outstanding shares of our common stock. We are party to a stockholders’ agreement with Mr. Stone, pursuant to which Mr. Stone has the right to nominate two members of our board of directors, one of which will be Mr. Stone for so long as he is our Chief Executive Officer. As a result, Mr. Stone has significant influence over our policy and affairs and matters requiring stockholder approval.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SS&amp;C Holdings is a holding company with no operations or assets of its own and its ability to pay dividends is limited or otherwise restricted.</w:t>
      </w:r>
    </w:p>
    <w:p>
      <w:pPr>
        <w:spacing w:after="0" w:line="12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As of December 31, 2021, SS&amp;C Holdings has no direct operations and no significant assets other than the stock of SS&amp;C and Advent Software, Inc. The ability of SS&amp;C Holdings to pay dividends is limited by its status as a holding company and by the terms of the agreement governing our indebtedness. See “Risk factors - Risks relating to our indebtedness - Restrictive covenants in the agreements governing our indebtedness may restrict our ability to pursue our business strategies.” Moreover, none of the subsidiaries of SS&amp;C Holdings are obligated to make funds available to SS&amp;C Holdings for the payment of dividends or otherwise. In addition, Delaware law imposes requirements that may restrict the ability of our subsidiaries, including SS&amp;C, to pay dividends to SS&amp;C Holdings. These limitations could reduce our attractiveness to investors.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existing cash resources and may not use such funds effectively.</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management has broad discretion in the application of our cash resources. Accordingly, our stockholders will have to rely upon the judgment of our management with respect to our existing cash resources, with only limited information concerning management’s specific intentions. Our management may spend our cash resources in ways that our stockholders may not desire or that may not yield a favorable return. The failure by our management to apply these funds effectively could harm our business.</w:t>
      </w:r>
    </w:p>
    <w:p>
      <w:pPr>
        <w:spacing w:after="0" w:line="18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Provisions in our certificate of incorporation and bylaws might discourage, delay or prevent a change of control of our Company or changes in our management and, therefore, depress the trading price of our common stock.</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Provisions of our certificate of incorporation and bylaws and Delaware law may discourage, delay or prevent a merger, acquisition or other change in control that stockholders may consider favorable, including transactions in which stockholders might otherwise receive a premium for their shares of our common stock. These provisions may also prevent or frustrate attempts by our stockholders to replace or remove our management. These provisions include:</w:t>
      </w:r>
    </w:p>
    <w:p>
      <w:pPr>
        <w:spacing w:after="0" w:line="80" w:lineRule="exact"/>
        <w:rPr>
          <w:sz w:val="20"/>
          <w:szCs w:val="20"/>
          <w:color w:val="auto"/>
        </w:rPr>
      </w:pPr>
    </w:p>
    <w:p>
      <w:pPr>
        <w:ind w:left="560" w:hanging="507"/>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are elected at one time;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left="560" w:hanging="50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w:t>
      </w:r>
    </w:p>
    <w:p>
      <w:pPr>
        <w:spacing w:after="0" w:line="103" w:lineRule="exact"/>
        <w:rPr>
          <w:rFonts w:ascii="Arial" w:cs="Arial" w:eastAsia="Arial" w:hAnsi="Arial"/>
          <w:sz w:val="18"/>
          <w:szCs w:val="18"/>
          <w:color w:val="auto"/>
        </w:rPr>
      </w:pPr>
    </w:p>
    <w:p>
      <w:pPr>
        <w:ind w:left="560" w:right="160" w:hanging="507"/>
        <w:spacing w:after="0" w:line="248"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 and</w:t>
      </w:r>
    </w:p>
    <w:p>
      <w:pPr>
        <w:spacing w:after="0" w:line="73" w:lineRule="exact"/>
        <w:rPr>
          <w:rFonts w:ascii="Arial" w:cs="Arial" w:eastAsia="Arial" w:hAnsi="Arial"/>
          <w:sz w:val="18"/>
          <w:szCs w:val="18"/>
          <w:color w:val="auto"/>
        </w:rPr>
      </w:pPr>
    </w:p>
    <w:p>
      <w:pPr>
        <w:ind w:left="560" w:hanging="507"/>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stockholders from acting by written consent.</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our stockholders could receive a premium for their shares of common stock in an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lease our corporate offices, which consist of approximately 93,500 square feet of office space located at 80 Lamberton Road, Windsor, CT 06095. In 2013, we extended the lease term through October 2022. We utilize facilities and offices in approximately 125 other locations in North America, South America, Europe, Asia, Australia and Africa. We lease approximately 59% of our office space as compared to owning 41% of our office space. We believe that our facilities are in good condition and generally suitable to meet our needs for the foreseeable future; however, we will continue to seek additional space as needed to satisfy our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16"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From time to time, we are subject to legal proceedings and claims. Certain legal proceedings in which we are involved are discussed in Note 18 to the Consolidated Financial Statements, which is included elsewhere in this annual report on Form 10-K and incorporated by reference herein. In the opinion of our management, we are not involved in any litigation or proceedings that would have a material adverse effect on us or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58"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Our common stock trades on The Nasdaq Global Select Market under the symbol “SSNC”. As of February 17, 2022, we had approximately 187,000 beneficial shareholders of our common stock.</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July 2021, our Board of Directors authorized a stock repurchase program, which enables us to repurchase up to $1 billion in the aggregate of our outstanding common stock. Our authority to repurchase shares under the program will continue until the one-year anniversary of the Board</w:t>
      </w:r>
      <w:r>
        <w:rPr>
          <w:rFonts w:ascii="Arial" w:cs="Arial" w:eastAsia="Arial" w:hAnsi="Arial"/>
          <w:sz w:val="18"/>
          <w:szCs w:val="18"/>
          <w:color w:val="231F20"/>
        </w:rPr>
        <w:t>’</w:t>
      </w:r>
      <w:r>
        <w:rPr>
          <w:rFonts w:ascii="Arial" w:cs="Arial" w:eastAsia="Arial" w:hAnsi="Arial"/>
          <w:sz w:val="18"/>
          <w:szCs w:val="18"/>
          <w:color w:val="auto"/>
        </w:rPr>
        <w:t>s authorization, unless earlier terminated by the Board. There were no repurchases during the fourth quarter of 2021. As of December 31, 2021, $837.1 million remains available for repurchase.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ind w:right="720" w:firstLine="509"/>
        <w:spacing w:after="0" w:line="270" w:lineRule="auto"/>
        <w:rPr>
          <w:sz w:val="20"/>
          <w:szCs w:val="20"/>
          <w:color w:val="auto"/>
        </w:rPr>
      </w:pPr>
      <w:r>
        <w:rPr>
          <w:rFonts w:ascii="Arial" w:cs="Arial" w:eastAsia="Arial" w:hAnsi="Arial"/>
          <w:sz w:val="17"/>
          <w:szCs w:val="17"/>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SS&amp;C Technologies Holdings, Inc. under the Exchange Act.</w:t>
      </w:r>
    </w:p>
    <w:p>
      <w:pPr>
        <w:spacing w:after="0" w:line="16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following graph shows a comparison from December 31, 2016 through December 31, 2021 of cumulative total return for our common stock, the Nasdaq Composite Index and the Nasdaq Technology Dividend TR Index. The Nasdaq Technology Dividend TR Index replaces the Nasdaq Computer and Data Processing Index in this analysis and going forward, as the Nasdaq Computer and Data Processing Index data is no longer available. The Nasdaq Computer and Data Processing Index has been included with data through 2020. Such returns are based on historical results and are not intended to suggest future performance. Data for the Nasdaq Composite Index, the Nasdaq Computer and Data Processing Index and the Nasdaq Technology Dividend TR Index assume reinvestment of dividends.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SS&amp;C Technologies Holdings, Inc., the Nasdaq Composite Index</w:t>
      </w:r>
    </w:p>
    <w:p>
      <w:pPr>
        <w:jc w:val="center"/>
        <w:spacing w:after="0"/>
        <w:rPr>
          <w:sz w:val="20"/>
          <w:szCs w:val="20"/>
          <w:color w:val="auto"/>
        </w:rPr>
      </w:pPr>
      <w:r>
        <w:rPr>
          <w:rFonts w:ascii="Arial" w:cs="Arial" w:eastAsia="Arial" w:hAnsi="Arial"/>
          <w:sz w:val="18"/>
          <w:szCs w:val="18"/>
          <w:b w:val="1"/>
          <w:bCs w:val="1"/>
          <w:color w:val="auto"/>
        </w:rPr>
        <w:t>and the Nasdaq Technology Dividend TR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124460</wp:posOffset>
            </wp:positionV>
            <wp:extent cx="6172200" cy="3385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$100 invested in stock on 12/31/2016. Return calculations of indices assume the reinvestment of dividends.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rPr>
              <w:t>12/31/2016</w:t>
            </w:r>
          </w:p>
        </w:tc>
        <w:tc>
          <w:tcPr>
            <w:tcW w:w="12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12/31/2017</w:t>
            </w:r>
          </w:p>
        </w:tc>
        <w:tc>
          <w:tcPr>
            <w:tcW w:w="13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12/31/2018</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12/31/2019</w:t>
            </w: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12/31/2020</w:t>
            </w:r>
          </w:p>
        </w:tc>
        <w:tc>
          <w:tcPr>
            <w:tcW w:w="12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12/31/2021</w:t>
            </w:r>
          </w:p>
        </w:tc>
        <w:tc>
          <w:tcPr>
            <w:tcW w:w="60" w:type="dxa"/>
            <w:vAlign w:val="bottom"/>
          </w:tcPr>
          <w:p>
            <w:pPr>
              <w:spacing w:after="0"/>
              <w:rPr>
                <w:sz w:val="16"/>
                <w:szCs w:val="16"/>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SS&amp;C Technologies Holdings, Inc.</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w:t>
            </w:r>
          </w:p>
        </w:tc>
        <w:tc>
          <w:tcPr>
            <w:tcW w:w="34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w:t>
            </w:r>
          </w:p>
        </w:tc>
        <w:tc>
          <w:tcPr>
            <w:tcW w:w="3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3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Nasdaq Composite - Total Returns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305</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Nasdaq Computer &amp; Data Processing Index</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Nasdaq Technology Dividend TR Index</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right="1500"/>
        <w:spacing w:after="0" w:line="36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We are a leading provider of mission-critical, sophisticated software-enabled services that allow financial services providers to automate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business processes. Our portfolio of software products and rapidly deployable software-enabled services allows our clients to automate and integrate front-office functions such as trading and modeling, middle-office functions such as portfolio management and reporting, and back-office functions such as accounting, transfer agency, compliance, regulatory services, performance measurement, reconciliation, reporting, processing and clearing. We provide our solutions globally to thousands of clients, principally within the institutional asset and wealth management, alternative investment management, brokerage, retirement, financial advisory and financial institutions vertical markets. In addition, we provide solutions to the healthcare industry including pharmacy, healthcare administration and health outcomes optimization solutions to satisfy their information processing, quality of care, cost management and payment integrity needs. Our healthcare solutions include claims adjudication, benefit management, care management and business intelligence services.</w:t>
      </w:r>
    </w:p>
    <w:p>
      <w:pPr>
        <w:spacing w:after="0" w:line="191"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i w:val="1"/>
          <w:iCs w:val="1"/>
          <w:color w:val="auto"/>
        </w:rPr>
        <w:t>Acquisitions</w:t>
      </w:r>
      <w:r>
        <w:rPr>
          <w:rFonts w:ascii="Arial" w:cs="Arial" w:eastAsia="Arial" w:hAnsi="Arial"/>
          <w:sz w:val="17"/>
          <w:szCs w:val="17"/>
          <w:color w:val="auto"/>
        </w:rPr>
        <w:t>. To supplement our growth, we evaluate and execute acquisitions that provide complementary products or services, add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an established client base and expand our intellectual property portfolio or address a highly specialized problem or a market niche. Since the beginning of 2019, we have spent approximately $224.6 million on our three most significant acquisitions, using a combination of cash on hand and equity financing (as discussed in Notes 8 and 11 to our Consolidated Financial Statements).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lists the significant businesses we have acquired since January 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Acquired Business</w:t>
            </w:r>
          </w:p>
        </w:tc>
        <w:tc>
          <w:tcPr>
            <w:tcW w:w="160" w:type="dxa"/>
            <w:vAlign w:val="bottom"/>
          </w:tcPr>
          <w:p>
            <w:pPr>
              <w:spacing w:after="0"/>
              <w:rPr>
                <w:sz w:val="16"/>
                <w:szCs w:val="16"/>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Acquisition Date</w:t>
            </w:r>
          </w:p>
        </w:tc>
        <w:tc>
          <w:tcPr>
            <w:tcW w:w="160" w:type="dxa"/>
            <w:vAlign w:val="bottom"/>
          </w:tcPr>
          <w:p>
            <w:pPr>
              <w:spacing w:after="0"/>
              <w:rPr>
                <w:sz w:val="16"/>
                <w:szCs w:val="16"/>
                <w:color w:val="auto"/>
              </w:rPr>
            </w:pPr>
          </w:p>
        </w:tc>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Acquired Capabilities, Products and Services</w:t>
            </w: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Innovest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May 2020</w:t>
            </w:r>
          </w:p>
        </w:tc>
        <w:tc>
          <w:tcPr>
            <w:tcW w:w="160" w:type="dxa"/>
            <w:vAlign w:val="bottom"/>
            <w:shd w:val="clear" w:color="auto" w:fill="CFF0FC"/>
          </w:tcPr>
          <w:p>
            <w:pPr>
              <w:spacing w:after="0"/>
              <w:rPr>
                <w:sz w:val="17"/>
                <w:szCs w:val="17"/>
                <w:color w:val="auto"/>
              </w:rPr>
            </w:pPr>
          </w:p>
        </w:tc>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Added web-based trust accounting and unique asset servicing solutions</w:t>
            </w: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8"/>
                <w:szCs w:val="18"/>
                <w:color w:val="auto"/>
              </w:rPr>
              <w:t>Captricity</w:t>
            </w:r>
          </w:p>
        </w:tc>
        <w:tc>
          <w:tcPr>
            <w:tcW w:w="160" w:type="dxa"/>
            <w:vAlign w:val="bottom"/>
          </w:tcPr>
          <w:p>
            <w:pPr>
              <w:spacing w:after="0"/>
              <w:rPr>
                <w:sz w:val="14"/>
                <w:szCs w:val="14"/>
                <w:color w:val="auto"/>
              </w:rPr>
            </w:pPr>
          </w:p>
        </w:tc>
        <w:tc>
          <w:tcPr>
            <w:tcW w:w="1460" w:type="dxa"/>
            <w:vAlign w:val="bottom"/>
          </w:tcPr>
          <w:p>
            <w:pPr>
              <w:spacing w:after="0" w:line="162" w:lineRule="exact"/>
              <w:rPr>
                <w:sz w:val="20"/>
                <w:szCs w:val="20"/>
                <w:color w:val="auto"/>
              </w:rPr>
            </w:pPr>
            <w:r>
              <w:rPr>
                <w:rFonts w:ascii="Arial" w:cs="Arial" w:eastAsia="Arial" w:hAnsi="Arial"/>
                <w:sz w:val="18"/>
                <w:szCs w:val="18"/>
                <w:color w:val="auto"/>
              </w:rPr>
              <w:t>March 2020</w:t>
            </w:r>
          </w:p>
        </w:tc>
        <w:tc>
          <w:tcPr>
            <w:tcW w:w="160" w:type="dxa"/>
            <w:vAlign w:val="bottom"/>
          </w:tcPr>
          <w:p>
            <w:pPr>
              <w:spacing w:after="0"/>
              <w:rPr>
                <w:sz w:val="14"/>
                <w:szCs w:val="14"/>
                <w:color w:val="auto"/>
              </w:rPr>
            </w:pPr>
          </w:p>
        </w:tc>
        <w:tc>
          <w:tcPr>
            <w:tcW w:w="6540" w:type="dxa"/>
            <w:vAlign w:val="bottom"/>
          </w:tcPr>
          <w:p>
            <w:pPr>
              <w:ind w:left="20"/>
              <w:spacing w:after="0" w:line="162" w:lineRule="exact"/>
              <w:rPr>
                <w:sz w:val="20"/>
                <w:szCs w:val="20"/>
                <w:color w:val="auto"/>
              </w:rPr>
            </w:pPr>
            <w:r>
              <w:rPr>
                <w:rFonts w:ascii="Arial" w:cs="Arial" w:eastAsia="Arial" w:hAnsi="Arial"/>
                <w:sz w:val="18"/>
                <w:szCs w:val="18"/>
                <w:color w:val="auto"/>
                <w:w w:val="91"/>
              </w:rPr>
              <w:t>Added data transformation platform to extract handwritten and machine printed data from</w:t>
            </w:r>
          </w:p>
        </w:tc>
      </w:tr>
      <w:tr>
        <w:trPr>
          <w:trHeight w:val="216"/>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paper documents</w:t>
            </w:r>
          </w:p>
        </w:tc>
      </w:tr>
      <w:tr>
        <w:trPr>
          <w:trHeight w:val="203"/>
        </w:trPr>
        <w:tc>
          <w:tcPr>
            <w:tcW w:w="2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Algorithmics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November 2019</w:t>
            </w:r>
          </w:p>
        </w:tc>
        <w:tc>
          <w:tcPr>
            <w:tcW w:w="160" w:type="dxa"/>
            <w:vAlign w:val="bottom"/>
            <w:shd w:val="clear" w:color="auto" w:fill="CFF0FC"/>
          </w:tcPr>
          <w:p>
            <w:pPr>
              <w:spacing w:after="0"/>
              <w:rPr>
                <w:sz w:val="17"/>
                <w:szCs w:val="17"/>
                <w:color w:val="auto"/>
              </w:rPr>
            </w:pPr>
          </w:p>
        </w:tc>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Added cloud-based risk analytics and additional regulatory solutions</w:t>
            </w:r>
          </w:p>
        </w:tc>
      </w:tr>
    </w:tbl>
    <w:p>
      <w:pPr>
        <w:spacing w:after="0" w:line="18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discussion in this Part II, Item 7 of this Annual Report on Form 10-K includes the operations of the businesses listed in the table above for the respective time periods each was owned by SS&amp;C.</w:t>
      </w:r>
    </w:p>
    <w:p>
      <w:pPr>
        <w:spacing w:after="0" w:line="171" w:lineRule="exact"/>
        <w:rPr>
          <w:sz w:val="20"/>
          <w:szCs w:val="20"/>
          <w:color w:val="auto"/>
        </w:rPr>
      </w:pPr>
    </w:p>
    <w:p>
      <w:pPr>
        <w:ind w:right="200" w:firstLine="509"/>
        <w:spacing w:after="0" w:line="254"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As we have expanded our business, we have focused on increasing our software-enabled services. Since 2019, we have seen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in the financial services industry for these services from existing and new customers. We have taken a number of steps to support that demand, such as automating our software-enabled services delivery methods, expanding our service offerings and providing our employees with sales incentives. We have also acquired businesses that offer software-enabled services or have a large base of term license or maintenance clients. Our software-enabled services revenues increased from $3,869.2 million and 84% of total revenues in 2019 to $4,256.1 million and 84% of revenues in 2021. We believe that our high level of these contractually recurring revenues provides us with the ability to better manage our costs and capital investments. To support the growth in our software-enabled services revenues and maintain our level of customer service, we have added personnel, expanded our facilities and invested in IT.</w:t>
      </w:r>
    </w:p>
    <w:p>
      <w:pPr>
        <w:spacing w:after="0" w:line="181" w:lineRule="exact"/>
        <w:rPr>
          <w:sz w:val="20"/>
          <w:szCs w:val="20"/>
          <w:color w:val="auto"/>
        </w:rPr>
      </w:pPr>
    </w:p>
    <w:p>
      <w:pPr>
        <w:jc w:val="both"/>
        <w:ind w:right="160" w:firstLine="509"/>
        <w:spacing w:after="0" w:line="284" w:lineRule="auto"/>
        <w:rPr>
          <w:sz w:val="20"/>
          <w:szCs w:val="20"/>
          <w:color w:val="auto"/>
        </w:rPr>
      </w:pPr>
      <w:r>
        <w:rPr>
          <w:rFonts w:ascii="Arial" w:cs="Arial" w:eastAsia="Arial" w:hAnsi="Arial"/>
          <w:sz w:val="16"/>
          <w:szCs w:val="16"/>
          <w:i w:val="1"/>
          <w:iCs w:val="1"/>
          <w:color w:val="auto"/>
        </w:rPr>
        <w:t xml:space="preserve">Liquidity. </w:t>
      </w:r>
      <w:r>
        <w:rPr>
          <w:rFonts w:ascii="Arial" w:cs="Arial" w:eastAsia="Arial" w:hAnsi="Arial"/>
          <w:sz w:val="16"/>
          <w:szCs w:val="16"/>
          <w:color w:val="auto"/>
        </w:rPr>
        <w:t>In March of 2019, we issued $2.0 billion aggregate principal amount of 5.5% Senior Notes due 2027 (“Senior Notes”), the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were used to repay a portion of the outstanding Term B-3 Loan under our existing senior secured credit facilities. In January 2020, we entered into an amendment to our senior secured credit agreement, whereby the interest rate margin applicable to the term loans was reduced from LIBOR plus 2.25% to LIBOR plus 1.75%. No changes were made to the financial covenants, outstanding principal amounts or the scheduled amortization.</w:t>
      </w:r>
    </w:p>
    <w:p>
      <w:pPr>
        <w:spacing w:after="0" w:line="155"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We generated $1,429.0 million in cash from operating activities in 2021, compared to $1,184.7 million and $1,328.3 million in 2020 and 2019, respectively. In 2021, we used our operating cash flow, $197.7 million in proceeds from the exercise of stock options and existing cash to repay $519.9 million of net debt, pay $174.0 million in dividends, purchase $487.9 million of common stock for treasury and invest in capital expenditures in our business.</w:t>
      </w:r>
    </w:p>
    <w:p>
      <w:pPr>
        <w:spacing w:after="0" w:line="18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impacts of COVID-19 and related economic conditions on our results are uncertain and, in many respects, outside our control. While we have experienced some client delays in committing to services and products, to date we have experienced no direct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ind w:right="20"/>
        <w:spacing w:after="0" w:line="294" w:lineRule="auto"/>
        <w:rPr>
          <w:sz w:val="20"/>
          <w:szCs w:val="20"/>
          <w:color w:val="auto"/>
        </w:rPr>
      </w:pPr>
      <w:r>
        <w:rPr>
          <w:rFonts w:ascii="Arial" w:cs="Arial" w:eastAsia="Arial" w:hAnsi="Arial"/>
          <w:sz w:val="16"/>
          <w:szCs w:val="16"/>
          <w:color w:val="auto"/>
        </w:rPr>
        <w:t>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80"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Our results of operations below include the results of our recent acquisitions from the date which they were acquired, including Investrack in November 2019, Algorithmics in December 2019, Captricity in March 2020, Innovest in May 2020, Millennium in December 2020 and Capita in March 2021.</w:t>
      </w:r>
    </w:p>
    <w:p>
      <w:pPr>
        <w:spacing w:after="0" w:line="182"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360" w:type="dxa"/>
            <w:vAlign w:val="bottom"/>
            <w:vMerge w:val="restart"/>
          </w:tcPr>
          <w:p>
            <w:pPr>
              <w:jc w:val="right"/>
              <w:ind w:right="119"/>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84.3</w:t>
            </w:r>
          </w:p>
        </w:tc>
        <w:tc>
          <w:tcPr>
            <w:tcW w:w="36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83.4</w:t>
            </w:r>
          </w:p>
        </w:tc>
        <w:tc>
          <w:tcPr>
            <w:tcW w:w="3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83.5</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License, maintenance and related</w:t>
            </w:r>
          </w:p>
        </w:tc>
        <w:tc>
          <w:tcPr>
            <w:tcW w:w="140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15.7 %</w:t>
            </w:r>
          </w:p>
        </w:tc>
        <w:tc>
          <w:tcPr>
            <w:tcW w:w="13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16.6 %</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Pr>
          <w:p>
            <w:pPr>
              <w:ind w:left="100"/>
              <w:spacing w:after="0" w:line="182" w:lineRule="exact"/>
              <w:rPr>
                <w:sz w:val="20"/>
                <w:szCs w:val="20"/>
                <w:color w:val="auto"/>
              </w:rPr>
            </w:pPr>
            <w:r>
              <w:rPr>
                <w:rFonts w:ascii="Arial" w:cs="Arial" w:eastAsia="Arial" w:hAnsi="Arial"/>
                <w:sz w:val="18"/>
                <w:szCs w:val="18"/>
                <w:color w:val="auto"/>
              </w:rPr>
              <w:t>Total revenues</w:t>
            </w:r>
          </w:p>
        </w:tc>
        <w:tc>
          <w:tcPr>
            <w:tcW w:w="1400" w:type="dxa"/>
            <w:vAlign w:val="bottom"/>
            <w:gridSpan w:val="2"/>
          </w:tcPr>
          <w:p>
            <w:pPr>
              <w:jc w:val="right"/>
              <w:ind w:right="119"/>
              <w:spacing w:after="0" w:line="182" w:lineRule="exact"/>
              <w:rPr>
                <w:sz w:val="20"/>
                <w:szCs w:val="20"/>
                <w:color w:val="auto"/>
              </w:rPr>
            </w:pPr>
            <w:r>
              <w:rPr>
                <w:rFonts w:ascii="Arial" w:cs="Arial" w:eastAsia="Arial" w:hAnsi="Arial"/>
                <w:sz w:val="18"/>
                <w:szCs w:val="18"/>
                <w:color w:val="auto"/>
              </w:rPr>
              <w:t>100.0 %</w:t>
            </w:r>
          </w:p>
        </w:tc>
        <w:tc>
          <w:tcPr>
            <w:tcW w:w="136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100.0 %</w:t>
            </w: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-159385</wp:posOffset>
            </wp:positionV>
            <wp:extent cx="1631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-159385</wp:posOffset>
            </wp:positionV>
            <wp:extent cx="1543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wp:posOffset>
            </wp:positionV>
            <wp:extent cx="1543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vMerge w:val="restart"/>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91"/>
              </w:rPr>
              <w:t>Period</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Software-enabled services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4,256.1</w:t>
            </w:r>
          </w:p>
        </w:tc>
        <w:tc>
          <w:tcPr>
            <w:tcW w:w="2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3,891.3</w:t>
            </w:r>
          </w:p>
        </w:tc>
        <w:tc>
          <w:tcPr>
            <w:tcW w:w="18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3,869.2</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0.6</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maintenance and related</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794.9</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776.6</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763.7</w:t>
            </w:r>
          </w:p>
        </w:tc>
        <w:tc>
          <w:tcPr>
            <w:tcW w:w="1500" w:type="dxa"/>
            <w:vAlign w:val="bottom"/>
            <w:tcBorders>
              <w:bottom w:val="single" w:sz="8" w:color="CFF0FC"/>
            </w:tcBorders>
            <w:gridSpan w:val="3"/>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2.4 %</w:t>
            </w: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5060" w:type="dxa"/>
            <w:vAlign w:val="bottom"/>
          </w:tcPr>
          <w:p>
            <w:pPr>
              <w:ind w:left="120"/>
              <w:spacing w:after="0" w:line="182" w:lineRule="exact"/>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5,051.0</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4,667.9</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4,632.9</w:t>
            </w:r>
          </w:p>
        </w:tc>
        <w:tc>
          <w:tcPr>
            <w:tcW w:w="1500" w:type="dxa"/>
            <w:vAlign w:val="bottom"/>
            <w:gridSpan w:val="3"/>
          </w:tcPr>
          <w:p>
            <w:pPr>
              <w:jc w:val="right"/>
              <w:ind w:right="110"/>
              <w:spacing w:after="0" w:line="182" w:lineRule="exact"/>
              <w:rPr>
                <w:sz w:val="20"/>
                <w:szCs w:val="20"/>
                <w:color w:val="auto"/>
              </w:rPr>
            </w:pPr>
            <w:r>
              <w:rPr>
                <w:rFonts w:ascii="Arial" w:cs="Arial" w:eastAsia="Arial" w:hAnsi="Arial"/>
                <w:sz w:val="18"/>
                <w:szCs w:val="18"/>
                <w:color w:val="auto"/>
              </w:rPr>
              <w:t>8.2 %</w:t>
            </w:r>
          </w:p>
        </w:tc>
        <w:tc>
          <w:tcPr>
            <w:tcW w:w="160" w:type="dxa"/>
            <w:vAlign w:val="bottom"/>
          </w:tcPr>
          <w:p>
            <w:pPr>
              <w:spacing w:after="0"/>
              <w:rPr>
                <w:sz w:val="17"/>
                <w:szCs w:val="17"/>
                <w:color w:val="auto"/>
              </w:rPr>
            </w:pPr>
          </w:p>
        </w:tc>
        <w:tc>
          <w:tcPr>
            <w:tcW w:w="9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-159385</wp:posOffset>
            </wp:positionV>
            <wp:extent cx="431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431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i w:val="1"/>
          <w:iCs w:val="1"/>
          <w:color w:val="auto"/>
        </w:rPr>
        <w:t>Fiscal 2021 versus Fiscal 2020</w:t>
      </w:r>
      <w:r>
        <w:rPr>
          <w:rFonts w:ascii="Arial" w:cs="Arial" w:eastAsia="Arial" w:hAnsi="Arial"/>
          <w:sz w:val="17"/>
          <w:szCs w:val="17"/>
          <w:color w:val="auto"/>
        </w:rPr>
        <w:t>. Our revenues increased $383.1 million, or 8.2%, primarily due to an increase of $272.7 million in organic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strength in the SS&amp;C GlobeOp fund administration, Black Diamond, Geneva, Retirement Solutions, ALPS Advisors and virtual data room services and products. Our revenues also increased due to acquisitions, which contributed $56.9 million in revenues as well as the favorable impact from foreign currency translation of $53.5 million. Software-enabled services revenues increased $364.8 million, or 9.4%, primarily due to an increase in organic revenues of $263.2 million, and acquisitions, which added $56.9 million in revenues, as well as the favorable impact from foreign currency translation of $44.7 million. License, maintenance and related revenues increased $18.3 million, or 2.4%, due to an increase in organic revenues of $9.5 million and the favorable impact from foreign currency translation of $8.8 million.</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Fiscal 2020 versus Fiscal 2019</w:t>
      </w:r>
      <w:r>
        <w:rPr>
          <w:rFonts w:ascii="Arial" w:cs="Arial" w:eastAsia="Arial" w:hAnsi="Arial"/>
          <w:sz w:val="18"/>
          <w:szCs w:val="18"/>
          <w:color w:val="auto"/>
        </w:rPr>
        <w:t>. Our revenues increased $35.0 million, or 0.8%, primarily due to our acquisitions, which, combined,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$100.4 million to the increase in revenues. This increase was partially offset by a decrease of $65.3 million in organic revenues. The unfavorable impact from foreign currency translation reduced revenues by $0.1 million. Software-enabled services revenues increased $22.1 million, or 0.6%, primarily due to our acquisitions, which contributed $40.4 million to the increase in revenues, as well as from the favorable impact from foreign currency translation of $0.7 million. These increases were partially offset by a decrease in organic revenues of $19.0 million. License, maintenance and related revenues increased $12.9 million,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340"/>
        <w:spacing w:after="0" w:line="261" w:lineRule="auto"/>
        <w:rPr>
          <w:sz w:val="20"/>
          <w:szCs w:val="20"/>
          <w:color w:val="auto"/>
        </w:rPr>
      </w:pPr>
      <w:r>
        <w:rPr>
          <w:rFonts w:ascii="Arial" w:cs="Arial" w:eastAsia="Arial" w:hAnsi="Arial"/>
          <w:sz w:val="18"/>
          <w:szCs w:val="18"/>
          <w:color w:val="auto"/>
        </w:rPr>
        <w:t>1.7%, primarily due to our acquisitions, which contributed $60.0 million to the increase in revenues. This increase was partially offset by a decrease of $46.3 million in organic revenues as well as the unfavorable impact from foreign currency translation of $0.8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2"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servicing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24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0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Cost of software-enabled services</w:t>
            </w: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54.7</w:t>
            </w:r>
          </w:p>
        </w:tc>
        <w:tc>
          <w:tcPr>
            <w:tcW w:w="38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58.0</w:t>
            </w:r>
          </w:p>
        </w:tc>
        <w:tc>
          <w:tcPr>
            <w:tcW w:w="36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59.6</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Cost of license, maintenance and related</w:t>
            </w:r>
          </w:p>
        </w:tc>
        <w:tc>
          <w:tcPr>
            <w:tcW w:w="7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85"/>
              </w:rPr>
              <w:t>39.7 %</w:t>
            </w:r>
          </w:p>
        </w:tc>
        <w:tc>
          <w:tcPr>
            <w:tcW w:w="6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89"/>
              </w:rPr>
              <w:t>40.8 %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40.1 %</w:t>
            </w:r>
          </w:p>
        </w:tc>
      </w:tr>
      <w:tr>
        <w:trPr>
          <w:trHeight w:val="203"/>
        </w:trPr>
        <w:tc>
          <w:tcPr>
            <w:tcW w:w="56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Total cost of revenues</w:t>
            </w:r>
          </w:p>
        </w:tc>
        <w:tc>
          <w:tcPr>
            <w:tcW w:w="7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85"/>
              </w:rPr>
              <w:t>52.3 %</w:t>
            </w:r>
          </w:p>
        </w:tc>
        <w:tc>
          <w:tcPr>
            <w:tcW w:w="660" w:type="dxa"/>
            <w:vAlign w:val="bottom"/>
          </w:tcPr>
          <w:p>
            <w:pPr>
              <w:spacing w:after="0"/>
              <w:rPr>
                <w:sz w:val="17"/>
                <w:szCs w:val="17"/>
                <w:color w:val="auto"/>
              </w:rPr>
            </w:pPr>
          </w:p>
        </w:tc>
        <w:tc>
          <w:tcPr>
            <w:tcW w:w="7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89"/>
              </w:rPr>
              <w:t>55.1 %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56.4 %</w:t>
            </w: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Gross margin percentage</w:t>
            </w:r>
          </w:p>
        </w:tc>
        <w:tc>
          <w:tcPr>
            <w:tcW w:w="7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85"/>
              </w:rPr>
              <w:t>47.7 %</w:t>
            </w:r>
          </w:p>
        </w:tc>
        <w:tc>
          <w:tcPr>
            <w:tcW w:w="6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89"/>
              </w:rPr>
              <w:t>44.9 %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43.6 %</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vMerge w:val="restart"/>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Percent Change From Prior</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Period</w:t>
            </w:r>
          </w:p>
        </w:tc>
        <w:tc>
          <w:tcPr>
            <w:tcW w:w="8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Cost of software-enabled services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440" w:type="dxa"/>
            <w:vAlign w:val="bottom"/>
            <w:vMerge w:val="restart"/>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2,326.0</w:t>
            </w:r>
          </w:p>
        </w:tc>
        <w:tc>
          <w:tcPr>
            <w:tcW w:w="2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2,257.3</w:t>
            </w:r>
          </w:p>
        </w:tc>
        <w:tc>
          <w:tcPr>
            <w:tcW w:w="2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2,305.7</w:t>
            </w: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440" w:type="dxa"/>
            <w:vAlign w:val="bottom"/>
            <w:vMerge w:val="continue"/>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license, maintenance and related</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315.7</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306.0</w:t>
            </w:r>
          </w:p>
        </w:tc>
        <w:tc>
          <w:tcPr>
            <w:tcW w:w="1500" w:type="dxa"/>
            <w:vAlign w:val="bottom"/>
            <w:tcBorders>
              <w:bottom w:val="single" w:sz="8" w:color="CFF0FC"/>
            </w:tcBorders>
            <w:gridSpan w:val="3"/>
            <w:shd w:val="clear" w:color="auto" w:fill="CFF0FC"/>
          </w:tcPr>
          <w:p>
            <w:pPr>
              <w:jc w:val="right"/>
              <w:ind w:right="139"/>
              <w:spacing w:after="0" w:line="202" w:lineRule="exact"/>
              <w:rPr>
                <w:sz w:val="20"/>
                <w:szCs w:val="20"/>
                <w:color w:val="auto"/>
              </w:rPr>
            </w:pPr>
            <w:r>
              <w:rPr>
                <w:rFonts w:ascii="Arial" w:cs="Arial" w:eastAsia="Arial" w:hAnsi="Arial"/>
                <w:sz w:val="18"/>
                <w:szCs w:val="18"/>
                <w:color w:val="auto"/>
              </w:rPr>
              <w:t>(0.3 )%</w:t>
            </w:r>
          </w:p>
        </w:tc>
        <w:tc>
          <w:tcPr>
            <w:tcW w:w="1120" w:type="dxa"/>
            <w:vAlign w:val="bottom"/>
            <w:tcBorders>
              <w:bottom w:val="single" w:sz="8" w:color="CFF0FC"/>
            </w:tcBorders>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96"/>
        </w:trPr>
        <w:tc>
          <w:tcPr>
            <w:tcW w:w="5040" w:type="dxa"/>
            <w:vAlign w:val="bottom"/>
          </w:tcPr>
          <w:p>
            <w:pPr>
              <w:ind w:left="120"/>
              <w:spacing w:after="0" w:line="182" w:lineRule="exact"/>
              <w:rPr>
                <w:sz w:val="20"/>
                <w:szCs w:val="20"/>
                <w:color w:val="auto"/>
              </w:rPr>
            </w:pPr>
            <w:r>
              <w:rPr>
                <w:rFonts w:ascii="Arial" w:cs="Arial" w:eastAsia="Arial" w:hAnsi="Arial"/>
                <w:sz w:val="18"/>
                <w:szCs w:val="18"/>
                <w:color w:val="auto"/>
              </w:rPr>
              <w:t>Total cost of revenues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2,641.7</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2,574.1</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2,611.7</w:t>
            </w:r>
          </w:p>
        </w:tc>
        <w:tc>
          <w:tcPr>
            <w:tcW w:w="1500" w:type="dxa"/>
            <w:vAlign w:val="bottom"/>
            <w:gridSpan w:val="3"/>
          </w:tcPr>
          <w:p>
            <w:pPr>
              <w:jc w:val="right"/>
              <w:ind w:right="199"/>
              <w:spacing w:after="0" w:line="182" w:lineRule="exact"/>
              <w:rPr>
                <w:sz w:val="20"/>
                <w:szCs w:val="20"/>
                <w:color w:val="auto"/>
              </w:rPr>
            </w:pPr>
            <w:r>
              <w:rPr>
                <w:rFonts w:ascii="Arial" w:cs="Arial" w:eastAsia="Arial" w:hAnsi="Arial"/>
                <w:sz w:val="18"/>
                <w:szCs w:val="18"/>
                <w:color w:val="auto"/>
              </w:rPr>
              <w:t>2.6 %</w:t>
            </w:r>
          </w:p>
        </w:tc>
        <w:tc>
          <w:tcPr>
            <w:tcW w:w="1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-159385</wp:posOffset>
            </wp:positionV>
            <wp:extent cx="431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wp:posOffset>
            </wp:positionV>
            <wp:extent cx="431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431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i w:val="1"/>
          <w:iCs w:val="1"/>
          <w:color w:val="auto"/>
        </w:rPr>
        <w:t>Fiscal 2021 versus Fiscal 2020</w:t>
      </w:r>
      <w:r>
        <w:rPr>
          <w:rFonts w:ascii="Arial" w:cs="Arial" w:eastAsia="Arial" w:hAnsi="Arial"/>
          <w:sz w:val="17"/>
          <w:szCs w:val="17"/>
          <w:color w:val="auto"/>
        </w:rPr>
        <w:t>. Our total cost of revenues increased by $67.6 million, or 2.6%, primarily due to acquisitions, which added $40.5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costs, as well as the unfavorable impact from foreign currency translation of $34.9 million. Total costs of revenue, excluding the impact of acquisitions and foreign currency translation, decreased by $7.8 million primarily due to a decrease in costs such as travel, depreciation and amortization, partially offset by an increase in costs to support organic revenue growth. Cost of software-enabled services revenues increased $68.7 million, or 3.0%, primarily due to acquisitions, which added $40.1 million in costs, as well as the unfavorable impact from foreign currency translation of $30.0 million, partially offset by a decrease in organic cost of revenues of $1.4 million. Cost of license, maintenance and related revenues decreased $1.1 million, or 0.3%, primarily due to a decrease in organic costs of $6.4 million partially offset by the unfavorable impact from foreign currency translation of $4.9 million and acquisitions, which added $0.4 million in costs.</w:t>
      </w:r>
    </w:p>
    <w:p>
      <w:pPr>
        <w:spacing w:after="0" w:line="1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i w:val="1"/>
          <w:iCs w:val="1"/>
          <w:color w:val="auto"/>
        </w:rPr>
        <w:t>Fiscal 2020 versus Fiscal 2019</w:t>
      </w:r>
      <w:r>
        <w:rPr>
          <w:rFonts w:ascii="Arial" w:cs="Arial" w:eastAsia="Arial" w:hAnsi="Arial"/>
          <w:sz w:val="17"/>
          <w:szCs w:val="17"/>
          <w:color w:val="auto"/>
        </w:rPr>
        <w:t>. Our total cost of revenues decreased $37.6 million, or 1.4%, primarily due to a decrease in organic cost of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of $87.8 million and the favorable impact from foreign currency translation, which reduced costs by $3.9 million. Organic cost of revenues such as travel, entertainment, independent contractors, outside services, consulting, out-of-pocket expenses and depreciation and amortization declined. These decreases were partially offset by increases from our acquisitions, which added $54.1 million in costs. Cost of software-enabled services revenues decreased $48.4 million, or 2.1%, primarily due to a decrease in organic cost of software-enabled services revenues of $72.1 million and the favorable impact from foreign currency translation, which reduced costs by $3.4 million. These decreases were partially offset by increases from our acquisitions, which added $27.1 million in costs. Cost of license, maintenance and related revenues increased $10.8 million, or 3.5%, primarily due to our acquisitions, which added $27.0 million in costs, partially offset by the decrease in organic cost of license, maintenance and related revenues of $15.7 million as well as the favorable impact from foreign currency translation, which reduced costs by $0.5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60"/>
        <w:spacing w:after="0" w:line="261" w:lineRule="auto"/>
        <w:rPr>
          <w:sz w:val="20"/>
          <w:szCs w:val="20"/>
          <w:color w:val="auto"/>
        </w:rPr>
      </w:pPr>
      <w:r>
        <w:rPr>
          <w:rFonts w:ascii="Arial" w:cs="Arial" w:eastAsia="Arial" w:hAnsi="Arial"/>
          <w:sz w:val="18"/>
          <w:szCs w:val="18"/>
          <w:color w:val="auto"/>
        </w:rPr>
        <w:t>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expenses as a percentage of our total revenues for the periods indicated:</w:t>
      </w:r>
    </w:p>
    <w:p>
      <w:pPr>
        <w:spacing w:after="0" w:line="217"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r>
      <w:tr>
        <w:trPr>
          <w:trHeight w:val="196"/>
        </w:trPr>
        <w:tc>
          <w:tcPr>
            <w:tcW w:w="5040" w:type="dxa"/>
            <w:vAlign w:val="bottom"/>
          </w:tcPr>
          <w:p>
            <w:pPr>
              <w:ind w:left="180"/>
              <w:spacing w:after="0" w:line="196" w:lineRule="exact"/>
              <w:rPr>
                <w:sz w:val="20"/>
                <w:szCs w:val="20"/>
                <w:color w:val="auto"/>
              </w:rPr>
            </w:pPr>
            <w:r>
              <w:rPr>
                <w:rFonts w:ascii="Arial" w:cs="Arial" w:eastAsia="Arial" w:hAnsi="Arial"/>
                <w:sz w:val="18"/>
                <w:szCs w:val="18"/>
                <w:color w:val="auto"/>
              </w:rPr>
              <w:t>Selling and marketing</w:t>
            </w: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c>
          <w:tcPr>
            <w:tcW w:w="38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340" w:type="dxa"/>
            <w:vAlign w:val="bottom"/>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6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8.2 %</w:t>
            </w:r>
          </w:p>
        </w:tc>
        <w:tc>
          <w:tcPr>
            <w:tcW w:w="6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8.6 %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8.3 %</w:t>
            </w: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7"/>
                <w:szCs w:val="17"/>
                <w:color w:val="auto"/>
              </w:rPr>
            </w:pPr>
          </w:p>
        </w:tc>
        <w:tc>
          <w:tcPr>
            <w:tcW w:w="7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7.1 %</w:t>
            </w:r>
          </w:p>
        </w:tc>
        <w:tc>
          <w:tcPr>
            <w:tcW w:w="640" w:type="dxa"/>
            <w:vAlign w:val="bottom"/>
          </w:tcPr>
          <w:p>
            <w:pPr>
              <w:spacing w:after="0"/>
              <w:rPr>
                <w:sz w:val="17"/>
                <w:szCs w:val="17"/>
                <w:color w:val="auto"/>
              </w:rPr>
            </w:pPr>
          </w:p>
        </w:tc>
        <w:tc>
          <w:tcPr>
            <w:tcW w:w="7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7.5 %</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8.0 %</w:t>
            </w:r>
          </w:p>
        </w:tc>
      </w:tr>
      <w:tr>
        <w:trPr>
          <w:trHeight w:val="236"/>
        </w:trPr>
        <w:tc>
          <w:tcPr>
            <w:tcW w:w="504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23.1</w:t>
            </w:r>
          </w:p>
        </w:tc>
        <w:tc>
          <w:tcPr>
            <w:tcW w:w="38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23.7</w:t>
            </w:r>
          </w:p>
        </w:tc>
        <w:tc>
          <w:tcPr>
            <w:tcW w:w="34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w:t>
            </w:r>
          </w:p>
        </w:tc>
        <w:tc>
          <w:tcPr>
            <w:tcW w:w="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-25400</wp:posOffset>
            </wp:positionV>
            <wp:extent cx="163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163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1543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1543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operating expenses (dollars in millions) and percent change in operating expenses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vMerge w:val="restart"/>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Percent Change From Prior</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Period</w:t>
            </w:r>
          </w:p>
        </w:tc>
        <w:tc>
          <w:tcPr>
            <w:tcW w:w="8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353.9</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399.4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383.7</w:t>
            </w:r>
          </w:p>
        </w:tc>
        <w:tc>
          <w:tcPr>
            <w:tcW w:w="14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3.9 %</w:t>
            </w: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358.0</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352.3</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369.2</w:t>
            </w:r>
          </w:p>
        </w:tc>
        <w:tc>
          <w:tcPr>
            <w:tcW w:w="1480" w:type="dxa"/>
            <w:vAlign w:val="bottom"/>
            <w:tcBorders>
              <w:bottom w:val="single" w:sz="8" w:color="CFF0FC"/>
            </w:tcBorders>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1.6 %</w:t>
            </w:r>
          </w:p>
        </w:tc>
        <w:tc>
          <w:tcPr>
            <w:tcW w:w="11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5060" w:type="dxa"/>
            <w:vAlign w:val="bottom"/>
          </w:tcPr>
          <w:p>
            <w:pPr>
              <w:ind w:left="380"/>
              <w:spacing w:after="0" w:line="182"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1,167.0</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1,108.0</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1,106.8</w:t>
            </w:r>
          </w:p>
        </w:tc>
        <w:tc>
          <w:tcPr>
            <w:tcW w:w="1480" w:type="dxa"/>
            <w:vAlign w:val="bottom"/>
            <w:gridSpan w:val="3"/>
          </w:tcPr>
          <w:p>
            <w:pPr>
              <w:jc w:val="right"/>
              <w:ind w:right="90"/>
              <w:spacing w:after="0" w:line="182" w:lineRule="exact"/>
              <w:rPr>
                <w:sz w:val="20"/>
                <w:szCs w:val="20"/>
                <w:color w:val="auto"/>
              </w:rPr>
            </w:pPr>
            <w:r>
              <w:rPr>
                <w:rFonts w:ascii="Arial" w:cs="Arial" w:eastAsia="Arial" w:hAnsi="Arial"/>
                <w:sz w:val="18"/>
                <w:szCs w:val="18"/>
                <w:color w:val="auto"/>
              </w:rPr>
              <w:t>5.3 %</w:t>
            </w:r>
          </w:p>
        </w:tc>
        <w:tc>
          <w:tcPr>
            <w:tcW w:w="11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-159385</wp:posOffset>
            </wp:positionV>
            <wp:extent cx="431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431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431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i w:val="1"/>
          <w:iCs w:val="1"/>
          <w:color w:val="auto"/>
        </w:rPr>
        <w:t>Fiscal 2021 versus 2020</w:t>
      </w:r>
      <w:r>
        <w:rPr>
          <w:rFonts w:ascii="Arial" w:cs="Arial" w:eastAsia="Arial" w:hAnsi="Arial"/>
          <w:sz w:val="18"/>
          <w:szCs w:val="18"/>
          <w:color w:val="auto"/>
        </w:rPr>
        <w:t>. Operating expenses increased $59.0 million, or 5.3%, primarily due to an increase in organic operating expenses of 29.1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unfavorable impact from foreign currency translation of $16.7 million and acquisitions, which added $13.2 million in expenses. Total operating expenses, excluding the impact of acquisitions and foreign currency translation, primarily increased due to an increase in personnel costs and technology-related expenses, partially offset by a decrease in professional fees.</w:t>
      </w:r>
    </w:p>
    <w:p>
      <w:pPr>
        <w:spacing w:after="0" w:line="188"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i w:val="1"/>
          <w:iCs w:val="1"/>
          <w:color w:val="auto"/>
        </w:rPr>
        <w:t>Fiscal 2020 versus 2019</w:t>
      </w:r>
      <w:r>
        <w:rPr>
          <w:rFonts w:ascii="Arial" w:cs="Arial" w:eastAsia="Arial" w:hAnsi="Arial"/>
          <w:sz w:val="18"/>
          <w:szCs w:val="18"/>
          <w:color w:val="auto"/>
        </w:rPr>
        <w:t>. Operating expenses increased $1.2 million, or 0.1%, primarily due to our acquisitions, which added $56.3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These increases were partially offset by a decrease of $52.4 million in organic operating expenses such as travel, entertainment, consulting, independent contractors, legal settlements, marketing, depreciation as well as lower amortization of intangible assets. The favorable impact from foreign currency translation reduced costs by $2.7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Fiscal 2021, 2020 and 2019 for Interest, Taxes and Other</w:t>
      </w:r>
    </w:p>
    <w:p>
      <w:pPr>
        <w:spacing w:after="0" w:line="212"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We had interest income of $4.1 million in 2021 compared to $4.0 million in 2020 and $4.7 million in 2019.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in 2020 primarily resulted from lower average interest rates on our cash balances relative to the prior year.</w:t>
      </w:r>
    </w:p>
    <w:p>
      <w:pPr>
        <w:spacing w:after="0" w:line="17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We had interest expense of $205.7 million in 2021 compared to $249.9 million in 2020 and $409.6 million in 2019.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interest expense in both 2021 and 2020 relates primarily to lower average interest rates as well as lower average debt balances. These facilities are discussed further in “Liquidity and Capital Resources”.</w:t>
      </w:r>
    </w:p>
    <w:p>
      <w:pPr>
        <w:spacing w:after="0" w:line="18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We had other expense, net of $18.2 million in 2021 compared to other income, net of $41.6 million in 2020 and $25.7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2019. Other expense, net for 2021 included an expense of $43.4 million relating to a legal accrual recorded in connection with the DST ERISA litigation discussed in Note 18 – Commitments and Contingencies of the Notes to the Consolidated Financial Statements. Other expense, net for 2021 also included investment gains of $19.0 million and dividend income of $11.1 million. The remaining portion of other expense, net consisted primarily of foreign currency translation gains and losses. Other income, net for 2020 consisted primarily of foreign currency transaction gains and investment gains. Other income, net for 2019 consisted primarily of investment gains, partially offset by foreign currency transaction losses.</w:t>
      </w:r>
    </w:p>
    <w:p>
      <w:pPr>
        <w:spacing w:after="0" w:line="16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Equity in earnings of unconsolidated affiliates, net</w:t>
      </w:r>
      <w:r>
        <w:rPr>
          <w:rFonts w:ascii="Arial" w:cs="Arial" w:eastAsia="Arial" w:hAnsi="Arial"/>
          <w:sz w:val="18"/>
          <w:szCs w:val="18"/>
          <w:color w:val="auto"/>
        </w:rPr>
        <w:t>. We had equity in earnings of unconsolidated affiliates, net of $25.4 million for 2021,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2020 and $3.6 million for 2019. Our equity in earnings of unconsolidated affiliates was a loss in 2020 due to losses incurred by one of our affiliates that operates a hotel and had a significant impact to their operations due to COVID-19. During 2021, this affiliate sold its primary asset, the hotel, for a gain that resulted in the significant increase in earnings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140"/>
        <w:spacing w:after="0" w:line="261" w:lineRule="auto"/>
        <w:rPr>
          <w:sz w:val="20"/>
          <w:szCs w:val="20"/>
          <w:color w:val="auto"/>
        </w:rPr>
      </w:pPr>
      <w:r>
        <w:rPr>
          <w:rFonts w:ascii="Arial" w:cs="Arial" w:eastAsia="Arial" w:hAnsi="Arial"/>
          <w:sz w:val="18"/>
          <w:szCs w:val="18"/>
          <w:color w:val="auto"/>
        </w:rPr>
        <w:t>unconsolidated affiliates, net. The amount earned in 2019 is primarily related to our proportionate share of IFDS L.P.’s net income, offset by amortization of basis differences.</w:t>
      </w:r>
    </w:p>
    <w:p>
      <w:pPr>
        <w:spacing w:after="0" w:line="17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Loss on extinguishment of debt, net</w:t>
      </w:r>
      <w:r>
        <w:rPr>
          <w:rFonts w:ascii="Arial" w:cs="Arial" w:eastAsia="Arial" w:hAnsi="Arial"/>
          <w:sz w:val="18"/>
          <w:szCs w:val="18"/>
          <w:color w:val="auto"/>
        </w:rPr>
        <w:t>. We recorded a $10.9 million loss on extinguishment of debt in 2021 relating to the write-off of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capitalized financing fees and the unamortized original issue discount associated with additional prepayments on our term loans prior to their scheduled maturity. We recorded a $4.2 million loss on extinguishment of debt in 2020 primarily related to the amendment of our credit agreement and the write-off of capitalized financing fees and original issue discount associated with prepayments of our term loans. We recorded a $7.1 million loss on extinguishment of debt in 2019 in connection with the repayment of a portion of our Term Loans with the proceeds from the issuance of our Senior Notes. The loss on extinguishment of debt includes costs incurred by us which did not meet the criteria for capitalization. The Senior Notes are discussed further in “Liquidity and Capital Resources.”</w:t>
      </w:r>
    </w:p>
    <w:p>
      <w:pPr>
        <w:spacing w:after="0" w:line="19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91"/>
              </w:rPr>
              <w:t>Period</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236.4</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w w:val="85"/>
              </w:rPr>
              <w:t>93.2</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22.8 %</w:t>
            </w: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19.4 %</w:t>
            </w:r>
          </w:p>
        </w:tc>
        <w:tc>
          <w:tcPr>
            <w:tcW w:w="200" w:type="dxa"/>
            <w:vAlign w:val="bottom"/>
          </w:tcPr>
          <w:p>
            <w:pPr>
              <w:spacing w:after="0"/>
              <w:rPr>
                <w:sz w:val="21"/>
                <w:szCs w:val="21"/>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17.5 %</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2021, 2020 and 2019 effective tax rates differ from the statutory rate primarily due to the effect of our foreign operations and permanent book to tax differences. Our effective tax rate for 2021 includes benefits related to stock-based awards and recognition of tax expense related to a law change in the U.K. Our effective tax rate for 2020 included benefits related to stock-based awards, recognition of a state tax benefit related to a law change and releases of uncertain tax positions due to statute of limitation expirations and closed audits. Our effective tax rate for 2019 included benefits related to stock-based awards, the utilization of foreign net operating losses against which valuation allowances were previously recorded and releases of uncertain tax positions due to closed audits and statute of limitation expirations. The increase in the effective tax rate from 2020 to 2021 was primarily related to recognition of tax expense in connection with a law change in the U.K., the increase in valuation allowances, the decrease in relative favorable impacts of stock based compensation and the impact of uncertain tax positions. In addition, the prior year effective tax rate was favorably impacted by a decrease in state taxes related to a law change.</w:t>
      </w:r>
    </w:p>
    <w:p>
      <w:pPr>
        <w:spacing w:after="0" w:line="18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effective tax rate includes the effect of operations outside the U.S., which historically have been taxed at rates lower than the U.S. statutory rate. While we have income from multiple foreign sources, the majority of our non-U.S. operations are in India and the U.K., where the statutory rates were approximately 31.0% on a blended basis and 19.0%, respectively, in 2021, 29.1% and 19.0%, respectively, in 2020, and 29.1% and 19.0%, respectively, in 2019. A future proportionate change in the composition of income before income taxes from foreign and domestic tax jurisdictions could impact our periodic effective tax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cash, cash equivalents and restricted cash and cash equivalents, including amounts held on behalf of clients, at December 31, 2021 were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$3,171.4 million, an increase of $1,833.5 million from $1,337.9 million at December 31, 2020. The increase in cash was primarily due to the increase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associated with funds held on behalf of clients. See Notes 8, 10 and 11 to our Consolidated Financial Statements for further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acquisitions, debt and equity, respectively.</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Consolidated Balance Sheet when incurred, generally after a claim has been processed by us. Our contractual obligations to remit funds to satisfy client obligations are primarily sourced by funds held on behalf of clients. We had $2,755.7 million and $1,227.4 million of client funds obligations at December 31, 2021 and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right="340" w:firstLine="509"/>
        <w:spacing w:after="0" w:line="261" w:lineRule="auto"/>
        <w:rPr>
          <w:sz w:val="20"/>
          <w:szCs w:val="20"/>
          <w:color w:val="auto"/>
        </w:rPr>
      </w:pPr>
      <w:r>
        <w:rPr>
          <w:rFonts w:ascii="Arial" w:cs="Arial" w:eastAsia="Arial" w:hAnsi="Arial"/>
          <w:sz w:val="18"/>
          <w:szCs w:val="18"/>
          <w:color w:val="auto"/>
        </w:rPr>
        <w:t>Cash flows from operating, investing and financing activities, as reflected in our Consolidated Statements of Cash Flows, are summarized in the following table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7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5"/>
              </w:rPr>
              <w:t>Net cash, cash equivalents and restricted cash provided by (used</w:t>
            </w:r>
          </w:p>
        </w:tc>
        <w:tc>
          <w:tcPr>
            <w:tcW w:w="220" w:type="dxa"/>
            <w:vAlign w:val="bottom"/>
          </w:tcPr>
          <w:p>
            <w:pPr>
              <w:spacing w:after="0"/>
              <w:rPr>
                <w:sz w:val="16"/>
                <w:szCs w:val="16"/>
                <w:color w:val="auto"/>
              </w:rPr>
            </w:pPr>
          </w:p>
        </w:tc>
        <w:tc>
          <w:tcPr>
            <w:tcW w:w="242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jc w:val="right"/>
              <w:ind w:right="159"/>
              <w:spacing w:after="0"/>
              <w:rPr>
                <w:sz w:val="20"/>
                <w:szCs w:val="20"/>
                <w:color w:val="auto"/>
              </w:rPr>
            </w:pPr>
            <w:r>
              <w:rPr>
                <w:rFonts w:ascii="Arial" w:cs="Arial" w:eastAsia="Arial" w:hAnsi="Arial"/>
                <w:sz w:val="14"/>
                <w:szCs w:val="14"/>
                <w:b w:val="1"/>
                <w:bCs w:val="1"/>
                <w:color w:val="auto"/>
                <w:w w:val="97"/>
              </w:rPr>
              <w:t>Change From Prior Period</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1,429.0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(143.6 )</w:t>
            </w:r>
          </w:p>
        </w:tc>
        <w:tc>
          <w:tcPr>
            <w:tcW w:w="0" w:type="dxa"/>
            <w:vAlign w:val="bottom"/>
          </w:tcPr>
          <w:p>
            <w:pPr>
              <w:spacing w:after="0"/>
              <w:rPr>
                <w:sz w:val="1"/>
                <w:szCs w:val="1"/>
                <w:color w:val="auto"/>
              </w:rPr>
            </w:pPr>
          </w:p>
        </w:tc>
      </w:tr>
      <w:tr>
        <w:trPr>
          <w:trHeight w:val="229"/>
        </w:trPr>
        <w:tc>
          <w:tcPr>
            <w:tcW w:w="4780" w:type="dxa"/>
            <w:vAlign w:val="bottom"/>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(148.2 )</w:t>
            </w:r>
          </w:p>
        </w:tc>
        <w:tc>
          <w:tcPr>
            <w:tcW w:w="220" w:type="dxa"/>
            <w:vAlign w:val="bottom"/>
          </w:tcPr>
          <w:p>
            <w:pPr>
              <w:spacing w:after="0"/>
              <w:rPr>
                <w:sz w:val="19"/>
                <w:szCs w:val="19"/>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(210.5 )</w:t>
            </w: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(140.5 )</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(1,428.1 )</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(513.4 )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1,984.8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(914.7 )</w:t>
            </w:r>
          </w:p>
        </w:tc>
        <w:tc>
          <w:tcPr>
            <w:tcW w:w="0" w:type="dxa"/>
            <w:vAlign w:val="bottom"/>
          </w:tcPr>
          <w:p>
            <w:pPr>
              <w:spacing w:after="0"/>
              <w:rPr>
                <w:sz w:val="1"/>
                <w:szCs w:val="1"/>
                <w:color w:val="auto"/>
              </w:rPr>
            </w:pPr>
          </w:p>
        </w:tc>
      </w:tr>
      <w:tr>
        <w:trPr>
          <w:trHeight w:val="152"/>
        </w:trPr>
        <w:tc>
          <w:tcPr>
            <w:tcW w:w="4780" w:type="dxa"/>
            <w:vAlign w:val="bottom"/>
          </w:tcPr>
          <w:p>
            <w:pPr>
              <w:ind w:left="200"/>
              <w:spacing w:after="0" w:line="152" w:lineRule="exact"/>
              <w:rPr>
                <w:sz w:val="20"/>
                <w:szCs w:val="20"/>
                <w:color w:val="auto"/>
              </w:rPr>
            </w:pPr>
            <w:r>
              <w:rPr>
                <w:rFonts w:ascii="Arial" w:cs="Arial" w:eastAsia="Arial" w:hAnsi="Arial"/>
                <w:sz w:val="16"/>
                <w:szCs w:val="16"/>
                <w:color w:val="auto"/>
              </w:rPr>
              <w:t>Effect of exchange rate changes on cash, cash equivalents and</w:t>
            </w:r>
          </w:p>
        </w:tc>
        <w:tc>
          <w:tcPr>
            <w:tcW w:w="22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(4.0 )</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(6.4 )</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7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w w:val="96"/>
              </w:rPr>
              <w:t>Net increase (decrease) in cash, cash equivalents and restricted cash</w:t>
            </w: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1,833.5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(451.5</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676.1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2,285.0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(1,127.6</w:t>
            </w:r>
          </w:p>
        </w:tc>
        <w:tc>
          <w:tcPr>
            <w:tcW w:w="16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93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primarily resulted from net income of $800.6 million adjusted for non-cash items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$689.7 million, partially offset by changes in our working capital accounts (excluding the effect of acquisitions) totaling $61.3 million. The changes in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accounts were primarily driven by increases in our accounts receivable and decreases in deferred revenue, partially offset by a decrease 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our prepaid expenses and other assets. The increase in accounts receivable was due to increases in revenues earned and an increase in days’ sales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outstanding. The decrease in deferred revenue was primarily due to the recognition of revenue associated with a multi-year license agreement where we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received payment in 2019.</w:t>
      </w:r>
    </w:p>
    <w:p>
      <w:pPr>
        <w:spacing w:after="0" w:line="19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We used net cash of $148.2 million primarily related to $85.3 million in capitalized software development costs, $66.0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contributions to unconsolidated affiliates, $51.3 million in capital expenditures and $20.1 million in investments in securities, partially offset by proceeds from sales and maturities of investments of $50.9 million, receipts from the collection of other non-current receivables of $11.0 million, $7.3 million in cash paid for business acquisitions, net of cash acquired and proceeds from the sale of property and equipment of $5.3 million.</w:t>
      </w:r>
    </w:p>
    <w:p>
      <w:pPr>
        <w:spacing w:after="0" w:line="172"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of $556.7 million primarily resulted from the increase in client funds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$1,480.5 million, proceeds of $197.7 million from stock options and proceeds from noncontrolling interests of $67.3 million. These proceeds were partially offset by the net repayments of debt totaling $519.9 million, $487.9 million in treasury stock repurchases, $174.0 million in quarterly dividends paid and $7.0 million in withholding taxes paid related to equity award net share settlements.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versus 2019</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cash, cash equivalents and restricted cash and cash equivalents, including amounts held on behalf of clients, at December 31, 2020 were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$1,337.9 million, a decrease of $451.5 million from $1,789.4 million at December 31, 2019. The decrease in cash was primarily due to the decrease in cash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cash equivalents associated with funds held on behalf of clients. See Notes 8, 10 and 11 to our Consolidated Financial Statements for further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discussion of acquisitions, debt and equity, respectively. We also had $1,227.4 million and $1,729.9 million of client funds obligations at December 31,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2020 and 2019, respectively.</w:t>
      </w:r>
    </w:p>
    <w:p>
      <w:pPr>
        <w:spacing w:after="0" w:line="196"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primarily resulted from net income of $625.2 million adjusted for non-cash items of</w:t>
      </w:r>
      <w:r>
        <w:rPr>
          <w:rFonts w:ascii="Arial" w:cs="Arial" w:eastAsia="Arial" w:hAnsi="Arial"/>
          <w:sz w:val="17"/>
          <w:szCs w:val="17"/>
          <w:i w:val="1"/>
          <w:iCs w:val="1"/>
          <w:color w:val="auto"/>
        </w:rPr>
        <w:t xml:space="preserve"> </w:t>
      </w:r>
      <w:r>
        <w:rPr>
          <w:rFonts w:ascii="Arial" w:cs="Arial" w:eastAsia="Arial" w:hAnsi="Arial"/>
          <w:sz w:val="17"/>
          <w:szCs w:val="17"/>
          <w:color w:val="auto"/>
        </w:rPr>
        <w:t>$673.2 million, partially offset by changes in our working capital accounts (excluding the effect of acquisitions) totaling $113.7 million. The changes in our working capital accounts were driven by increases in prepaid expenses and other assets and decreases in deferred revenue, accounts payable and accrued expenses and other liabilities, partially offset by changes in income taxes prepaid and payable and a decrease in accounts receivable. The increases in prepaid expenses and other assets was primarily due to an incentive payment made in connection with a client contract extension. The decrease in deferred revenue was primarily due to the recognition of revenue associated with a multi-year license agreement where we received payment in 2019 as well as the revenue associated with annual maintenance fees. The decrease in accounts payable was primarily due to the timing of payments. The change in income taxes prepaid and payable is primarily driven by the timing of tax payments. The decrease in accounts receivable was primarily due to a decrease in days’ sales outstanding.</w:t>
      </w:r>
    </w:p>
    <w:p>
      <w:pPr>
        <w:spacing w:after="0" w:line="184" w:lineRule="exact"/>
        <w:rPr>
          <w:sz w:val="20"/>
          <w:szCs w:val="20"/>
          <w:color w:val="auto"/>
        </w:rPr>
      </w:pPr>
    </w:p>
    <w:p>
      <w:pPr>
        <w:jc w:val="both"/>
        <w:ind w:right="440" w:firstLine="509"/>
        <w:spacing w:after="0" w:line="248"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We used net cash of $210.5 million primarily related to cash paid for business acquisitions (net of cash acquired) of $116.0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$71.6 million in capitalized software development costs, $60.9 million in investments in securities and $34.8 million in capital expenditures, partially offset by proceeds from sales and maturities of investments of $60.3 million, receipts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from the collection of other non-current receivables of $10.3 million and proceeds from the sale of property and equipment of $2.3 million.</w:t>
      </w:r>
    </w:p>
    <w:p>
      <w:pPr>
        <w:spacing w:after="0" w:line="21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of $1,428.1 million primarily resulted from the net repayments of debt totaling $738.2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net decrease in client funds obligations of $504.9 million, $227.7 million in treasury stock repurchases, $136.1 million in quarterly dividends paid and $10.9 million in withholding taxes paid related to equity award net share settlements. These payments were partially offset by $189.7 million in cash received from stock option exercises.</w:t>
      </w:r>
    </w:p>
    <w:p>
      <w:pPr>
        <w:spacing w:after="0" w:line="18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have made a permanent reinvestment determination in certain non-U.S. operations that have historically generated positive operating cash flows. At December 31, 2021, we held approximately $221.0 million in cash and cash equivalents at non-U.S. subsidiaries where we have made such a determination and in turn no provision for income taxes had been made. At December 31, 2021, we held approximately $150.1 million in cash that was available to our foreign borrowers under our senior secured credit facility and will be used to facilitate debt servicing of those entities.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contractual obligations as of December 31, 2021 that require us to make future cash payments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and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87"/>
              </w:rPr>
              <w:t>Less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than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Commitments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and long-term debt</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5,979.7</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86.8</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3,845.5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payments (1)</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902.1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366.6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obligations (2)</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 payable (3)</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obligations (4)</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122.4</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contractual obligations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7,417.7</w:t>
            </w:r>
          </w:p>
        </w:tc>
        <w:tc>
          <w:tcPr>
            <w:tcW w:w="46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386.4</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608.5</w:t>
            </w:r>
          </w:p>
        </w:tc>
        <w:tc>
          <w:tcPr>
            <w:tcW w:w="22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4,184.1</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2,238.7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-159385</wp:posOffset>
            </wp:positionV>
            <wp:extent cx="774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ind w:left="520" w:right="140" w:hanging="512"/>
        <w:spacing w:after="0" w:line="24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interest payments on our Credit Agreement at an assumed interest rate of one-month LIBOR of 0.10% plus 1.75% for U.S. dollar loans on our Term B-3, B-4 and B-5 facilities and 5.5% on our Senior Notes.</w:t>
      </w:r>
    </w:p>
    <w:p>
      <w:pPr>
        <w:ind w:left="520" w:hanging="512"/>
        <w:spacing w:after="0" w:line="23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obligated under noncancelable operating leases for office space and office equipment.</w:t>
      </w:r>
    </w:p>
    <w:p>
      <w:pPr>
        <w:ind w:left="520" w:hanging="512"/>
        <w:spacing w:after="0" w:line="23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our obligation under the Tax Act to pay the deemed repatriation tax on certain non-US earnings over eight years.</w:t>
      </w: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obligations include the minimum amounts committed under contracts for goods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-654685</wp:posOffset>
            </wp:positionV>
            <wp:extent cx="11912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As of December 31, 2021, our liability for uncertain tax positions and related interest and penalties payable was $120.9 million and $32.8 million, respectively. We are unable to reasonably estimate the timing of such liability and interest payments in individual years beyond 12 months due to uncertainties in the timing of the effective settlement of tax positions. As a result, these amounts are not included in the above contractual obligations table.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0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w:t>
      </w:r>
    </w:p>
    <w:p>
      <w:pPr>
        <w:spacing w:after="0" w:line="164" w:lineRule="exact"/>
        <w:rPr>
          <w:sz w:val="20"/>
          <w:szCs w:val="20"/>
          <w:color w:val="auto"/>
        </w:rPr>
      </w:pPr>
    </w:p>
    <w:p>
      <w:pPr>
        <w:ind w:right="100" w:firstLine="569"/>
        <w:spacing w:after="0" w:line="239" w:lineRule="auto"/>
        <w:rPr>
          <w:sz w:val="20"/>
          <w:szCs w:val="20"/>
          <w:color w:val="auto"/>
        </w:rPr>
      </w:pPr>
      <w:r>
        <w:rPr>
          <w:rFonts w:ascii="Arial" w:cs="Arial" w:eastAsia="Arial" w:hAnsi="Arial"/>
          <w:sz w:val="18"/>
          <w:szCs w:val="18"/>
          <w:color w:val="auto"/>
        </w:rPr>
        <w:t>The Credit Agreement includes four tranches of term loans (together the “Initial Term Loans”): (i) a $518.6 million term B-1 facility for SS&amp;C (“Term B-1 Loan”), which was repaid in full in 2019; (ii) a $5.9 million term B-2 facility for SS&amp;C SARL (“Term B-2 Loan”), which was repaid in full in 2018; (iii) a $5.046 billion term B-3 facility, which matures on April 16, 2025 for SS&amp;C (the “Term B-3 Loan”); and (iv) a $1.8 billion term B-4 facility, which matures on April 16, 2025 for SS&amp;C SARL (the “Term B-4 Loan”). In addition, the Credit Agreement has a revolving credit facility with a five-year term available for borrowings by SS&amp;C with $250 million in available commitments (“Revolving Credit Facility”), of which $247.3 million was available as of December 31, 2021. The Revolving Credit Facility also contains a $25 million letter of credit sub-facility, of which $2.7 million was utilized as of December 31,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jc w:val="both"/>
        <w:ind w:right="100" w:firstLine="578"/>
        <w:spacing w:after="0" w:line="248" w:lineRule="auto"/>
        <w:rPr>
          <w:sz w:val="20"/>
          <w:szCs w:val="20"/>
          <w:color w:val="auto"/>
        </w:rPr>
      </w:pPr>
      <w:r>
        <w:rPr>
          <w:rFonts w:ascii="Arial" w:cs="Arial" w:eastAsia="Arial" w:hAnsi="Arial"/>
          <w:sz w:val="18"/>
          <w:szCs w:val="18"/>
          <w:color w:val="auto"/>
        </w:rPr>
        <w:t>The majority of the initial proceeds from the Initial Term Loans was used to fund the acquisition of DST, repay certain amounts outstanding under our then-existing credit agreement (“Prior Credit Agreement”), repay all of the outstanding principal amount of our 5.875% Senior Notes due 2023 (“Prior Senior Notes”) and repay acquired debt associated with DST.</w:t>
      </w:r>
    </w:p>
    <w:p>
      <w:pPr>
        <w:spacing w:after="0" w:line="182" w:lineRule="exact"/>
        <w:rPr>
          <w:sz w:val="20"/>
          <w:szCs w:val="20"/>
          <w:color w:val="auto"/>
        </w:rPr>
      </w:pPr>
    </w:p>
    <w:p>
      <w:pPr>
        <w:ind w:right="100" w:firstLine="578"/>
        <w:spacing w:after="0" w:line="294" w:lineRule="auto"/>
        <w:rPr>
          <w:sz w:val="20"/>
          <w:szCs w:val="20"/>
          <w:color w:val="auto"/>
        </w:rPr>
      </w:pPr>
      <w:r>
        <w:rPr>
          <w:rFonts w:ascii="Arial" w:cs="Arial" w:eastAsia="Arial" w:hAnsi="Arial"/>
          <w:sz w:val="16"/>
          <w:szCs w:val="16"/>
          <w:color w:val="auto"/>
        </w:rPr>
        <w:t>On October 1, 2018, in connection with our acquisition of Eze, we entered into an amendment (the “Commitment Increase Amendment”) to the Credit Agreement. Pursuant to the Commitment Increase Amendment, a new $875.0 million senior secured term B-5 facility (“Term B-5 Loan”, and together with the Initial Term Loans, the “Term Loans”) was made available to us, the proceeds of which were used to finance, in part, the Eze acquisition.</w:t>
      </w:r>
    </w:p>
    <w:p>
      <w:pPr>
        <w:spacing w:after="0" w:line="147" w:lineRule="exact"/>
        <w:rPr>
          <w:sz w:val="20"/>
          <w:szCs w:val="20"/>
          <w:color w:val="auto"/>
        </w:rPr>
      </w:pPr>
    </w:p>
    <w:p>
      <w:pPr>
        <w:ind w:right="200" w:firstLine="578"/>
        <w:spacing w:after="0" w:line="243" w:lineRule="auto"/>
        <w:rPr>
          <w:sz w:val="20"/>
          <w:szCs w:val="20"/>
          <w:color w:val="auto"/>
        </w:rPr>
      </w:pPr>
      <w:r>
        <w:rPr>
          <w:rFonts w:ascii="Arial" w:cs="Arial" w:eastAsia="Arial" w:hAnsi="Arial"/>
          <w:sz w:val="18"/>
          <w:szCs w:val="18"/>
          <w:color w:val="auto"/>
        </w:rPr>
        <w:t>On November 16, 2018, in connection with our acquisition of Intralinks, we entered into an amendment (the “Incremental Term Loan Amendment”) to the Credit Agreement. Pursuant to the Incremental Term Loan Amendment, an additional $1.0 billion senior secured term B-5 facility (“Term B-5 Loan”, and together with the Initial Term Loans, the “Term Loans”) was made available to us, the proceeds of which were used to finance, in part, the Intralinks acquisition.</w:t>
      </w:r>
    </w:p>
    <w:p>
      <w:pPr>
        <w:spacing w:after="0" w:line="188" w:lineRule="exact"/>
        <w:rPr>
          <w:sz w:val="20"/>
          <w:szCs w:val="20"/>
          <w:color w:val="auto"/>
        </w:rPr>
      </w:pPr>
    </w:p>
    <w:p>
      <w:pPr>
        <w:jc w:val="both"/>
        <w:ind w:right="300" w:firstLine="578"/>
        <w:spacing w:after="0" w:line="248" w:lineRule="auto"/>
        <w:rPr>
          <w:sz w:val="20"/>
          <w:szCs w:val="20"/>
          <w:color w:val="auto"/>
        </w:rPr>
      </w:pPr>
      <w:r>
        <w:rPr>
          <w:rFonts w:ascii="Arial" w:cs="Arial" w:eastAsia="Arial" w:hAnsi="Arial"/>
          <w:sz w:val="18"/>
          <w:szCs w:val="18"/>
          <w:color w:val="auto"/>
        </w:rPr>
        <w:t>On January 31, 2020, we entered into an amendment (the “Pricing Amendment”) to our Credit Agreement dated April 16, 2018. Pursuant to the Pricing Amendment, the interest rate margin applicable to Term Loan B was reduced from LIBOR plus 2.25% to LIBOR plus 1.75%. No changes were made to the financial covenants, outstanding principal amounts or the scheduled amortization.</w:t>
      </w:r>
    </w:p>
    <w:p>
      <w:pPr>
        <w:spacing w:after="0" w:line="182"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 xml:space="preserve">The Pricing Amendment was evaluated in accordance with FASB Accounting Standards Codification 470-50, </w:t>
      </w:r>
      <w:r>
        <w:rPr>
          <w:rFonts w:ascii="Arial" w:cs="Arial" w:eastAsia="Arial" w:hAnsi="Arial"/>
          <w:sz w:val="16"/>
          <w:szCs w:val="16"/>
          <w:i w:val="1"/>
          <w:iCs w:val="1"/>
          <w:color w:val="auto"/>
        </w:rPr>
        <w:t>Debt-Modifications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Extinguishments</w:t>
      </w:r>
      <w:r>
        <w:rPr>
          <w:rFonts w:ascii="Arial" w:cs="Arial" w:eastAsia="Arial" w:hAnsi="Arial"/>
          <w:sz w:val="16"/>
          <w:szCs w:val="16"/>
          <w:color w:val="auto"/>
        </w:rPr>
        <w:t>, for debt modification and extinguishment accounting. We accounted for the debt re-pricing as a debt modification with respect to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remained obligations of the same lender in the syndicate with minor changes in cash flows and as a debt extinguishment with respect to amounts that were obligations of lenders that exited the syndicate or remained in the syndicate but experienced a change in cash flows of greater than 10%.</w:t>
      </w:r>
    </w:p>
    <w:p>
      <w:pPr>
        <w:spacing w:after="0" w:line="155" w:lineRule="exact"/>
        <w:rPr>
          <w:sz w:val="20"/>
          <w:szCs w:val="20"/>
          <w:color w:val="auto"/>
        </w:rPr>
      </w:pPr>
    </w:p>
    <w:p>
      <w:pPr>
        <w:ind w:right="20" w:firstLine="578"/>
        <w:spacing w:after="0" w:line="238" w:lineRule="auto"/>
        <w:rPr>
          <w:sz w:val="20"/>
          <w:szCs w:val="20"/>
          <w:color w:val="auto"/>
        </w:rPr>
      </w:pPr>
      <w:r>
        <w:rPr>
          <w:rFonts w:ascii="Arial" w:cs="Arial" w:eastAsia="Arial" w:hAnsi="Arial"/>
          <w:sz w:val="18"/>
          <w:szCs w:val="18"/>
          <w:color w:val="auto"/>
        </w:rPr>
        <w:t>The Term Loans and Revolving Credit Facility bear interest, at the election of the borrowers, at the base rate (as defined in the Credit Agreement) or LIBOR, plus the applicable interest rate margin for the credit facility. Amounts drawn on the Revolving Credit Facility initially bear interest at either LIBOR plus 2.25% or at the base rate plus 1.25%, and is subject to a step-down at any time our consolidated net secured leverage ratio is less than 4.75 times, to 2.00% in the case of the LIBOR margin and 1.00% in the case of the base rate margin. The Term B-3 Loan, Term B-4 Loan and Term B-5 Loan initially incurred interest at either LIBOR plus 2.50% or at the base rate plus 1.50%, and were subject to a step-down at any time our consolidated net secured leverage ratio was less than 4.75 times, to 2.25% in the case of the LIBOR margin and 1.25% in the case of the base rate margin. In January 2020, we entered into the Pricing Amendment, whereby the interest rate margin applicable to the term loans was reduced from LIBOR plus 2.25% to LIBOR plus 1.75%.</w:t>
      </w:r>
    </w:p>
    <w:p>
      <w:pPr>
        <w:spacing w:after="0" w:line="19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As of December 31, 2021, there was $1,244.2 million in principal amount outstanding under the Term B-3 Loan, $1,010.0 million in principal amount outstanding under the Term B-4 Loan and $1,720.2 million in principal amount outstanding under the Term B-5 Loan. There were no principal amounts outstanding under the Term B-1 Loan and Term B-2 Loan.</w:t>
      </w:r>
    </w:p>
    <w:p>
      <w:pPr>
        <w:spacing w:after="0" w:line="182"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SS&amp;C and SS&amp;C SARL are required to make scheduled quarterly payments of 0.25% of the original principal amount of the Term B-3 Loan, Term B-4 Loan and Term B-5 Loan, with the balance due and payable on April 16, 2025. No amortization is required under the Revolving Credit Facility.</w:t>
      </w:r>
    </w:p>
    <w:p>
      <w:pPr>
        <w:spacing w:after="0" w:line="12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SS&amp;C’s and SS&amp;C SARL’s obligations under the Term Loans are guaranteed by (i) our existing and future U.S. wholly-owned restricted subsidiaries, in the case of the Term B-3 Loan, Term B-5 Loan and the Revolving Credit Facility and (ii) our existing and future wholly-owned restricted subsidiaries, in the case of the Term B-4 Loan.</w:t>
      </w:r>
    </w:p>
    <w:p>
      <w:pPr>
        <w:spacing w:after="0" w:line="18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7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Credit Agreement includes negative covenants that, among other things and subject to certain thresholds and exceptions, limit our ability and the ability of our restricted subsidiaries to incur debt or liens, make investments (including in the form of loans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right="20"/>
        <w:spacing w:after="0" w:line="274" w:lineRule="auto"/>
        <w:rPr>
          <w:sz w:val="20"/>
          <w:szCs w:val="20"/>
          <w:color w:val="auto"/>
        </w:rPr>
      </w:pPr>
      <w:r>
        <w:rPr>
          <w:rFonts w:ascii="Arial" w:cs="Arial" w:eastAsia="Arial" w:hAnsi="Arial"/>
          <w:sz w:val="16"/>
          <w:szCs w:val="16"/>
          <w:color w:val="auto"/>
        </w:rPr>
        <w:t>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Credit Agreement also contains customary representations and warranties, affirmative covenants and events of default, subject to customary thresholds and exceptions. In addition, the Credit 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4" w:lineRule="exact"/>
        <w:rPr>
          <w:sz w:val="20"/>
          <w:szCs w:val="20"/>
          <w:color w:val="auto"/>
        </w:rPr>
      </w:pPr>
    </w:p>
    <w:p>
      <w:pPr>
        <w:ind w:firstLine="584"/>
        <w:spacing w:after="0" w:line="259" w:lineRule="auto"/>
        <w:rPr>
          <w:sz w:val="20"/>
          <w:szCs w:val="20"/>
          <w:color w:val="auto"/>
        </w:rPr>
      </w:pPr>
      <w:r>
        <w:rPr>
          <w:rFonts w:ascii="Arial" w:cs="Arial" w:eastAsia="Arial" w:hAnsi="Arial"/>
          <w:sz w:val="17"/>
          <w:szCs w:val="17"/>
          <w:color w:val="auto"/>
        </w:rPr>
        <w:t>On March 28, 2019, we issued $2.0 billion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4" w:lineRule="exact"/>
        <w:rPr>
          <w:sz w:val="20"/>
          <w:szCs w:val="20"/>
          <w:color w:val="auto"/>
        </w:rPr>
      </w:pPr>
    </w:p>
    <w:p>
      <w:pPr>
        <w:ind w:right="40" w:firstLine="578"/>
        <w:spacing w:after="0"/>
        <w:rPr>
          <w:sz w:val="20"/>
          <w:szCs w:val="20"/>
          <w:color w:val="auto"/>
        </w:rPr>
      </w:pPr>
      <w:r>
        <w:rPr>
          <w:rFonts w:ascii="Arial" w:cs="Arial" w:eastAsia="Arial" w:hAnsi="Arial"/>
          <w:sz w:val="18"/>
          <w:szCs w:val="18"/>
          <w:color w:val="auto"/>
        </w:rPr>
        <w:t>At any time prior to March 30, 2022, we may, at our option, redeem the Senior Notes, in whole or in part, at a price equal to 100% of the principal amount of the Senior Notes, plus an applicable “make-whole” premium, plus accrued and unpaid interest to the redemption date. In addition, at any time on or before March 30, 2022, we may to redeem up to 40% of the aggregate principal amount of the Senior Notes at a redemption price equal to 105.5% of the principal amount thereof, plus accrued and unpaid interest to the redemption date, with the net proceeds of one or more equity offerings. We may also, from time to time in our sole discretion, purchase, redeem, or retire our existing senior notes, through tender offers, in privately negotiated or open market transactions, or otherwise.</w:t>
      </w:r>
    </w:p>
    <w:p>
      <w:pPr>
        <w:spacing w:after="0" w:line="189" w:lineRule="exact"/>
        <w:rPr>
          <w:sz w:val="20"/>
          <w:szCs w:val="20"/>
          <w:color w:val="auto"/>
        </w:rPr>
      </w:pPr>
    </w:p>
    <w:p>
      <w:pPr>
        <w:ind w:right="220" w:firstLine="584"/>
        <w:spacing w:after="0" w:line="291" w:lineRule="auto"/>
        <w:rPr>
          <w:sz w:val="20"/>
          <w:szCs w:val="20"/>
          <w:color w:val="auto"/>
        </w:rPr>
      </w:pPr>
      <w:r>
        <w:rPr>
          <w:rFonts w:ascii="Arial" w:cs="Arial" w:eastAsia="Arial" w:hAnsi="Arial"/>
          <w:sz w:val="17"/>
          <w:szCs w:val="17"/>
          <w:color w:val="auto"/>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p>
      <w:pPr>
        <w:spacing w:after="0" w:line="44" w:lineRule="exact"/>
        <w:rPr>
          <w:sz w:val="20"/>
          <w:szCs w:val="20"/>
          <w:color w:val="auto"/>
        </w:rPr>
      </w:pPr>
    </w:p>
    <w:tbl>
      <w:tblPr>
        <w:tblLayout w:type="fixed"/>
        <w:tblInd w:w="1980" w:type="dxa"/>
        <w:tblCellMar>
          <w:top w:w="0" w:type="dxa"/>
          <w:left w:w="0" w:type="dxa"/>
          <w:bottom w:w="0" w:type="dxa"/>
          <w:right w:w="0" w:type="dxa"/>
        </w:tblCellMar>
      </w:tblPr>
      <w:tr>
        <w:trPr>
          <w:trHeight w:val="178"/>
        </w:trPr>
        <w:tc>
          <w:tcPr>
            <w:tcW w:w="452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 Year</w:t>
            </w:r>
          </w:p>
        </w:tc>
        <w:tc>
          <w:tcPr>
            <w:tcW w:w="2760" w:type="dxa"/>
            <w:vAlign w:val="bottom"/>
            <w:gridSpan w:val="2"/>
          </w:tcPr>
          <w:p>
            <w:pPr>
              <w:jc w:val="right"/>
              <w:ind w:right="1250"/>
              <w:spacing w:after="0"/>
              <w:rPr>
                <w:sz w:val="20"/>
                <w:szCs w:val="20"/>
                <w:color w:val="auto"/>
              </w:rPr>
            </w:pPr>
            <w:r>
              <w:rPr>
                <w:rFonts w:ascii="Arial" w:cs="Arial" w:eastAsia="Arial" w:hAnsi="Arial"/>
                <w:sz w:val="14"/>
                <w:szCs w:val="14"/>
                <w:b w:val="1"/>
                <w:bCs w:val="1"/>
                <w:color w:val="auto"/>
              </w:rPr>
              <w:t>Price</w:t>
            </w:r>
          </w:p>
        </w:tc>
      </w:tr>
      <w:tr>
        <w:trPr>
          <w:trHeight w:val="203"/>
        </w:trPr>
        <w:tc>
          <w:tcPr>
            <w:tcW w:w="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2022</w:t>
            </w:r>
          </w:p>
        </w:tc>
        <w:tc>
          <w:tcPr>
            <w:tcW w:w="3440" w:type="dxa"/>
            <w:vAlign w:val="bottom"/>
            <w:shd w:val="clear" w:color="auto" w:fill="CFF0FC"/>
          </w:tcPr>
          <w:p>
            <w:pPr>
              <w:spacing w:after="0"/>
              <w:rPr>
                <w:sz w:val="17"/>
                <w:szCs w:val="17"/>
                <w:color w:val="auto"/>
              </w:rPr>
            </w:pPr>
          </w:p>
        </w:tc>
        <w:tc>
          <w:tcPr>
            <w:tcW w:w="25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104.125</w:t>
            </w:r>
          </w:p>
        </w:tc>
        <w:tc>
          <w:tcPr>
            <w:tcW w:w="2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87"/>
              </w:rPr>
              <w:t>%</w:t>
            </w:r>
          </w:p>
        </w:tc>
      </w:tr>
      <w:tr>
        <w:trPr>
          <w:trHeight w:val="203"/>
        </w:trPr>
        <w:tc>
          <w:tcPr>
            <w:tcW w:w="1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2023</w:t>
            </w:r>
          </w:p>
        </w:tc>
        <w:tc>
          <w:tcPr>
            <w:tcW w:w="3440" w:type="dxa"/>
            <w:vAlign w:val="bottom"/>
          </w:tcPr>
          <w:p>
            <w:pPr>
              <w:spacing w:after="0"/>
              <w:rPr>
                <w:sz w:val="17"/>
                <w:szCs w:val="17"/>
                <w:color w:val="auto"/>
              </w:rPr>
            </w:pPr>
          </w:p>
        </w:tc>
        <w:tc>
          <w:tcPr>
            <w:tcW w:w="27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102.750 %</w:t>
            </w:r>
          </w:p>
        </w:tc>
      </w:tr>
      <w:tr>
        <w:trPr>
          <w:trHeight w:val="203"/>
        </w:trPr>
        <w:tc>
          <w:tcPr>
            <w:tcW w:w="10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3440" w:type="dxa"/>
            <w:vAlign w:val="bottom"/>
            <w:shd w:val="clear" w:color="auto" w:fill="CFF0FC"/>
          </w:tcPr>
          <w:p>
            <w:pPr>
              <w:spacing w:after="0"/>
              <w:rPr>
                <w:sz w:val="17"/>
                <w:szCs w:val="17"/>
                <w:color w:val="auto"/>
              </w:rPr>
            </w:pPr>
          </w:p>
        </w:tc>
        <w:tc>
          <w:tcPr>
            <w:tcW w:w="27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101.375 %</w:t>
            </w:r>
          </w:p>
        </w:tc>
      </w:tr>
      <w:tr>
        <w:trPr>
          <w:trHeight w:val="230"/>
        </w:trPr>
        <w:tc>
          <w:tcPr>
            <w:tcW w:w="20" w:type="dxa"/>
            <w:vAlign w:val="bottom"/>
          </w:tcPr>
          <w:p>
            <w:pPr>
              <w:spacing w:after="0"/>
              <w:rPr>
                <w:sz w:val="20"/>
                <w:szCs w:val="20"/>
                <w:color w:val="auto"/>
              </w:rPr>
            </w:pPr>
          </w:p>
        </w:tc>
        <w:tc>
          <w:tcPr>
            <w:tcW w:w="4500" w:type="dxa"/>
            <w:vAlign w:val="bottom"/>
            <w:gridSpan w:val="2"/>
          </w:tcPr>
          <w:p>
            <w:pPr>
              <w:ind w:left="80"/>
              <w:spacing w:after="0"/>
              <w:rPr>
                <w:sz w:val="20"/>
                <w:szCs w:val="20"/>
                <w:color w:val="auto"/>
              </w:rPr>
            </w:pPr>
            <w:r>
              <w:rPr>
                <w:rFonts w:ascii="Arial" w:cs="Arial" w:eastAsia="Arial" w:hAnsi="Arial"/>
                <w:sz w:val="18"/>
                <w:szCs w:val="18"/>
                <w:color w:val="auto"/>
              </w:rPr>
              <w:t>2025 and thereafter</w:t>
            </w:r>
          </w:p>
        </w:tc>
        <w:tc>
          <w:tcPr>
            <w:tcW w:w="2760" w:type="dxa"/>
            <w:vAlign w:val="bottom"/>
            <w:gridSpan w:val="2"/>
          </w:tcPr>
          <w:p>
            <w:pPr>
              <w:jc w:val="right"/>
              <w:ind w:right="10"/>
              <w:spacing w:after="0"/>
              <w:rPr>
                <w:sz w:val="20"/>
                <w:szCs w:val="20"/>
                <w:color w:val="auto"/>
              </w:rPr>
            </w:pPr>
            <w:r>
              <w:rPr>
                <w:rFonts w:ascii="Arial" w:cs="Arial" w:eastAsia="Arial" w:hAnsi="Arial"/>
                <w:sz w:val="18"/>
                <w:szCs w:val="18"/>
                <w:color w:val="auto"/>
              </w:rPr>
              <w:t>100.000 %</w:t>
            </w:r>
          </w:p>
        </w:tc>
      </w:tr>
    </w:tbl>
    <w:p>
      <w:pPr>
        <w:spacing w:after="0" w:line="174" w:lineRule="exact"/>
        <w:rPr>
          <w:sz w:val="20"/>
          <w:szCs w:val="20"/>
          <w:color w:val="auto"/>
        </w:rPr>
      </w:pPr>
    </w:p>
    <w:p>
      <w:pPr>
        <w:ind w:right="60" w:firstLine="578"/>
        <w:spacing w:after="0" w:line="243"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Credit Agreement that leads to an acceleration of those amounts due also results in a default under the indenture governing the Senior Notes.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2021, there was $2.0 billion in principal amount of Senior Notes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Under the Revolving Credit Facility portion of the Credit Agreement,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Credit Agreement. Upon the occurrence of any event of default under the Credit Agreement, the lenders could elect to declare all amounts outstanding under the Credit Agreement to be immediately due and payable and terminate all commitments to extend further credit. Any default and subsequent acceleration of payments under the Credit Agreement would have a material adverse effect on our results of operations, financial position and cash flows. Additionally, under the Credit Agreement, our ability to engage in activities such as incurring additional indebtedness, making investments and paying dividends is also tied to baskets and ratios based on Consolidated EBITDA.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ind w:right="80" w:firstLine="509"/>
        <w:spacing w:after="0"/>
        <w:rPr>
          <w:sz w:val="20"/>
          <w:szCs w:val="20"/>
          <w:color w:val="auto"/>
        </w:rPr>
      </w:pPr>
      <w:r>
        <w:rPr>
          <w:rFonts w:ascii="Arial" w:cs="Arial" w:eastAsia="Arial" w:hAnsi="Arial"/>
          <w:sz w:val="18"/>
          <w:szCs w:val="18"/>
          <w:color w:val="auto"/>
        </w:rPr>
        <w:t>Consolidated EBITDA is a non-GAAP financial measure used in key financial covenants contained in the Credit Agreement,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Credit Agreement.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Credit Agreement.</w:t>
      </w:r>
    </w:p>
    <w:p>
      <w:pPr>
        <w:spacing w:after="0" w:line="189"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82"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Credit Agreement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5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(loss) income, operating (loss)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6" w:lineRule="exact"/>
        <w:rPr>
          <w:sz w:val="20"/>
          <w:szCs w:val="20"/>
          <w:color w:val="auto"/>
        </w:rPr>
      </w:pPr>
    </w:p>
    <w:p>
      <w:pPr>
        <w:ind w:left="720" w:hanging="37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03" w:lineRule="exact"/>
        <w:rPr>
          <w:rFonts w:ascii="Arial" w:cs="Arial" w:eastAsia="Arial" w:hAnsi="Arial"/>
          <w:sz w:val="18"/>
          <w:szCs w:val="18"/>
          <w:color w:val="auto"/>
        </w:rPr>
      </w:pPr>
    </w:p>
    <w:p>
      <w:pPr>
        <w:ind w:left="720" w:hanging="37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(benefit) of income tax expense in our various jurisdictions;</w:t>
      </w:r>
    </w:p>
    <w:p>
      <w:pPr>
        <w:spacing w:after="0" w:line="103" w:lineRule="exact"/>
        <w:rPr>
          <w:rFonts w:ascii="Arial" w:cs="Arial" w:eastAsia="Arial" w:hAnsi="Arial"/>
          <w:sz w:val="18"/>
          <w:szCs w:val="18"/>
          <w:color w:val="auto"/>
        </w:rPr>
      </w:pPr>
    </w:p>
    <w:p>
      <w:pPr>
        <w:ind w:left="720" w:right="420" w:hanging="377"/>
        <w:spacing w:after="0" w:line="261"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2" w:lineRule="exact"/>
        <w:rPr>
          <w:rFonts w:ascii="Arial" w:cs="Arial" w:eastAsia="Arial" w:hAnsi="Arial"/>
          <w:sz w:val="18"/>
          <w:szCs w:val="18"/>
          <w:color w:val="auto"/>
        </w:rPr>
      </w:pPr>
    </w:p>
    <w:p>
      <w:pPr>
        <w:ind w:left="720" w:hanging="37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03" w:lineRule="exact"/>
        <w:rPr>
          <w:rFonts w:ascii="Arial" w:cs="Arial" w:eastAsia="Arial" w:hAnsi="Arial"/>
          <w:sz w:val="18"/>
          <w:szCs w:val="18"/>
          <w:color w:val="auto"/>
        </w:rPr>
      </w:pPr>
    </w:p>
    <w:p>
      <w:pPr>
        <w:ind w:left="720" w:hanging="377"/>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03" w:lineRule="exact"/>
        <w:rPr>
          <w:rFonts w:ascii="Arial" w:cs="Arial" w:eastAsia="Arial" w:hAnsi="Arial"/>
          <w:sz w:val="18"/>
          <w:szCs w:val="18"/>
          <w:color w:val="auto"/>
        </w:rPr>
      </w:pPr>
    </w:p>
    <w:p>
      <w:pPr>
        <w:ind w:left="720" w:right="100" w:hanging="377"/>
        <w:spacing w:after="0" w:line="261"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Credit Agreement, but which others may believe are normal expenses for the operation of a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7" w:name="page48"/>
    <w:bookmarkEnd w:id="47"/>
    <w:p>
      <w:pPr>
        <w:ind w:right="440" w:firstLine="509"/>
        <w:spacing w:after="0" w:line="261" w:lineRule="auto"/>
        <w:rPr>
          <w:sz w:val="20"/>
          <w:szCs w:val="20"/>
          <w:color w:val="auto"/>
        </w:rPr>
      </w:pPr>
      <w:r>
        <w:rPr>
          <w:rFonts w:ascii="Arial" w:cs="Arial" w:eastAsia="Arial" w:hAnsi="Arial"/>
          <w:sz w:val="18"/>
          <w:szCs w:val="18"/>
          <w:color w:val="auto"/>
        </w:rPr>
        <w:t>The following is a reconciliation of net income to Consolidated EBITDA attributable to SS&amp;C common stockholders, as defined in our Credit Agreement.</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800.6</w:t>
            </w:r>
          </w:p>
        </w:tc>
        <w:tc>
          <w:tcPr>
            <w:tcW w:w="26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625.2</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438.5</w:t>
            </w: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w:t>
            </w:r>
          </w:p>
        </w:tc>
        <w:tc>
          <w:tcPr>
            <w:tcW w:w="80" w:type="dxa"/>
            <w:vAlign w:val="bottom"/>
            <w:shd w:val="clear" w:color="auto" w:fill="CFF0FC"/>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93.2</w:t>
            </w:r>
          </w:p>
        </w:tc>
        <w:tc>
          <w:tcPr>
            <w:tcW w:w="80" w:type="dxa"/>
            <w:vAlign w:val="bottom"/>
          </w:tcPr>
          <w:p>
            <w:pPr>
              <w:spacing w:after="0"/>
              <w:rPr>
                <w:sz w:val="17"/>
                <w:szCs w:val="17"/>
                <w:color w:val="auto"/>
              </w:rPr>
            </w:pPr>
          </w:p>
        </w:tc>
      </w:tr>
      <w:tr>
        <w:trPr>
          <w:trHeight w:val="189"/>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667.4</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725.3</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775.2</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96"/>
        </w:trPr>
        <w:tc>
          <w:tcPr>
            <w:tcW w:w="4920" w:type="dxa"/>
            <w:vAlign w:val="bottom"/>
          </w:tcPr>
          <w:p>
            <w:pPr>
              <w:ind w:left="180"/>
              <w:spacing w:after="0"/>
              <w:rPr>
                <w:sz w:val="20"/>
                <w:szCs w:val="20"/>
                <w:color w:val="auto"/>
              </w:rPr>
            </w:pPr>
            <w:r>
              <w:rPr>
                <w:rFonts w:ascii="Arial" w:cs="Arial" w:eastAsia="Arial" w:hAnsi="Arial"/>
                <w:sz w:val="16"/>
                <w:szCs w:val="16"/>
                <w:color w:val="auto"/>
              </w:rPr>
              <w:t>EBITDA</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1,906.0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1,711.8</w:t>
            </w: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FF0FC"/>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Acquired EBITDA and cost savings (1)</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Non-cash portion of straight-line rent expense</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(1.9 )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(0.1 )</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unconsolidated affiliates, net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(25.4 )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(3.6 )</w:t>
            </w: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Purchase accounting adjustments (2)</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ASC 606 adoption impact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FF0FC"/>
          </w:tcPr>
          <w:p>
            <w:pPr>
              <w:spacing w:after="0"/>
              <w:rPr>
                <w:sz w:val="17"/>
                <w:szCs w:val="17"/>
                <w:color w:val="auto"/>
              </w:rPr>
            </w:pPr>
          </w:p>
        </w:tc>
      </w:tr>
      <w:tr>
        <w:trPr>
          <w:trHeight w:val="189"/>
        </w:trPr>
        <w:tc>
          <w:tcPr>
            <w:tcW w:w="4920" w:type="dxa"/>
            <w:vAlign w:val="bottom"/>
          </w:tcPr>
          <w:p>
            <w:pPr>
              <w:spacing w:after="0"/>
              <w:rPr>
                <w:sz w:val="20"/>
                <w:szCs w:val="20"/>
                <w:color w:val="auto"/>
              </w:rPr>
            </w:pPr>
            <w:r>
              <w:rPr>
                <w:rFonts w:ascii="Arial" w:cs="Arial" w:eastAsia="Arial" w:hAnsi="Arial"/>
                <w:sz w:val="16"/>
                <w:szCs w:val="16"/>
                <w:color w:val="auto"/>
              </w:rPr>
              <w:t>Other (3)</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r>
      <w:tr>
        <w:trPr>
          <w:trHeight w:val="183"/>
        </w:trPr>
        <w:tc>
          <w:tcPr>
            <w:tcW w:w="492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Consolidated EBITDA</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2,068.1</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1,856.3</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1,877.5</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4920" w:type="dxa"/>
            <w:vAlign w:val="bottom"/>
          </w:tcPr>
          <w:p>
            <w:pPr>
              <w:spacing w:after="0" w:line="183" w:lineRule="exact"/>
              <w:rPr>
                <w:sz w:val="20"/>
                <w:szCs w:val="20"/>
                <w:color w:val="auto"/>
              </w:rPr>
            </w:pPr>
            <w:r>
              <w:rPr>
                <w:rFonts w:ascii="Arial" w:cs="Arial" w:eastAsia="Arial" w:hAnsi="Arial"/>
                <w:sz w:val="16"/>
                <w:szCs w:val="16"/>
                <w:color w:val="auto"/>
              </w:rPr>
              <w:t>Consolidated EBITDA attributable to noncontrolling interest (4)</w:t>
            </w:r>
          </w:p>
        </w:tc>
        <w:tc>
          <w:tcPr>
            <w:tcW w:w="280" w:type="dxa"/>
            <w:vAlign w:val="bottom"/>
          </w:tcPr>
          <w:p>
            <w:pPr>
              <w:spacing w:after="0"/>
              <w:rPr>
                <w:sz w:val="15"/>
                <w:szCs w:val="15"/>
                <w:color w:val="auto"/>
              </w:rPr>
            </w:pPr>
          </w:p>
        </w:tc>
        <w:tc>
          <w:tcPr>
            <w:tcW w:w="1160" w:type="dxa"/>
            <w:vAlign w:val="bottom"/>
            <w:gridSpan w:val="2"/>
          </w:tcPr>
          <w:p>
            <w:pPr>
              <w:jc w:val="right"/>
              <w:ind w:right="128"/>
              <w:spacing w:after="0" w:line="183" w:lineRule="exact"/>
              <w:rPr>
                <w:sz w:val="20"/>
                <w:szCs w:val="20"/>
                <w:color w:val="auto"/>
              </w:rPr>
            </w:pPr>
            <w:r>
              <w:rPr>
                <w:rFonts w:ascii="Arial" w:cs="Arial" w:eastAsia="Arial" w:hAnsi="Arial"/>
                <w:sz w:val="16"/>
                <w:szCs w:val="16"/>
                <w:color w:val="auto"/>
              </w:rPr>
              <w:t>(2.0 )</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r>
      <w:tr>
        <w:trPr>
          <w:trHeight w:val="223"/>
        </w:trPr>
        <w:tc>
          <w:tcPr>
            <w:tcW w:w="4920" w:type="dxa"/>
            <w:vAlign w:val="bottom"/>
            <w:tcBorders>
              <w:bottom w:val="single" w:sz="8" w:color="CFF0FC"/>
            </w:tcBorders>
            <w:shd w:val="clear" w:color="auto" w:fill="CFF0FC"/>
          </w:tcPr>
          <w:p>
            <w:pPr>
              <w:ind w:left="180"/>
              <w:spacing w:after="0" w:line="169" w:lineRule="exact"/>
              <w:rPr>
                <w:sz w:val="20"/>
                <w:szCs w:val="20"/>
                <w:color w:val="auto"/>
              </w:rPr>
            </w:pPr>
            <w:r>
              <w:rPr>
                <w:rFonts w:ascii="Arial" w:cs="Arial" w:eastAsia="Arial" w:hAnsi="Arial"/>
                <w:sz w:val="16"/>
                <w:szCs w:val="16"/>
                <w:color w:val="auto"/>
              </w:rPr>
              <w:t>Consolidated EBITDA attributable to SS&amp;C common stockholders</w:t>
            </w:r>
          </w:p>
        </w:tc>
        <w:tc>
          <w:tcPr>
            <w:tcW w:w="280" w:type="dxa"/>
            <w:vAlign w:val="bottom"/>
            <w:tcBorders>
              <w:top w:val="single" w:sz="8" w:color="auto"/>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2,066.1</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1,856.3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1,877.5</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-1565275</wp:posOffset>
            </wp:positionV>
            <wp:extent cx="6032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-1565275</wp:posOffset>
            </wp:positionV>
            <wp:extent cx="514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-1565275</wp:posOffset>
            </wp:positionV>
            <wp:extent cx="514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-279400</wp:posOffset>
            </wp:positionV>
            <wp:extent cx="603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-279400</wp:posOffset>
            </wp:positionV>
            <wp:extent cx="5143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-279400</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ind w:right="360" w:firstLine="8"/>
        <w:spacing w:after="0" w:line="244"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firstLine="8"/>
        <w:spacing w:after="0" w:line="234"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spacing w:after="0" w:line="3" w:lineRule="exact"/>
        <w:rPr>
          <w:rFonts w:ascii="Arial" w:cs="Arial" w:eastAsia="Arial" w:hAnsi="Arial"/>
          <w:sz w:val="18"/>
          <w:szCs w:val="18"/>
          <w:color w:val="auto"/>
        </w:rPr>
      </w:pPr>
    </w:p>
    <w:p>
      <w:pPr>
        <w:ind w:right="60" w:firstLine="8"/>
        <w:spacing w:after="0" w:line="234"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includes expenses and income that are permitted to be excluded per the terms of our Credit Agreement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spacing w:after="0" w:line="2" w:lineRule="exact"/>
        <w:rPr>
          <w:rFonts w:ascii="Arial" w:cs="Arial" w:eastAsia="Arial" w:hAnsi="Arial"/>
          <w:sz w:val="18"/>
          <w:szCs w:val="18"/>
          <w:color w:val="auto"/>
        </w:rPr>
      </w:pPr>
    </w:p>
    <w:p>
      <w:pPr>
        <w:ind w:right="520" w:firstLine="8"/>
        <w:spacing w:after="0" w:line="243" w:lineRule="auto"/>
        <w:tabs>
          <w:tab w:leader="none" w:pos="3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-1560830</wp:posOffset>
            </wp:positionV>
            <wp:extent cx="1191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covenant requirement for net senior secured leverage ratio and the actual ratio for the year ended December 31, 2021 are as follows: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Covenant</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85"/>
        </w:trPr>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155"/>
        </w:trPr>
        <w:tc>
          <w:tcPr>
            <w:tcW w:w="69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Maximum consolidated net secured leverage to</w:t>
            </w:r>
          </w:p>
        </w:tc>
        <w:tc>
          <w:tcPr>
            <w:tcW w:w="150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0"/>
              </w:rPr>
              <w:t>6.25x</w:t>
            </w:r>
          </w:p>
        </w:tc>
        <w:tc>
          <w:tcPr>
            <w:tcW w:w="160" w:type="dxa"/>
            <w:vAlign w:val="bottom"/>
            <w:shd w:val="clear" w:color="auto" w:fill="CFF0FC"/>
          </w:tcPr>
          <w:p>
            <w:pPr>
              <w:spacing w:after="0"/>
              <w:rPr>
                <w:sz w:val="13"/>
                <w:szCs w:val="13"/>
                <w:color w:val="auto"/>
              </w:rPr>
            </w:pPr>
          </w:p>
        </w:tc>
        <w:tc>
          <w:tcPr>
            <w:tcW w:w="150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0"/>
              </w:rPr>
              <w:t>1.72x</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140"/>
              <w:spacing w:after="0" w:line="216" w:lineRule="exact"/>
              <w:rPr>
                <w:sz w:val="20"/>
                <w:szCs w:val="20"/>
                <w:color w:val="auto"/>
              </w:rPr>
            </w:pPr>
            <w:r>
              <w:rPr>
                <w:rFonts w:ascii="Arial" w:cs="Arial" w:eastAsia="Arial" w:hAnsi="Arial"/>
                <w:sz w:val="18"/>
                <w:szCs w:val="18"/>
                <w:color w:val="auto"/>
              </w:rPr>
              <w:t>Consolidated EBITDA ratio</w:t>
            </w:r>
            <w:r>
              <w:rPr>
                <w:rFonts w:ascii="Arial" w:cs="Arial" w:eastAsia="Arial" w:hAnsi="Arial"/>
                <w:sz w:val="24"/>
                <w:szCs w:val="24"/>
                <w:color w:val="auto"/>
                <w:vertAlign w:val="superscript"/>
              </w:rPr>
              <w:t>(1)</w:t>
            </w:r>
          </w:p>
        </w:tc>
        <w:tc>
          <w:tcPr>
            <w:tcW w:w="15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right="120" w:hanging="752"/>
        <w:spacing w:after="0" w:line="248" w:lineRule="auto"/>
        <w:tabs>
          <w:tab w:leader="none" w:pos="3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as the ratio of consolidated net secured funded indebtedness, net of cash and cash equivalents, excluding $139.5 million of cash and cash equivalents held at DomaniRx, to Consolidated EBITDA, as defined by the Credit Agreement, for the period of four consecutive fiscal quarters ended on the measurement date. Consolidated net secured funded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1912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8" w:name="page49"/>
    <w:bookmarkEnd w:id="48"/>
    <w:p>
      <w:pPr>
        <w:ind w:left="760" w:right="40"/>
        <w:spacing w:after="0" w:line="261" w:lineRule="auto"/>
        <w:rPr>
          <w:sz w:val="20"/>
          <w:szCs w:val="20"/>
          <w:color w:val="auto"/>
        </w:rPr>
      </w:pPr>
      <w:r>
        <w:rPr>
          <w:rFonts w:ascii="Arial" w:cs="Arial" w:eastAsia="Arial" w:hAnsi="Arial"/>
          <w:sz w:val="18"/>
          <w:szCs w:val="18"/>
          <w:color w:val="auto"/>
        </w:rPr>
        <w:t>is comprised of indebtedness for borrowed money, letters of credit, deferred purchase price obligations and capital lease obligations, all of which is secured by liens on our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 number of our accounting policies require the application of significant judgment by our management, and such judgments are reflected in the amounts reported in our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On an ongoing basis, we evaluate our estimates and judgments, including those related to revenue recognition, goodwill and other intangible assets and other contingent liabilities. Actual results may differ significantly from the estimates contained in our Consolidated Financial Statements. Information about recently adopted accounting pronouncements and accounting pronouncements not yet effective is included in Note 2 to our Consolidated Financial Statements. We believe that the following comprise the accounting estimates or assumptions we have made where the nature of the estimates or assumptions could be material due to the levels of subjectivity and judgment involved.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investments</w:t>
      </w:r>
    </w:p>
    <w:p>
      <w:pPr>
        <w:spacing w:after="0" w:line="104"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We have five significant types of investments: 1) investments in unconsolidated affiliates; 2) partnership interests in private equity funds; 3) investments in marketable equity securities related to our deferred compensation agreements; 4) non-marketable equity securities; and 5) seed capital investments.</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equity method of accounting is used for investments in entities, partnerships and similar interests (including investments in private equity funds for which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spacing w:after="0" w:line="188"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Our investments in unconsolidated affiliates are accounted for under the equity method of accounting. The carrying value of our investments in unconsolidated affiliates exceeds the proportionate share of net assets of the unconsolidated affiliates, resulting in basis differences. We recognize our proportionate share of the results of the unconsolidated affiliates and amortization expense related to basis differences in equity in earnings of unconsolidated affiliates, net on our Consolidated Statements of Comprehensive Income.</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partnership interests in private equity funds, marketable equity securities and seed capital investments, other than those accounted for under the equity method of accounting or those that result in consolidation of the investee, are recorded at fair value, with changes in the fair value recognized in other (expense) income, net on our Consolidated Statements of Comprehensive Income. Our marketable equity securities and seed capital investments have readily determinable fair values in the market. We use net asset value as a practical expedient for the fair value of partnership interests in private equity funds that are not accounted for under the equity method of accounting.</w:t>
      </w:r>
    </w:p>
    <w:p>
      <w:pPr>
        <w:spacing w:after="0" w:line="174"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Investments in non-marketable equity securities that do not have readily determinable fair values and do not qualify for the practical expedient to measure the investment using a net asset value per share are recorded using the measurement alternative in Accounting Standards Update (“ASU”) 2016-</w:t>
      </w:r>
    </w:p>
    <w:p>
      <w:pPr>
        <w:spacing w:after="0" w:line="1" w:lineRule="exact"/>
        <w:rPr>
          <w:sz w:val="20"/>
          <w:szCs w:val="20"/>
          <w:color w:val="auto"/>
        </w:rPr>
      </w:pPr>
    </w:p>
    <w:p>
      <w:pPr>
        <w:ind w:right="20" w:firstLine="8"/>
        <w:spacing w:after="0" w:line="237"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 which could have a material effect on our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Intangible Assets and Goodwill</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must test goodwill annually for impairment (and in interim periods if certain events occur indicating that the carrying value of goodwill or indefinite-lived intangible assets may be impaired) by comparing the fair value of a reporting unit to its carrying value. Judgement is required in the determination of goodwill reporting units. On July 1, 2020, our reporting unit structure changed as a result of a change in our management structure. As of December 31, 2019 and through June 30, 2020, we had two reporting units, one which included the DST business, and one which includes the rest of our operations. As of July 1, 2020 and through December 31, 2021, we continue to have two reporting units, though one is our health business and the other includes the rest of our operations. To the extent that we do not achieve our revenue or operating cash flow plans or other measures of fair value decline, including external</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ind w:right="60"/>
        <w:spacing w:after="0" w:line="261" w:lineRule="auto"/>
        <w:rPr>
          <w:sz w:val="20"/>
          <w:szCs w:val="20"/>
          <w:color w:val="auto"/>
        </w:rPr>
      </w:pPr>
      <w:r>
        <w:rPr>
          <w:rFonts w:ascii="Arial" w:cs="Arial" w:eastAsia="Arial" w:hAnsi="Arial"/>
          <w:sz w:val="18"/>
          <w:szCs w:val="18"/>
          <w:color w:val="auto"/>
        </w:rPr>
        <w:t>valuation assumptions, our current goodwill carrying value could be impaired. Our impairment analysis indicated that the fair values of our reporting units significantly exceeded their carrying values at December 31, 2021.</w:t>
      </w:r>
    </w:p>
    <w:p>
      <w:pPr>
        <w:spacing w:after="0" w:line="171"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We assess the impairment of identifiable intangibles, long-lived assets and goodwill whenever events or changes in circumstances indicate that the carrying value may not be recoverable. Factors we consider important which could trigger an impairment review include the following:</w:t>
      </w:r>
    </w:p>
    <w:p>
      <w:pPr>
        <w:spacing w:after="0" w:line="39" w:lineRule="exact"/>
        <w:rPr>
          <w:sz w:val="20"/>
          <w:szCs w:val="20"/>
          <w:color w:val="auto"/>
        </w:rPr>
      </w:pPr>
    </w:p>
    <w:p>
      <w:pPr>
        <w:ind w:left="560" w:hanging="507"/>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12"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When we determine that the carrying value of intangibles and long-lived assets may not be recoverable based upon the existence of one or more of the above indicators of potential impairment, we assess whether an impairment has occurred based on whether net book value of the assets exceeds related projected undiscounted cash flows from these assets. We consider a number of factors, including past operating results, budgets, economic projections, market trends and product development cycles in estimating future cash flows. Differing estimates and assumptions as to any of the factors described above could result in a materially different impairment charge, if any, and thus materially different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0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Significant management judgement is required in determining which projects and costs associated with software development will be capitalized and in assigning estimated economic lives to the completed projects. Management specifically evaluates software development projects, milestones achieved and the commitments to continue funding the projects. Significant changes in any of these items may result in discontinuing capitalization of development costs, as well as immediately expensing previously capitalized costs. We review, on a quarterly basis, our capitalized software for possible impairment.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04"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In connection with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 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2021, 2020 and 2019 were consistent with our estimated cash flows and we did not incur any impairment charges during those years, different estimates and assumptions in valuing acquired assets could yield materially different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revenues consist of software-enabled services and license, maintenance and related revenues.</w:t>
      </w:r>
    </w:p>
    <w:p>
      <w:pPr>
        <w:spacing w:after="0" w:line="21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Software-enabled services revenues, which are based on a monthly fee or are transaction-based, are recognized as the services are performed. 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82"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recognize software-enabled services revenues on a monthly basis as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ASC</w:t>
      </w:r>
    </w:p>
    <w:p>
      <w:pPr>
        <w:spacing w:after="0" w:line="3"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0" w:name="page51"/>
    <w:bookmarkEnd w:id="50"/>
    <w:p>
      <w:pPr>
        <w:ind w:right="40" w:firstLine="509"/>
        <w:spacing w:after="0" w:line="262" w:lineRule="auto"/>
        <w:rPr>
          <w:sz w:val="20"/>
          <w:szCs w:val="20"/>
          <w:color w:val="auto"/>
        </w:rPr>
      </w:pPr>
      <w:r>
        <w:rPr>
          <w:rFonts w:ascii="Arial" w:cs="Arial" w:eastAsia="Arial" w:hAnsi="Arial"/>
          <w:sz w:val="17"/>
          <w:szCs w:val="17"/>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72"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 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 Revenues from professional services consist mostly of services provided on a time and materials basis.</w:t>
      </w:r>
    </w:p>
    <w:p>
      <w:pPr>
        <w:spacing w:after="0" w:line="1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spacing w:after="0" w:line="180"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Using the fair value recognition provisions of relevant accounting literature, stock-based compensation cost is measured at the grant date based on the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earnings per share growth targets, we estimate the likelihood of achieving the performance goals. Differences between actual results and these estimates could have a material effect on our financial results. A deferred income tax asset is recorded over the vesting period as stock compensation expense is recorded for non-qualified stock options.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carrying value of our deferred tax assets assumes that we will be able to generate sufficient future taxable income in certain tax jurisdictions, based on estimates and assumptions. If these estimates and related assumptions change in the future, we may be required to record additional valuation allowances against our deferred tax assets resulting in additional income tax expense in our Consolidated Statements of Comprehensive Income. On a quarterly basis, we evaluate whether deferred tax assets are realizable and assess whether there is a need for additional valuation allowances. The carrying value of our deferred tax assets and liabilities is recorded based on the statutory rates that we expect our deferred tax assets and liabilities to reverse into income. We estimate the state rate at which our deferred tax assets and liabilities will reverse based on estimates of state income apportionment for future years. Each of these estimates requires significant judgment on the part of our management. In addition, we evaluate the need to provide additional tax provisions for adjustments proposed by taxing authorities.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280" w:firstLine="509"/>
        <w:spacing w:after="0" w:line="248" w:lineRule="auto"/>
        <w:rPr>
          <w:sz w:val="20"/>
          <w:szCs w:val="20"/>
          <w:color w:val="auto"/>
        </w:rPr>
      </w:pPr>
      <w:r>
        <w:rPr>
          <w:rFonts w:ascii="Arial" w:cs="Arial" w:eastAsia="Arial" w:hAnsi="Arial"/>
          <w:sz w:val="18"/>
          <w:szCs w:val="18"/>
          <w:color w:val="auto"/>
        </w:rPr>
        <w:t>As of December 31, 2021, we had $120.9 million in liabilities associated with unrecognized tax benefits. All of the unrecognized tax benefits, if recognized, would decrease our effective tax rate and increase our net income. Additionally, we recognize accrued interest and penalties relating to unrecognized tax benefits as a component of the income tax provision.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do not use derivative financial instruments for trading or speculative purposes. We have invested our available cash in short-term, highly liquid financial instruments, having initial maturities of three months or less. When necessary, we have borrowed to fund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derive service revenues from investment earnings related to cash balances maintained in bank accounts on which we are the agent for clients. The balances maintained in the bank accounts will fluctuate. For 2021, there were average daily cash balances of approximately $2.5 billion maintained in such accounts. We estimate that a 1% change in interest rates would equate to approximately $9.3 million of net income on an annual basis. The effect of changes in interest rates attributable to earnings derived from cash balances we hold for clients is partially offset by changes in interest rates on our variable debt.</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At December 31, 2021, we had total debt of $5,979.7 million, including $3,974.5 million of variable interest rate debt. As of December 31, 2021, a 1% change in LIBOR would result in a change in interest expense of approximately $39.7 million per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December 31, 2021 was approximately $67.0 million. The impact of a 10% change in fair value of these investments would have been approximately $5.0 million to net income. Changes in equity values of our investments could have a material effect on our results of operations and our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During 2021, approximately 28% of our revenues were from clients located outside the United States (“U.S.”). A portion of the revenues from clients located outside the U.S. is denominated in foreign currencies, primarily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(expense) income. These outstanding amounts were not material for the year ended December 31, 2021.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as a result of our acquisitions and changes in our operations. We do not enter into any market risk sensitive instruments for trading purposes.</w:t>
      </w:r>
    </w:p>
    <w:p>
      <w:pPr>
        <w:spacing w:after="0" w:line="18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7" w:lineRule="exact"/>
        <w:rPr>
          <w:sz w:val="20"/>
          <w:szCs w:val="20"/>
          <w:color w:val="auto"/>
        </w:rPr>
      </w:pPr>
    </w:p>
    <w:tbl>
      <w:tblPr>
        <w:tblLayout w:type="fixed"/>
        <w:tblInd w:w="30" w:type="dxa"/>
        <w:tblCellMar>
          <w:top w:w="0" w:type="dxa"/>
          <w:left w:w="0" w:type="dxa"/>
          <w:bottom w:w="0" w:type="dxa"/>
          <w:right w:w="0" w:type="dxa"/>
        </w:tblCellMar>
      </w:tblPr>
      <w:tr>
        <w:trPr>
          <w:trHeight w:val="191"/>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Index to Consolidated Financial Statements</w:t>
            </w:r>
          </w:p>
        </w:tc>
        <w:tc>
          <w:tcPr>
            <w:tcW w:w="7800" w:type="dxa"/>
            <w:vAlign w:val="bottom"/>
            <w:gridSpan w:val="7"/>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0480" w:type="dxa"/>
            <w:vAlign w:val="bottom"/>
            <w:gridSpan w:val="8"/>
          </w:tcPr>
          <w:p>
            <w:pPr>
              <w:spacing w:after="0" w:line="163" w:lineRule="exact"/>
              <w:rPr>
                <w:rFonts w:ascii="Arial" w:cs="Arial" w:eastAsia="Arial" w:hAnsi="Arial"/>
                <w:sz w:val="18"/>
                <w:szCs w:val="18"/>
                <w:color w:val="0000FF"/>
              </w:rPr>
            </w:pPr>
            <w:hyperlink w:anchor="page54">
              <w:r>
                <w:rPr>
                  <w:rFonts w:ascii="Arial" w:cs="Arial" w:eastAsia="Arial" w:hAnsi="Arial"/>
                  <w:sz w:val="18"/>
                  <w:szCs w:val="18"/>
                  <w:color w:val="0000FF"/>
                </w:rPr>
                <w:t>Report of Independent Registered Public Accounting Firm (PCAOB ID 238)</w:t>
              </w:r>
            </w:hyperlink>
          </w:p>
        </w:tc>
        <w:tc>
          <w:tcPr>
            <w:tcW w:w="740" w:type="dxa"/>
            <w:vAlign w:val="bottom"/>
          </w:tcPr>
          <w:p>
            <w:pPr>
              <w:jc w:val="right"/>
              <w:spacing w:after="0" w:line="16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554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56">
              <w:r>
                <w:rPr>
                  <w:rFonts w:ascii="Arial" w:cs="Arial" w:eastAsia="Arial" w:hAnsi="Arial"/>
                  <w:sz w:val="18"/>
                  <w:szCs w:val="18"/>
                  <w:color w:val="0000FF"/>
                </w:rPr>
                <w:t>Consolidated Balance Sheets as of December 31, 2021 and 2020</w:t>
              </w:r>
            </w:hyperlink>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40" w:type="dxa"/>
            <w:vAlign w:val="bottom"/>
            <w:gridSpan w:val="5"/>
            <w:vMerge w:val="restart"/>
          </w:tcPr>
          <w:p>
            <w:pPr>
              <w:ind w:left="8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ended December 31, 2021, 2020 and 2019</w:t>
              </w:r>
            </w:hyperlink>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83"/>
        </w:trPr>
        <w:tc>
          <w:tcPr>
            <w:tcW w:w="4640" w:type="dxa"/>
            <w:vAlign w:val="bottom"/>
            <w:gridSpan w:val="3"/>
          </w:tcPr>
          <w:p>
            <w:pPr>
              <w:spacing w:after="0" w:line="182" w:lineRule="exact"/>
              <w:rPr>
                <w:rFonts w:ascii="Arial" w:cs="Arial" w:eastAsia="Arial" w:hAnsi="Arial"/>
                <w:sz w:val="18"/>
                <w:szCs w:val="18"/>
                <w:color w:val="0000FF"/>
                <w:w w:val="88"/>
              </w:rPr>
            </w:pPr>
            <w:hyperlink w:anchor="page57">
              <w:r>
                <w:rPr>
                  <w:rFonts w:ascii="Arial" w:cs="Arial" w:eastAsia="Arial" w:hAnsi="Arial"/>
                  <w:sz w:val="18"/>
                  <w:szCs w:val="18"/>
                  <w:color w:val="0000FF"/>
                  <w:w w:val="88"/>
                </w:rPr>
                <w:t>Consolidated Statements of Comprehensive Income for the years</w:t>
              </w:r>
            </w:hyperlink>
          </w:p>
        </w:tc>
        <w:tc>
          <w:tcPr>
            <w:tcW w:w="5840" w:type="dxa"/>
            <w:vAlign w:val="bottom"/>
            <w:gridSpan w:val="5"/>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83"/>
        </w:trPr>
        <w:tc>
          <w:tcPr>
            <w:tcW w:w="7780" w:type="dxa"/>
            <w:vAlign w:val="bottom"/>
            <w:gridSpan w:val="6"/>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Consolidated Statements of Cash Flows for the years ended December 31, 2021, 2020 and 2019</w:t>
              </w:r>
            </w:hyperlink>
          </w:p>
        </w:tc>
        <w:tc>
          <w:tcPr>
            <w:tcW w:w="66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580" w:type="dxa"/>
            <w:vAlign w:val="bottom"/>
            <w:gridSpan w:val="3"/>
            <w:vMerge w:val="restart"/>
          </w:tcPr>
          <w:p>
            <w:pPr>
              <w:ind w:lef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2021, 2020 and 2019</w:t>
              </w:r>
            </w:hyperlink>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83"/>
        </w:trPr>
        <w:tc>
          <w:tcPr>
            <w:tcW w:w="6900" w:type="dxa"/>
            <w:vAlign w:val="bottom"/>
            <w:gridSpan w:val="5"/>
          </w:tcPr>
          <w:p>
            <w:pPr>
              <w:spacing w:after="0" w:line="182"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Consolidated Statements of Changes in Stockholders’ Equity for the years ended December 31,</w:t>
              </w:r>
            </w:hyperlink>
          </w:p>
        </w:tc>
        <w:tc>
          <w:tcPr>
            <w:tcW w:w="358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2040" w:type="dxa"/>
            <w:vAlign w:val="bottom"/>
            <w:vMerge w:val="restart"/>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183"/>
        </w:trPr>
        <w:tc>
          <w:tcPr>
            <w:tcW w:w="8440" w:type="dxa"/>
            <w:vAlign w:val="bottom"/>
            <w:gridSpan w:val="7"/>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Notes to Consolidated Financial Statements</w:t>
              </w:r>
            </w:hyperlink>
          </w:p>
        </w:tc>
        <w:tc>
          <w:tcPr>
            <w:tcW w:w="20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left w:val="single" w:sz="8" w:color="0000EE"/>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Financial statement schedules are not submitted because they are not applicable, not required or the information is included in our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3" w:name="page54"/>
    <w:bookmarkEnd w:id="5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SS&amp;C Technologies Holdings,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16"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 xml:space="preserve">We have audited the accompanying consolidated balance sheets of SS&amp;C Technologies Holdings, Inc. and its subsidiaries (the “Company”) as of December 31, 2021 and 2020, and the related consolidated statements of comprehensive income, of changes in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159"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1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1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Health Business Reporting Unit</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 described in Notes 2 and 9 to the consolidated financial statements, the Company’s consolidated goodwill balance was $8,045.5 million as of December 31, 2021. Management tests goodwill annually for impairment as of December 31 and in interim periods if certain events occur or circumstances change that would more likely than not reduce the fair value of a reporting unit below its carrying amount. Management measures the fair value of the Company’s reporting units utilizing the income method. Significant judgments required to estimate the fair value of the Company’s reporting units include determining appropriate discount rates, revenue growth rates and estimating the margin on the Company’s revenues to determine earnings before interest, income taxes, depreciation, amortization and stock-based compensation.</w:t>
      </w:r>
    </w:p>
    <w:p>
      <w:pPr>
        <w:spacing w:after="0" w:line="175"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health business reporting unit is a critical audit matter are (i) the significant judgment by management when developing the fair value measurement of the reporting unit;</w:t>
      </w:r>
    </w:p>
    <w:p>
      <w:pPr>
        <w:spacing w:after="0" w:line="1" w:lineRule="exact"/>
        <w:rPr>
          <w:sz w:val="20"/>
          <w:szCs w:val="20"/>
          <w:color w:val="auto"/>
        </w:rPr>
      </w:pPr>
    </w:p>
    <w:p>
      <w:pPr>
        <w:ind w:right="40" w:firstLine="8"/>
        <w:spacing w:after="0" w:line="283" w:lineRule="auto"/>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high degree of auditor judgment, subjectivity and effort in performing procedures and evaluating management’s significant assumptions related to the discount rate, revenue growth rates, and the margin on the Company’s revenues to determine earnings before interest, income taxes, depreciation, amortization and stock-based compensation; and (iii) the audit effort involved the use of professionals with specialized skill and knowledge.</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goodwill impairment assessment, including controls over the determination of the fair value of the health business reporting unit. These procedures also included, among others, testing management’s process for developing the fair value estimate of the health business reporting unit; evaluating the appropriateness of the income method; testing the completeness and accuracy of underlying data used in the income method; and evaluating the significant assumptions used by management related to the discount rate, revenue growth rates, and the margin on the Company’s revenues to determine earnings before interest, income taxes, depreciation, amortization and stock-based compensation. Evaluating management’s assumptions related to the revenue growth rates and margin on the Company’s revenues to determine earnings before interest, income taxes, depreciation, amortization and stock-based compensation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income method and the discount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74"/>
        </w:trPr>
        <w:tc>
          <w:tcPr>
            <w:tcW w:w="7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64"/>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Funds receivable and funds held on behalf of clients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2,755.7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1,227.4</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 for credit losses of $17.9 and $16.8, respectively (Note 3)</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648.0</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Contract asset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20.4</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2,298.5</w:t>
            </w:r>
          </w:p>
        </w:tc>
        <w:tc>
          <w:tcPr>
            <w:tcW w:w="6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Property, plant and equipment, net (Note 4)</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382.0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412.8</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 (Note 5)</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350.8</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Investments (Note 6)</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172.8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183.5</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Unconsolidated affiliates (Note 7)</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color w:val="auto"/>
              </w:rPr>
              <w:t>Contract asset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82.0</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 (Note 9)</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8,045.5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8,078.7</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Intangible and other assets, net of accumulated amortization of $2,890.5 and $2,655.6, respectively (Note 9)</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4,291.7</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17,333.0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15,923.6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1"/>
        </w:trPr>
        <w:tc>
          <w:tcPr>
            <w:tcW w:w="770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(Note 10)</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Client funds obligations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2,755.7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1,227.4</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employee compensation and benefits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Interest payable</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27.5</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accrued expenses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293.1</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3,851.1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Long-term debt, net of current portion (Note 10)</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5,901.5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6,388.5</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liabilities (Note 5)</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323.6</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287.9</w:t>
            </w:r>
          </w:p>
        </w:tc>
        <w:tc>
          <w:tcPr>
            <w:tcW w:w="6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835.0</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11,109.8</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10,207.1</w:t>
            </w:r>
          </w:p>
        </w:tc>
        <w:tc>
          <w:tcPr>
            <w:tcW w:w="6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18)</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Stockholders’ equity (Note 11):</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7700" w:type="dxa"/>
            <w:vAlign w:val="bottom"/>
          </w:tcPr>
          <w:p>
            <w:pPr>
              <w:ind w:left="300"/>
              <w:spacing w:after="0"/>
              <w:rPr>
                <w:sz w:val="20"/>
                <w:szCs w:val="20"/>
                <w:color w:val="auto"/>
              </w:rPr>
            </w:pPr>
            <w:r>
              <w:rPr>
                <w:rFonts w:ascii="Arial" w:cs="Arial" w:eastAsia="Arial" w:hAnsi="Arial"/>
                <w:sz w:val="14"/>
                <w:szCs w:val="14"/>
                <w:color w:val="auto"/>
              </w:rPr>
              <w:t>no shares issued</w:t>
            </w:r>
          </w:p>
        </w:tc>
        <w:tc>
          <w:tcPr>
            <w:tcW w:w="26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$0.01 par value per share, 400.0 million shares authorized; 269.1 million shares</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and 263.9 million shares issued, respectively, and 256.0 million shares and 257.6 million shares</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outstanding, respectively</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4,895.7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4,544.0</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(242.0 )</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(201.0 )</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2,293.0</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6,949.4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6,012.6</w:t>
            </w: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Arial" w:cs="Arial" w:eastAsia="Arial" w:hAnsi="Arial"/>
                <w:sz w:val="14"/>
                <w:szCs w:val="14"/>
                <w:color w:val="auto"/>
              </w:rPr>
              <w:t>Less: cost of common stock in treasury, 13.1 and 6.3 million shares, respectively</w:t>
            </w:r>
          </w:p>
        </w:tc>
        <w:tc>
          <w:tcPr>
            <w:tcW w:w="26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(784.0 )</w:t>
            </w:r>
          </w:p>
        </w:tc>
        <w:tc>
          <w:tcPr>
            <w:tcW w:w="2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(296.1 )</w:t>
            </w:r>
          </w:p>
        </w:tc>
      </w:tr>
      <w:tr>
        <w:trPr>
          <w:trHeight w:val="16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SS&amp;C stockholders’ equity</w:t>
            </w:r>
          </w:p>
        </w:tc>
        <w:tc>
          <w:tcPr>
            <w:tcW w:w="26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6,165.4</w:t>
            </w:r>
          </w:p>
        </w:tc>
        <w:tc>
          <w:tcPr>
            <w:tcW w:w="2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5,716.5</w:t>
            </w: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Noncontrolling interest (Note 12)</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6,223.2</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5,716.5</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17,333.0</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15,923.6</w:t>
            </w:r>
          </w:p>
        </w:tc>
        <w:tc>
          <w:tcPr>
            <w:tcW w:w="6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-3736975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-3719830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-3736975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-3719830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-2028190</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-2028190</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Software-enabled services</w:t>
            </w:r>
          </w:p>
        </w:tc>
        <w:tc>
          <w:tcPr>
            <w:tcW w:w="840" w:type="dxa"/>
            <w:vAlign w:val="bottom"/>
          </w:tcPr>
          <w:p>
            <w:pPr>
              <w:jc w:val="right"/>
              <w:ind w:right="653"/>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6"/>
              </w:rPr>
              <w:t>4,256.1</w:t>
            </w:r>
          </w:p>
        </w:tc>
        <w:tc>
          <w:tcPr>
            <w:tcW w:w="8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3,891.3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3,869.2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License, maintenance and related</w:t>
            </w:r>
          </w:p>
        </w:tc>
        <w:tc>
          <w:tcPr>
            <w:tcW w:w="8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560"/>
              <w:spacing w:after="0" w:line="196" w:lineRule="exact"/>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5,051.0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4,667.9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Cost of revenues:</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Software-enabled services</w:t>
            </w:r>
          </w:p>
        </w:tc>
        <w:tc>
          <w:tcPr>
            <w:tcW w:w="8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6"/>
              </w:rPr>
              <w:t>2,326.0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2,257.3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License, maintenance and related</w:t>
            </w:r>
          </w:p>
        </w:tc>
        <w:tc>
          <w:tcPr>
            <w:tcW w:w="8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560"/>
              <w:spacing w:after="0" w:line="196" w:lineRule="exact"/>
              <w:rPr>
                <w:sz w:val="20"/>
                <w:szCs w:val="20"/>
                <w:color w:val="auto"/>
              </w:rPr>
            </w:pPr>
            <w:r>
              <w:rPr>
                <w:rFonts w:ascii="Arial" w:cs="Arial" w:eastAsia="Arial" w:hAnsi="Arial"/>
                <w:sz w:val="18"/>
                <w:szCs w:val="18"/>
                <w:color w:val="auto"/>
              </w:rPr>
              <w:t>Total cost of revenues</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2,641.7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2,574.1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2,409.3</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2,093.8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2,021.2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358.0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56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1,167.0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1,242.3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985.8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6"/>
              </w:rPr>
              <w:t>(205.7 )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(249.9 )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(409.6 )</w:t>
            </w: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8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 in earnings of unconsolidated affiliates, net</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Loss on extinguishment of debt, net</w:t>
            </w:r>
          </w:p>
        </w:tc>
        <w:tc>
          <w:tcPr>
            <w:tcW w:w="8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1,037.0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775.8</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income taxes (Note 17)</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800.6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8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attributable to SS&amp;C common stockholders</w:t>
            </w:r>
          </w:p>
        </w:tc>
        <w:tc>
          <w:tcPr>
            <w:tcW w:w="840" w:type="dxa"/>
            <w:vAlign w:val="bottom"/>
            <w:tcBorders>
              <w:top w:val="single" w:sz="8" w:color="auto"/>
              <w:bottom w:val="single" w:sz="8" w:color="auto"/>
            </w:tcBorders>
            <w:shd w:val="clear" w:color="auto" w:fill="CFF0FC"/>
          </w:tcPr>
          <w:p>
            <w:pPr>
              <w:jc w:val="right"/>
              <w:ind w:right="653"/>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800.0</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625.2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earnings per share attributable to SS&amp;C common stockholders</w:t>
            </w:r>
          </w:p>
        </w:tc>
        <w:tc>
          <w:tcPr>
            <w:tcW w:w="840" w:type="dxa"/>
            <w:vAlign w:val="bottom"/>
            <w:shd w:val="clear" w:color="auto" w:fill="CFF0FC"/>
          </w:tcPr>
          <w:p>
            <w:pPr>
              <w:jc w:val="right"/>
              <w:ind w:right="653"/>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Diluted earnings per share attributable to SS&amp;C common stockholders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0"/>
                <w:szCs w:val="20"/>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ind w:left="20"/>
              <w:spacing w:after="0"/>
              <w:rPr>
                <w:sz w:val="20"/>
                <w:szCs w:val="20"/>
                <w:color w:val="auto"/>
              </w:rPr>
            </w:pPr>
            <w:r>
              <w:rPr>
                <w:rFonts w:ascii="Arial" w:cs="Arial" w:eastAsia="Arial" w:hAnsi="Arial"/>
                <w:sz w:val="18"/>
                <w:szCs w:val="18"/>
                <w:color w:val="auto"/>
              </w:rPr>
              <w:t>Basic weighted-average number of common shares outstanding</w:t>
            </w:r>
          </w:p>
        </w:tc>
        <w:tc>
          <w:tcPr>
            <w:tcW w:w="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Diluted weighted-average number of common and common equivalent shares</w:t>
            </w:r>
          </w:p>
        </w:tc>
        <w:tc>
          <w:tcPr>
            <w:tcW w:w="84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w:t>
            </w:r>
          </w:p>
        </w:tc>
        <w:tc>
          <w:tcPr>
            <w:tcW w:w="840" w:type="dxa"/>
            <w:vAlign w:val="bottom"/>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jc w:val="right"/>
              <w:ind w:right="653"/>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800.6</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comprehensive (loss) income, net of tax:</w:t>
            </w: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 in unrealized income (loss) on interest rate swaps</w:t>
            </w:r>
          </w:p>
        </w:tc>
        <w:tc>
          <w:tcPr>
            <w:tcW w:w="8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Defined benefit pension adjustment</w:t>
            </w:r>
          </w:p>
        </w:tc>
        <w:tc>
          <w:tcPr>
            <w:tcW w:w="8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(3.2 )</w:t>
            </w: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Foreign currency exchange translation adjustment</w:t>
            </w:r>
          </w:p>
        </w:tc>
        <w:tc>
          <w:tcPr>
            <w:tcW w:w="8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(45.1 )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(loss) income, net of tax</w:t>
            </w:r>
          </w:p>
        </w:tc>
        <w:tc>
          <w:tcPr>
            <w:tcW w:w="840" w:type="dxa"/>
            <w:vAlign w:val="bottom"/>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(41.0 )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8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759.6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677.2</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Comprehensive income attributable to noncontrolling interest</w:t>
            </w:r>
          </w:p>
        </w:tc>
        <w:tc>
          <w:tcPr>
            <w:tcW w:w="8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 attributable to SS&amp;C common stockholders</w:t>
            </w:r>
          </w:p>
        </w:tc>
        <w:tc>
          <w:tcPr>
            <w:tcW w:w="840" w:type="dxa"/>
            <w:vAlign w:val="bottom"/>
            <w:tcBorders>
              <w:top w:val="single" w:sz="8" w:color="auto"/>
              <w:bottom w:val="single" w:sz="8" w:color="auto"/>
            </w:tcBorders>
            <w:shd w:val="clear" w:color="auto" w:fill="CFF0FC"/>
          </w:tcPr>
          <w:p>
            <w:pPr>
              <w:jc w:val="right"/>
              <w:ind w:right="653"/>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759.0</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677.2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528.5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-5156835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-5156835</wp:posOffset>
            </wp:positionV>
            <wp:extent cx="514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-5156835</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-4625340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-4625340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-4625340</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-4351020</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-4351020</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-4351020</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-3828415</wp:posOffset>
            </wp:positionV>
            <wp:extent cx="514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-3828415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-3828415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-2245360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-2228215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-2245360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-2228215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-2245360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-2228215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-561975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-561975</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SS&amp;C TECHNOLOGIES HOLDINGS,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Cash flow from operating activities: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800.6</w:t>
            </w:r>
          </w:p>
        </w:tc>
        <w:tc>
          <w:tcPr>
            <w:tcW w:w="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667.4</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Equity in earnings of unconsolidated affiliates, net</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(25.4 )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distributions received from unconsolidated affiliates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Gain on bargain purchase</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Net gains on investments</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(19.0 )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(24.2 )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(35.1 )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and write-offs of loan origination costs and original issue discounts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Loss on extinguishment of debt, net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or disposition of property and equipment</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(88.0 )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(155.4 )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(87.1 )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credit losses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 excluding effects from acquisitions: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(72.2 )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(86.9 )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Contract assets</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(2.5 )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(48.1 )</w:t>
            </w: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(13.1 )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(8.2 )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(43.2 )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Income taxes prepaid and payable</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(40.2 )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(58.7 )</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tcBorders>
              <w:top w:val="single" w:sz="8" w:color="CFF0FC"/>
            </w:tcBorders>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1,429.0</w:t>
            </w:r>
          </w:p>
        </w:tc>
        <w:tc>
          <w:tcPr>
            <w:tcW w:w="6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1,184.7</w:t>
            </w:r>
          </w:p>
        </w:tc>
        <w:tc>
          <w:tcPr>
            <w:tcW w:w="20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1,328.3</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 from investing activities:</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Cash paid for business acquisitions, net of cash acquired</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(116.0 )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(94.1 )</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Additions to property and equipment</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(51.3 )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(34.8 )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(63.0 )</w:t>
            </w: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 of property and equipment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Additions to capitalized software</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(85.3 )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(71.6 )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(67.4 )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Investments in securities</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(60.9 )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sales / maturities of investments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(Contributions to) distributions received from unconsolidated affiliates</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(66.0 )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(0.1 )</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Collection of other non-current receivables</w:t>
            </w:r>
          </w:p>
        </w:tc>
        <w:tc>
          <w:tcPr>
            <w:tcW w:w="8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(148.2 )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(210.5 )</w:t>
            </w: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(140.5 )</w:t>
            </w: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 from financing activities:</w:t>
            </w:r>
          </w:p>
        </w:tc>
        <w:tc>
          <w:tcPr>
            <w:tcW w:w="8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Cash received from debt borrowings, net of original issue discount</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debt</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(889.9 )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(1,024.2 )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(3,364.8 )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Fees paid for debt extinguishment and refinancing activities</w:t>
            </w:r>
          </w:p>
        </w:tc>
        <w:tc>
          <w:tcPr>
            <w:tcW w:w="8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increase (decrease) in client funds obligations</w:t>
            </w:r>
          </w:p>
        </w:tc>
        <w:tc>
          <w:tcPr>
            <w:tcW w:w="8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1,480.5</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(504.9 )</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197.7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taxes paid related to equity award net share settlement</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(10.9 )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(22.8 )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Purchases of common stock for treasury</w:t>
            </w:r>
          </w:p>
        </w:tc>
        <w:tc>
          <w:tcPr>
            <w:tcW w:w="8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(487.9 )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(227.7 )</w:t>
            </w:r>
          </w:p>
        </w:tc>
        <w:tc>
          <w:tcPr>
            <w:tcW w:w="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(60.3 )</w:t>
            </w: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Dividends paid on common stock</w:t>
            </w:r>
          </w:p>
        </w:tc>
        <w:tc>
          <w:tcPr>
            <w:tcW w:w="8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(174.0 )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(136.1 )</w:t>
            </w: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(107.7 )</w:t>
            </w:r>
          </w:p>
        </w:tc>
        <w:tc>
          <w:tcPr>
            <w:tcW w:w="0" w:type="dxa"/>
            <w:vAlign w:val="bottom"/>
          </w:tcPr>
          <w:p>
            <w:pPr>
              <w:spacing w:after="0"/>
              <w:rPr>
                <w:sz w:val="1"/>
                <w:szCs w:val="1"/>
                <w:color w:val="auto"/>
              </w:rPr>
            </w:pPr>
          </w:p>
        </w:tc>
      </w:tr>
      <w:tr>
        <w:trPr>
          <w:trHeight w:val="175"/>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noncontrolling interests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provided by (used in) financing activities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556.7</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(1,428.1</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6740" w:type="dxa"/>
            <w:vAlign w:val="bottom"/>
          </w:tcPr>
          <w:p>
            <w:pPr>
              <w:ind w:left="20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1,833.5</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(451.5</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1,337.9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Cash, cash equivalents and restricted cash and cash equivalents, end of period</w:t>
            </w:r>
          </w:p>
        </w:tc>
        <w:tc>
          <w:tcPr>
            <w:tcW w:w="86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3,171.4</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1,337.9</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1,789.4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and cash equivalents: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564.0</w:t>
            </w:r>
          </w:p>
        </w:tc>
        <w:tc>
          <w:tcPr>
            <w:tcW w:w="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Restricted cash and cash equivalents included in funds receivable and funds held on behalf of clients</w:t>
            </w:r>
          </w:p>
        </w:tc>
        <w:tc>
          <w:tcPr>
            <w:tcW w:w="8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2,603.2</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1,122.7</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1,627.6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3,171.4</w:t>
            </w:r>
          </w:p>
        </w:tc>
        <w:tc>
          <w:tcPr>
            <w:tcW w:w="6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1,337.9</w:t>
            </w:r>
          </w:p>
        </w:tc>
        <w:tc>
          <w:tcPr>
            <w:tcW w:w="2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1,789.4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paid for: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236.2</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40" w:type="dxa"/>
            <w:vAlign w:val="bottom"/>
          </w:tcPr>
          <w:p>
            <w:pPr>
              <w:ind w:left="200"/>
              <w:spacing w:after="0"/>
              <w:rPr>
                <w:sz w:val="20"/>
                <w:szCs w:val="20"/>
                <w:color w:val="auto"/>
              </w:rPr>
            </w:pPr>
            <w:r>
              <w:rPr>
                <w:rFonts w:ascii="Arial" w:cs="Arial" w:eastAsia="Arial" w:hAnsi="Arial"/>
                <w:sz w:val="14"/>
                <w:szCs w:val="14"/>
                <w:color w:val="auto"/>
              </w:rPr>
              <w:t>Income taxes, net of refunds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310.4</w:t>
            </w:r>
          </w:p>
        </w:tc>
        <w:tc>
          <w:tcPr>
            <w:tcW w:w="60" w:type="dxa"/>
            <w:vAlign w:val="bottom"/>
          </w:tcPr>
          <w:p>
            <w:pPr>
              <w:spacing w:after="0"/>
              <w:rPr>
                <w:sz w:val="15"/>
                <w:szCs w:val="15"/>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227.4</w:t>
            </w:r>
          </w:p>
        </w:tc>
        <w:tc>
          <w:tcPr>
            <w:tcW w:w="2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acquired through tenant improvement allowances</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-4359910</wp:posOffset>
            </wp:positionV>
            <wp:extent cx="431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-4359910</wp:posOffset>
            </wp:positionV>
            <wp:extent cx="431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-4359910</wp:posOffset>
            </wp:positionV>
            <wp:extent cx="431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-3228340</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-3228340</wp:posOffset>
            </wp:positionV>
            <wp:extent cx="431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-3228340</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-1864995</wp:posOffset>
            </wp:positionV>
            <wp:extent cx="431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-1864995</wp:posOffset>
            </wp:positionV>
            <wp:extent cx="431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-1864995</wp:posOffset>
            </wp:positionV>
            <wp:extent cx="431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-1396365</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-1379220</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-1396365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-1379220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-1396365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-1379220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-810895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-810895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-810895</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8" w:name="page59"/>
    <w:bookmarkEnd w:id="58"/>
    <w:p>
      <w:pPr>
        <w:jc w:val="center"/>
        <w:ind w:left="340" w:right="2340"/>
        <w:spacing w:after="0" w:line="245" w:lineRule="auto"/>
        <w:rPr>
          <w:sz w:val="20"/>
          <w:szCs w:val="20"/>
          <w:color w:val="auto"/>
        </w:rPr>
      </w:pPr>
      <w:r>
        <w:rPr>
          <w:rFonts w:ascii="Arial" w:cs="Arial" w:eastAsia="Arial" w:hAnsi="Arial"/>
          <w:sz w:val="18"/>
          <w:szCs w:val="18"/>
          <w:b w:val="1"/>
          <w:bCs w:val="1"/>
          <w:color w:val="auto"/>
        </w:rPr>
        <w:t>SS&amp;C TECHNOLOGIES HOLDINGS, INC. AND SUBSIDIARIES CONSOLIDATED STATEMENTS OF CHANGES IN STOCKHOLDERS’ EQUITY FOR THE YEARS ENDED DECEMBER 31, 2021, 2020 AND 2019 (in millions,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3"/>
                <w:szCs w:val="13"/>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57"/>
              <w:spacing w:after="0" w:line="143" w:lineRule="exact"/>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17"/>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3"/>
              </w:rPr>
              <w:t>Number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217"/>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2"/>
                <w:szCs w:val="12"/>
                <w:color w:val="auto"/>
              </w:rPr>
            </w:pPr>
          </w:p>
        </w:tc>
        <w:tc>
          <w:tcPr>
            <w:tcW w:w="76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87"/>
              </w:rPr>
              <w:t>Treasury</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4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6"/>
              </w:rPr>
              <w:t>(Loss) Income</w:t>
            </w:r>
          </w:p>
        </w:tc>
        <w:tc>
          <w:tcPr>
            <w:tcW w:w="80" w:type="dxa"/>
            <w:vAlign w:val="bottom"/>
          </w:tcPr>
          <w:p>
            <w:pPr>
              <w:spacing w:after="0"/>
              <w:rPr>
                <w:sz w:val="14"/>
                <w:szCs w:val="14"/>
                <w:color w:val="auto"/>
              </w:rPr>
            </w:pPr>
          </w:p>
        </w:tc>
        <w:tc>
          <w:tcPr>
            <w:tcW w:w="76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2018</w:t>
            </w: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252.4</w:t>
            </w:r>
          </w:p>
        </w:tc>
        <w:tc>
          <w:tcPr>
            <w:tcW w:w="180" w:type="dxa"/>
            <w:vAlign w:val="bottom"/>
          </w:tcPr>
          <w:p>
            <w:pPr>
              <w:spacing w:after="0"/>
              <w:rPr>
                <w:sz w:val="12"/>
                <w:szCs w:val="12"/>
                <w:color w:val="auto"/>
              </w:rPr>
            </w:pPr>
          </w:p>
        </w:tc>
        <w:tc>
          <w:tcPr>
            <w:tcW w:w="1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2.5</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4,091.4</w:t>
            </w:r>
          </w:p>
        </w:tc>
        <w:tc>
          <w:tcPr>
            <w:tcW w:w="180" w:type="dxa"/>
            <w:vAlign w:val="bottom"/>
          </w:tcPr>
          <w:p>
            <w:pPr>
              <w:spacing w:after="0"/>
              <w:rPr>
                <w:sz w:val="12"/>
                <w:szCs w:val="12"/>
                <w:color w:val="auto"/>
              </w:rPr>
            </w:pPr>
          </w:p>
        </w:tc>
        <w:tc>
          <w:tcPr>
            <w:tcW w:w="180" w:type="dxa"/>
            <w:vAlign w:val="bottom"/>
            <w:tcBorders>
              <w:top w:val="single" w:sz="8" w:color="auto"/>
            </w:tcBorders>
          </w:tcPr>
          <w:p>
            <w:pPr>
              <w:jc w:val="right"/>
              <w:ind w:right="37"/>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847.1</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(343.0</w:t>
            </w:r>
          </w:p>
        </w:tc>
        <w:tc>
          <w:tcPr>
            <w:tcW w:w="180" w:type="dxa"/>
            <w:vAlign w:val="bottom"/>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(18.0</w:t>
            </w:r>
          </w:p>
        </w:tc>
        <w:tc>
          <w:tcPr>
            <w:tcW w:w="180" w:type="dxa"/>
            <w:vAlign w:val="bottom"/>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4,580.0</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438.5</w:t>
            </w: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Foreign exchange translation adjustment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92.8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(2.8 )</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Stock-based compensation expense</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72.4</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(Note 14)</w:t>
            </w: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shd w:val="clear" w:color="auto" w:fill="CFF0FC"/>
          </w:tcPr>
          <w:p>
            <w:pPr>
              <w:ind w:left="120"/>
              <w:spacing w:after="0" w:line="109" w:lineRule="exact"/>
              <w:rPr>
                <w:sz w:val="20"/>
                <w:szCs w:val="20"/>
                <w:color w:val="auto"/>
              </w:rPr>
            </w:pPr>
            <w:r>
              <w:rPr>
                <w:rFonts w:ascii="Arial" w:cs="Arial" w:eastAsia="Arial" w:hAnsi="Arial"/>
                <w:sz w:val="12"/>
                <w:szCs w:val="12"/>
                <w:color w:val="auto"/>
              </w:rPr>
              <w:t>Exercise of options, net of withholding</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102.8</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102.9</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taxes (Note 14)</w:t>
            </w: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Dividends declared - $0.425 per share</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(107.7 )</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(107.4 )</w:t>
            </w: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of common stock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(60.3 )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(60.3 )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2019</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257.6</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2.6</w:t>
            </w:r>
          </w:p>
        </w:tc>
        <w:tc>
          <w:tcPr>
            <w:tcW w:w="20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4,266.9</w:t>
            </w:r>
          </w:p>
        </w:tc>
        <w:tc>
          <w:tcPr>
            <w:tcW w:w="180" w:type="dxa"/>
            <w:vAlign w:val="bottom"/>
          </w:tcPr>
          <w:p>
            <w:pPr>
              <w:spacing w:after="0"/>
              <w:rPr>
                <w:sz w:val="12"/>
                <w:szCs w:val="12"/>
                <w:color w:val="auto"/>
              </w:rPr>
            </w:pPr>
          </w:p>
        </w:tc>
        <w:tc>
          <w:tcPr>
            <w:tcW w:w="180" w:type="dxa"/>
            <w:vAlign w:val="bottom"/>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1,177.9</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(253.0 )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(78.3 )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5,116.1</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625.2</w:t>
            </w: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Foreign exchange translation adjustment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57.9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(2.7 )</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w w:val="99"/>
              </w:rPr>
              <w:t>Defined benefit pension adjustment (Note 11)</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57"/>
              <w:spacing w:after="0"/>
              <w:rPr>
                <w:sz w:val="20"/>
                <w:szCs w:val="20"/>
                <w:color w:val="auto"/>
              </w:rPr>
            </w:pPr>
            <w:r>
              <w:rPr>
                <w:rFonts w:ascii="Arial" w:cs="Arial" w:eastAsia="Arial" w:hAnsi="Arial"/>
                <w:sz w:val="13"/>
                <w:szCs w:val="13"/>
                <w:color w:val="auto"/>
              </w:rPr>
              <w:t>(3.2 )</w:t>
            </w:r>
          </w:p>
        </w:tc>
        <w:tc>
          <w:tcPr>
            <w:tcW w:w="8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ind w:left="120"/>
              <w:spacing w:after="0" w:line="108" w:lineRule="exact"/>
              <w:rPr>
                <w:sz w:val="20"/>
                <w:szCs w:val="20"/>
                <w:color w:val="auto"/>
              </w:rPr>
            </w:pPr>
            <w:r>
              <w:rPr>
                <w:rFonts w:ascii="Arial" w:cs="Arial" w:eastAsia="Arial" w:hAnsi="Arial"/>
                <w:sz w:val="12"/>
                <w:szCs w:val="12"/>
                <w:color w:val="auto"/>
              </w:rPr>
              <w:t>Stock-based compensation expense</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87.8</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14)</w:t>
            </w: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Exercise of options, net of withholding</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178.8</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178.8</w:t>
            </w: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taxes (Note 14)</w:t>
            </w: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shd w:val="clear" w:color="auto" w:fill="CFF0FC"/>
          </w:tcPr>
          <w:p>
            <w:pPr>
              <w:ind w:left="120"/>
              <w:spacing w:after="0" w:line="109" w:lineRule="exact"/>
              <w:rPr>
                <w:sz w:val="20"/>
                <w:szCs w:val="20"/>
                <w:color w:val="auto"/>
              </w:rPr>
            </w:pPr>
            <w:r>
              <w:rPr>
                <w:rFonts w:ascii="Arial" w:cs="Arial" w:eastAsia="Arial" w:hAnsi="Arial"/>
                <w:sz w:val="12"/>
                <w:szCs w:val="12"/>
                <w:color w:val="auto"/>
              </w:rPr>
              <w:t>Non-cash purchase price consideration</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8)</w:t>
            </w: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Dividends declared - $0.53 per share</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(136.1 )</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(135.8 )</w:t>
            </w: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of common stock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(227.7 )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(227.7 )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Pr>
          <w:p>
            <w:pPr>
              <w:ind w:left="20"/>
              <w:spacing w:after="0" w:line="142" w:lineRule="exact"/>
              <w:rPr>
                <w:sz w:val="20"/>
                <w:szCs w:val="20"/>
                <w:color w:val="auto"/>
              </w:rPr>
            </w:pPr>
            <w:r>
              <w:rPr>
                <w:rFonts w:ascii="Arial" w:cs="Arial" w:eastAsia="Arial" w:hAnsi="Arial"/>
                <w:sz w:val="13"/>
                <w:szCs w:val="13"/>
                <w:color w:val="auto"/>
              </w:rPr>
              <w:t>Balance, at December 31, 2020</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263.9</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2.6</w:t>
            </w:r>
          </w:p>
        </w:tc>
        <w:tc>
          <w:tcPr>
            <w:tcW w:w="20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4,544.0</w:t>
            </w:r>
          </w:p>
        </w:tc>
        <w:tc>
          <w:tcPr>
            <w:tcW w:w="180" w:type="dxa"/>
            <w:vAlign w:val="bottom"/>
          </w:tcPr>
          <w:p>
            <w:pPr>
              <w:spacing w:after="0"/>
              <w:rPr>
                <w:sz w:val="12"/>
                <w:szCs w:val="12"/>
                <w:color w:val="auto"/>
              </w:rPr>
            </w:pPr>
          </w:p>
        </w:tc>
        <w:tc>
          <w:tcPr>
            <w:tcW w:w="180" w:type="dxa"/>
            <w:vAlign w:val="bottom"/>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1,667.0</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(201.0 )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(296.1 )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5,716.5</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Noncontrolling interest upon consolidation</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104.0</w:t>
            </w:r>
          </w:p>
        </w:tc>
        <w:tc>
          <w:tcPr>
            <w:tcW w:w="0" w:type="dxa"/>
            <w:vAlign w:val="bottom"/>
          </w:tcPr>
          <w:p>
            <w:pPr>
              <w:spacing w:after="0"/>
              <w:rPr>
                <w:sz w:val="1"/>
                <w:szCs w:val="1"/>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800.6</w:t>
            </w: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ind w:left="120"/>
              <w:spacing w:after="0" w:line="108" w:lineRule="exact"/>
              <w:rPr>
                <w:sz w:val="20"/>
                <w:szCs w:val="20"/>
                <w:color w:val="auto"/>
              </w:rPr>
            </w:pPr>
            <w:r>
              <w:rPr>
                <w:rFonts w:ascii="Arial" w:cs="Arial" w:eastAsia="Arial" w:hAnsi="Arial"/>
                <w:sz w:val="12"/>
                <w:szCs w:val="12"/>
                <w:color w:val="auto"/>
              </w:rPr>
              <w:t>Foreign exchange translation adjustment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(45.1 )</w:t>
            </w: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(45.1 )</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9"/>
              </w:rPr>
              <w:t>Defined benefit pension adjustment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Stock-based compensation expense</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114.0</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161"/>
        </w:trPr>
        <w:tc>
          <w:tcPr>
            <w:tcW w:w="2740" w:type="dxa"/>
            <w:vAlign w:val="bottom"/>
          </w:tcPr>
          <w:p>
            <w:pPr>
              <w:ind w:left="200"/>
              <w:spacing w:after="0"/>
              <w:rPr>
                <w:sz w:val="20"/>
                <w:szCs w:val="20"/>
                <w:color w:val="auto"/>
              </w:rPr>
            </w:pPr>
            <w:r>
              <w:rPr>
                <w:rFonts w:ascii="Arial" w:cs="Arial" w:eastAsia="Arial" w:hAnsi="Arial"/>
                <w:sz w:val="13"/>
                <w:szCs w:val="13"/>
                <w:color w:val="auto"/>
              </w:rPr>
              <w:t>(Note 14)</w:t>
            </w: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shd w:val="clear" w:color="auto" w:fill="CFF0FC"/>
          </w:tcPr>
          <w:p>
            <w:pPr>
              <w:ind w:left="120"/>
              <w:spacing w:after="0" w:line="109" w:lineRule="exact"/>
              <w:rPr>
                <w:sz w:val="20"/>
                <w:szCs w:val="20"/>
                <w:color w:val="auto"/>
              </w:rPr>
            </w:pPr>
            <w:r>
              <w:rPr>
                <w:rFonts w:ascii="Arial" w:cs="Arial" w:eastAsia="Arial" w:hAnsi="Arial"/>
                <w:sz w:val="12"/>
                <w:szCs w:val="12"/>
                <w:color w:val="auto"/>
              </w:rPr>
              <w:t>Exercise of options, net of withholding</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190.6</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14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190.7</w:t>
            </w: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taxes (Note 14)</w:t>
            </w: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40" w:type="dxa"/>
            <w:vAlign w:val="bottom"/>
          </w:tcPr>
          <w:p>
            <w:pPr>
              <w:ind w:left="120"/>
              <w:spacing w:after="0" w:line="108" w:lineRule="exact"/>
              <w:rPr>
                <w:sz w:val="20"/>
                <w:szCs w:val="20"/>
                <w:color w:val="auto"/>
              </w:rPr>
            </w:pPr>
            <w:r>
              <w:rPr>
                <w:rFonts w:ascii="Arial" w:cs="Arial" w:eastAsia="Arial" w:hAnsi="Arial"/>
                <w:sz w:val="12"/>
                <w:szCs w:val="12"/>
                <w:color w:val="auto"/>
              </w:rPr>
              <w:t>Dividends declared - $0.68 per share</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(174.0 )</w:t>
            </w:r>
          </w:p>
        </w:tc>
        <w:tc>
          <w:tcPr>
            <w:tcW w:w="100" w:type="dxa"/>
            <w:vAlign w:val="bottom"/>
          </w:tcPr>
          <w:p>
            <w:pPr>
              <w:spacing w:after="0"/>
              <w:rPr>
                <w:sz w:val="9"/>
                <w:szCs w:val="9"/>
                <w:color w:val="auto"/>
              </w:rPr>
            </w:pPr>
          </w:p>
        </w:tc>
        <w:tc>
          <w:tcPr>
            <w:tcW w:w="114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(173.7 )</w:t>
            </w:r>
          </w:p>
        </w:tc>
        <w:tc>
          <w:tcPr>
            <w:tcW w:w="0" w:type="dxa"/>
            <w:vAlign w:val="bottom"/>
          </w:tcPr>
          <w:p>
            <w:pPr>
              <w:spacing w:after="0"/>
              <w:rPr>
                <w:sz w:val="1"/>
                <w:szCs w:val="1"/>
                <w:color w:val="auto"/>
              </w:rPr>
            </w:pPr>
          </w:p>
        </w:tc>
      </w:tr>
      <w:tr>
        <w:trPr>
          <w:trHeight w:val="160"/>
        </w:trPr>
        <w:tc>
          <w:tcPr>
            <w:tcW w:w="2740" w:type="dxa"/>
            <w:vAlign w:val="bottom"/>
          </w:tcPr>
          <w:p>
            <w:pPr>
              <w:ind w:left="200"/>
              <w:spacing w:after="0"/>
              <w:rPr>
                <w:sz w:val="20"/>
                <w:szCs w:val="20"/>
                <w:color w:val="auto"/>
              </w:rPr>
            </w:pPr>
            <w:r>
              <w:rPr>
                <w:rFonts w:ascii="Arial" w:cs="Arial" w:eastAsia="Arial" w:hAnsi="Arial"/>
                <w:sz w:val="13"/>
                <w:szCs w:val="13"/>
                <w:color w:val="auto"/>
              </w:rPr>
              <w:t>(Note 11)</w:t>
            </w: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of common stock (Note 11)</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(487.9 )</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(487.9 )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4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720" w:type="dxa"/>
            <w:vAlign w:val="bottom"/>
          </w:tcPr>
          <w:p>
            <w:pPr>
              <w:jc w:val="right"/>
              <w:spacing w:after="0"/>
              <w:rPr>
                <w:sz w:val="20"/>
                <w:szCs w:val="20"/>
                <w:color w:val="auto"/>
              </w:rPr>
            </w:pPr>
            <w:r>
              <w:rPr>
                <w:rFonts w:ascii="Arial" w:cs="Arial" w:eastAsia="Arial" w:hAnsi="Arial"/>
                <w:sz w:val="13"/>
                <w:szCs w:val="13"/>
                <w:color w:val="auto"/>
              </w:rPr>
              <w:t>269.1</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4,895.7</w:t>
            </w:r>
          </w:p>
        </w:tc>
        <w:tc>
          <w:tcPr>
            <w:tcW w:w="18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2,293.0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57"/>
              <w:spacing w:after="0"/>
              <w:rPr>
                <w:sz w:val="20"/>
                <w:szCs w:val="20"/>
                <w:color w:val="auto"/>
              </w:rPr>
            </w:pPr>
            <w:r>
              <w:rPr>
                <w:rFonts w:ascii="Arial" w:cs="Arial" w:eastAsia="Arial" w:hAnsi="Arial"/>
                <w:sz w:val="13"/>
                <w:szCs w:val="13"/>
                <w:color w:val="auto"/>
              </w:rPr>
              <w:t>(242.0 )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(784.0 )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57.8</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6,223.2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-2722245</wp:posOffset>
            </wp:positionV>
            <wp:extent cx="342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-2722245</wp:posOffset>
            </wp:positionV>
            <wp:extent cx="342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-2722245</wp:posOffset>
            </wp:positionV>
            <wp:extent cx="342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-2722245</wp:posOffset>
            </wp:positionV>
            <wp:extent cx="431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-2722245</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-2722245</wp:posOffset>
            </wp:positionV>
            <wp:extent cx="342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-2722245</wp:posOffset>
            </wp:positionV>
            <wp:extent cx="254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-2722245</wp:posOffset>
            </wp:positionV>
            <wp:extent cx="342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-1384935</wp:posOffset>
            </wp:positionV>
            <wp:extent cx="34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-1384935</wp:posOffset>
            </wp:positionV>
            <wp:extent cx="34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-1384935</wp:posOffset>
            </wp:positionV>
            <wp:extent cx="3429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-1384935</wp:posOffset>
            </wp:positionV>
            <wp:extent cx="431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-1384935</wp:posOffset>
            </wp:positionV>
            <wp:extent cx="342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-1384935</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-1384935</wp:posOffset>
            </wp:positionV>
            <wp:extent cx="254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-1384935</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-125095</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-125095</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-125095</wp:posOffset>
            </wp:positionV>
            <wp:extent cx="342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-125095</wp:posOffset>
            </wp:positionV>
            <wp:extent cx="431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-125095</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-125095</wp:posOffset>
            </wp:positionV>
            <wp:extent cx="342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-125095</wp:posOffset>
            </wp:positionV>
            <wp:extent cx="254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ind w:right="620" w:firstLine="509"/>
        <w:spacing w:after="0" w:line="248" w:lineRule="auto"/>
        <w:rPr>
          <w:sz w:val="20"/>
          <w:szCs w:val="20"/>
          <w:color w:val="auto"/>
        </w:rPr>
      </w:pPr>
      <w:r>
        <w:rPr>
          <w:rFonts w:ascii="Arial" w:cs="Arial" w:eastAsia="Arial" w:hAnsi="Arial"/>
          <w:sz w:val="18"/>
          <w:szCs w:val="18"/>
          <w:i w:val="1"/>
          <w:iCs w:val="1"/>
          <w:color w:val="auto"/>
        </w:rPr>
        <w:t>SS&amp;C Technologies Holdings, Inc., or “Holdings,” is our top-level holding company. SS&amp;C Technologies, Inc., or “SS&amp;C,” is our primary operating company and a wholly-owned subsidiary of SS&amp;C Technologies Holdings, Inc. ”We,” “us,” “our,” and the “Company” means SS&amp;C Technologies Holdings, Inc. and its consolidated subsidiaries, including SS&amp;C.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0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provide software products and software-enabled services to the financial services and healthcare industries, primarily in North America. We also have operations in Europe, Asia, Australia, South America and Africa.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Our products and software-enabled services in the healthcare industry support claims adjudication, benefit management, care management and business intelligence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preparation of the Consolidated Financial Statements in conformity with generally accepted accounting principles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Estimates are used for, but not limited to, collectability of accounts receivable, valuation of non-marketable securities, costs to complete certain contracts, valuation of acquired assets and liabilities, valuation of stock options, income tax accruals and the value of deferred tax assets and liabilities. Estimates are also used to determine the remaining economic lives and carrying value of fixed assets, goodwill and intangible assets. Actual results could differ from those estimates. The inputs into our estimates also considered the economic implications of COVID-19 on our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The Consolidated Financial Statements include the accounts of us and our subsidiaries. All significant accounts, transactions and profits between the consolidated companies have been eliminated in consolidation. We consolidate any entity in which we have a controlling financial interest. Under the voting interest model, generally the investor that has voting control (usually more than 50% of an entity’s voting interests) consolidates the entity. Under the variable interest entity (“VIE”) model, the party that has the power to direct the entity’s most significant economic activities and the ability to participate in the entity’s economics consolidates the entity. An entity is considered a VIE if it possesses any one or more of the following characteristics:</w:t>
      </w:r>
    </w:p>
    <w:p>
      <w:pPr>
        <w:spacing w:after="0" w:line="1" w:lineRule="exact"/>
        <w:rPr>
          <w:sz w:val="20"/>
          <w:szCs w:val="20"/>
          <w:color w:val="auto"/>
        </w:rPr>
      </w:pPr>
    </w:p>
    <w:p>
      <w:pPr>
        <w:ind w:right="60" w:firstLine="8"/>
        <w:spacing w:after="0" w:line="271" w:lineRule="auto"/>
        <w:tabs>
          <w:tab w:leader="none" w:pos="1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entity is thinly capitalized; 2) residual equity holders do not control the entity; 3) equity holders are shielded from economic losses; 4) equity holders do not participate fully in an entity’s residual economics; and 5) the entity was established with non-substantive voting interests.</w:t>
      </w:r>
    </w:p>
    <w:p>
      <w:pPr>
        <w:spacing w:after="0" w:line="164" w:lineRule="exact"/>
        <w:rPr>
          <w:sz w:val="20"/>
          <w:szCs w:val="20"/>
          <w:color w:val="auto"/>
        </w:rPr>
      </w:pPr>
    </w:p>
    <w:p>
      <w:pPr>
        <w:ind w:right="160" w:firstLine="584"/>
        <w:spacing w:after="0" w:line="248" w:lineRule="auto"/>
        <w:rPr>
          <w:sz w:val="20"/>
          <w:szCs w:val="20"/>
          <w:color w:val="auto"/>
        </w:rPr>
      </w:pPr>
      <w:r>
        <w:rPr>
          <w:rFonts w:ascii="Arial" w:cs="Arial" w:eastAsia="Arial" w:hAnsi="Arial"/>
          <w:sz w:val="18"/>
          <w:szCs w:val="18"/>
          <w:color w:val="auto"/>
        </w:rPr>
        <w:t>We are the primary beneficiary of one of our VIE's and as such have consolidated its results as discussed in Note 12 below. Our investments in private equity funds meet the definition of a VIE; however, the private equity fund investments are not consolidated as we do not have the power to direct the entities’ most significant economic activities.</w:t>
      </w:r>
    </w:p>
    <w:p>
      <w:pPr>
        <w:spacing w:after="0" w:line="182" w:lineRule="exact"/>
        <w:rPr>
          <w:sz w:val="20"/>
          <w:szCs w:val="20"/>
          <w:color w:val="auto"/>
        </w:rPr>
      </w:pPr>
    </w:p>
    <w:p>
      <w:pPr>
        <w:ind w:right="60" w:firstLine="584"/>
        <w:spacing w:after="0" w:line="243" w:lineRule="auto"/>
        <w:rPr>
          <w:sz w:val="20"/>
          <w:szCs w:val="20"/>
          <w:color w:val="auto"/>
        </w:rPr>
      </w:pPr>
      <w:r>
        <w:rPr>
          <w:rFonts w:ascii="Arial" w:cs="Arial" w:eastAsia="Arial" w:hAnsi="Arial"/>
          <w:sz w:val="18"/>
          <w:szCs w:val="18"/>
          <w:color w:val="auto"/>
        </w:rPr>
        <w:t>We are the lessee in a series of operating leases covering a large portion of our Kansas City, Missouri-based leased office facilities. The lessors are generally joint ventures (in which we have 50% ownership) that have been established specifically to purchase, finance and engage in leasing activities with the joint venture partners and unrelated third parties. Our analysis of our real estate joint ventures for all periods presented indicate that none qualified as a VIE and, accordingly, they have not been consolidated.</w:t>
      </w:r>
    </w:p>
    <w:p>
      <w:pPr>
        <w:spacing w:after="0" w:line="188" w:lineRule="exact"/>
        <w:rPr>
          <w:sz w:val="20"/>
          <w:szCs w:val="20"/>
          <w:color w:val="auto"/>
        </w:rPr>
      </w:pPr>
    </w:p>
    <w:p>
      <w:pPr>
        <w:jc w:val="both"/>
        <w:ind w:right="300" w:firstLine="578"/>
        <w:spacing w:after="0" w:line="248" w:lineRule="auto"/>
        <w:rPr>
          <w:sz w:val="20"/>
          <w:szCs w:val="20"/>
          <w:color w:val="auto"/>
        </w:rPr>
      </w:pPr>
      <w:r>
        <w:rPr>
          <w:rFonts w:ascii="Arial" w:cs="Arial" w:eastAsia="Arial" w:hAnsi="Arial"/>
          <w:sz w:val="18"/>
          <w:szCs w:val="18"/>
          <w:color w:val="auto"/>
        </w:rPr>
        <w:t>Unconsolidated investments in entities over which we do not have control but have the ability to exercise influence over operating and financial policies, if any, are accounted for under the equity method of accounting. Earnings and losses from such investments are recorded on a pre-tax basis, if 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560" w:firstLine="562"/>
        <w:spacing w:after="0" w:line="291" w:lineRule="auto"/>
        <w:rPr>
          <w:sz w:val="20"/>
          <w:szCs w:val="20"/>
          <w:color w:val="auto"/>
        </w:rPr>
      </w:pPr>
      <w:r>
        <w:rPr>
          <w:rFonts w:ascii="Arial" w:cs="Arial" w:eastAsia="Arial" w:hAnsi="Arial"/>
          <w:sz w:val="17"/>
          <w:szCs w:val="17"/>
          <w:color w:val="auto"/>
        </w:rPr>
        <w:t xml:space="preserve">We account for the recognition of our revenue in accordance with the relevant accounting literature, primarily Accounting Standards Update (“ASU”) 2014-09,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Our sources of revenue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Software-enabled Services Revenue</w:t>
      </w:r>
    </w:p>
    <w:p>
      <w:pPr>
        <w:spacing w:after="0" w:line="104" w:lineRule="exact"/>
        <w:rPr>
          <w:sz w:val="20"/>
          <w:szCs w:val="20"/>
          <w:color w:val="auto"/>
        </w:rPr>
      </w:pPr>
    </w:p>
    <w:p>
      <w:pPr>
        <w:ind w:firstLine="569"/>
        <w:spacing w:after="0" w:line="261" w:lineRule="auto"/>
        <w:rPr>
          <w:sz w:val="20"/>
          <w:szCs w:val="20"/>
          <w:color w:val="auto"/>
        </w:rPr>
      </w:pPr>
      <w:r>
        <w:rPr>
          <w:rFonts w:ascii="Arial" w:cs="Arial" w:eastAsia="Arial" w:hAnsi="Arial"/>
          <w:sz w:val="18"/>
          <w:szCs w:val="18"/>
          <w:color w:val="auto"/>
        </w:rPr>
        <w:t>We primarily offer software-enabled outsourcing services in which we utilize our own software to offer comprehensive fund administration services for alternative investment managers, including fund manager services, transfer agency services, funds-of-funds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ind w:right="20"/>
        <w:spacing w:after="0" w:line="274" w:lineRule="auto"/>
        <w:rPr>
          <w:sz w:val="20"/>
          <w:szCs w:val="20"/>
          <w:color w:val="auto"/>
        </w:rPr>
      </w:pPr>
      <w:r>
        <w:rPr>
          <w:rFonts w:ascii="Arial" w:cs="Arial" w:eastAsia="Arial" w:hAnsi="Arial"/>
          <w:sz w:val="16"/>
          <w:szCs w:val="16"/>
          <w:color w:val="auto"/>
        </w:rPr>
        <w:t>services, tax processing and accounting. We also use our own software applications to provide healthcare organizations a variety of medical and pharmacy benefit solutions to satisfy their information processing, quality of care, cost management concerns and payment integrity programs. Our healthcare solutions include claims adjudication, benefit management, care management, business intelligence and other ancillary services. We also offer subscription-based on-demand software applications that are managed and hosted at our facilities. The software-enabled services arrangements provide an alternative for clients who do not wish to install, run and maintain complicated financial software. Under these arrangements, the client does not have the right to take possession of the software, rather, we agree to provide access to our applications, remote use of our equipment to process transactions, access to client’s data stored on our equipment and connectivity between our environment and the client’s computing systems.</w:t>
      </w:r>
    </w:p>
    <w:p>
      <w:pPr>
        <w:spacing w:after="0" w:line="163" w:lineRule="exact"/>
        <w:rPr>
          <w:sz w:val="20"/>
          <w:szCs w:val="20"/>
          <w:color w:val="auto"/>
        </w:rPr>
      </w:pPr>
    </w:p>
    <w:p>
      <w:pPr>
        <w:ind w:right="60" w:firstLine="569"/>
        <w:spacing w:after="0" w:line="261" w:lineRule="auto"/>
        <w:rPr>
          <w:sz w:val="20"/>
          <w:szCs w:val="20"/>
          <w:color w:val="auto"/>
        </w:rPr>
      </w:pPr>
      <w:r>
        <w:rPr>
          <w:rFonts w:ascii="Arial" w:cs="Arial" w:eastAsia="Arial" w:hAnsi="Arial"/>
          <w:sz w:val="18"/>
          <w:szCs w:val="18"/>
          <w:color w:val="auto"/>
        </w:rPr>
        <w:t>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71" w:lineRule="exact"/>
        <w:rPr>
          <w:sz w:val="20"/>
          <w:szCs w:val="20"/>
          <w:color w:val="auto"/>
        </w:rPr>
      </w:pPr>
    </w:p>
    <w:p>
      <w:pPr>
        <w:ind w:right="60" w:firstLine="569"/>
        <w:spacing w:after="0" w:line="253" w:lineRule="auto"/>
        <w:rPr>
          <w:sz w:val="20"/>
          <w:szCs w:val="20"/>
          <w:color w:val="auto"/>
        </w:rPr>
      </w:pPr>
      <w:r>
        <w:rPr>
          <w:rFonts w:ascii="Arial" w:cs="Arial" w:eastAsia="Arial" w:hAnsi="Arial"/>
          <w:sz w:val="17"/>
          <w:szCs w:val="17"/>
          <w:color w:val="auto"/>
        </w:rPr>
        <w:t>In software-enabled services arrangements,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Accounting Standards Codification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84" w:lineRule="exact"/>
        <w:rPr>
          <w:sz w:val="20"/>
          <w:szCs w:val="20"/>
          <w:color w:val="auto"/>
        </w:rPr>
      </w:pPr>
    </w:p>
    <w:p>
      <w:pPr>
        <w:jc w:val="both"/>
        <w:ind w:right="60" w:firstLine="562"/>
        <w:spacing w:after="0" w:line="248" w:lineRule="auto"/>
        <w:rPr>
          <w:sz w:val="20"/>
          <w:szCs w:val="20"/>
          <w:color w:val="auto"/>
        </w:rPr>
      </w:pPr>
      <w:r>
        <w:rPr>
          <w:rFonts w:ascii="Arial" w:cs="Arial" w:eastAsia="Arial" w:hAnsi="Arial"/>
          <w:sz w:val="18"/>
          <w:szCs w:val="18"/>
          <w:color w:val="auto"/>
        </w:rPr>
        <w:t>For our software-enabled services contracts, which are cancelable with 90 days’ notice or meet the allocation objective for a series of performance obligations under ASC 606, we have not disclosed the transaction price for the remaining performance obligations as of the end of each reporting period or when we expect to recognize this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Maintenance and Related Revenue Agreements</w:t>
      </w:r>
    </w:p>
    <w:p>
      <w:pPr>
        <w:spacing w:after="0" w:line="104" w:lineRule="exact"/>
        <w:rPr>
          <w:sz w:val="20"/>
          <w:szCs w:val="20"/>
          <w:color w:val="auto"/>
        </w:rPr>
      </w:pPr>
    </w:p>
    <w:p>
      <w:pPr>
        <w:ind w:right="160" w:firstLine="569"/>
        <w:spacing w:after="0" w:line="262" w:lineRule="auto"/>
        <w:rPr>
          <w:sz w:val="20"/>
          <w:szCs w:val="20"/>
          <w:color w:val="auto"/>
        </w:rPr>
      </w:pPr>
      <w:r>
        <w:rPr>
          <w:rFonts w:ascii="Arial" w:cs="Arial" w:eastAsia="Arial" w:hAnsi="Arial"/>
          <w:sz w:val="17"/>
          <w:szCs w:val="17"/>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72" w:lineRule="exact"/>
        <w:rPr>
          <w:sz w:val="20"/>
          <w:szCs w:val="20"/>
          <w:color w:val="auto"/>
        </w:rPr>
      </w:pPr>
    </w:p>
    <w:p>
      <w:pPr>
        <w:ind w:firstLine="569"/>
        <w:spacing w:after="0" w:line="324" w:lineRule="auto"/>
        <w:rPr>
          <w:sz w:val="20"/>
          <w:szCs w:val="20"/>
          <w:color w:val="auto"/>
        </w:rPr>
      </w:pPr>
      <w:r>
        <w:rPr>
          <w:rFonts w:ascii="Arial" w:cs="Arial" w:eastAsia="Arial" w:hAnsi="Arial"/>
          <w:sz w:val="16"/>
          <w:szCs w:val="16"/>
          <w:color w:val="auto"/>
        </w:rPr>
        <w:t>Under ASC 606, we identify a contract with a customer, we identify the performance obligations in the contract, we determine the transaction price, we allocate the transaction price to each performance obligation in the contract and recognize revenues when (or as) we satisfy a performance obligation.</w:t>
      </w:r>
    </w:p>
    <w:p>
      <w:pPr>
        <w:spacing w:after="0" w:line="124" w:lineRule="exact"/>
        <w:rPr>
          <w:sz w:val="20"/>
          <w:szCs w:val="20"/>
          <w:color w:val="auto"/>
        </w:rPr>
      </w:pPr>
    </w:p>
    <w:p>
      <w:pPr>
        <w:ind w:right="20" w:firstLine="569"/>
        <w:spacing w:after="0" w:line="243" w:lineRule="auto"/>
        <w:rPr>
          <w:sz w:val="20"/>
          <w:szCs w:val="20"/>
          <w:color w:val="auto"/>
        </w:rPr>
      </w:pPr>
      <w:r>
        <w:rPr>
          <w:rFonts w:ascii="Arial" w:cs="Arial" w:eastAsia="Arial" w:hAnsi="Arial"/>
          <w:sz w:val="18"/>
          <w:szCs w:val="18"/>
          <w:color w:val="auto"/>
        </w:rPr>
        <w:t>Software license performance obligations are functional intellectual property that are distinct as the user can benefit from the software on its own as defined under ASC 606. 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w:t>
      </w:r>
    </w:p>
    <w:p>
      <w:pPr>
        <w:spacing w:after="0" w:line="188"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w:t>
      </w:r>
    </w:p>
    <w:p>
      <w:pPr>
        <w:spacing w:after="0" w:line="188" w:lineRule="exact"/>
        <w:rPr>
          <w:sz w:val="20"/>
          <w:szCs w:val="20"/>
          <w:color w:val="auto"/>
        </w:rPr>
      </w:pPr>
    </w:p>
    <w:p>
      <w:pPr>
        <w:ind w:right="180" w:firstLine="569"/>
        <w:spacing w:after="0" w:line="261" w:lineRule="auto"/>
        <w:rPr>
          <w:sz w:val="20"/>
          <w:szCs w:val="20"/>
          <w:color w:val="auto"/>
        </w:rPr>
      </w:pPr>
      <w:r>
        <w:rPr>
          <w:rFonts w:ascii="Arial" w:cs="Arial" w:eastAsia="Arial" w:hAnsi="Arial"/>
          <w:sz w:val="18"/>
          <w:szCs w:val="18"/>
          <w:color w:val="auto"/>
        </w:rPr>
        <w:t>Revenues from professional services consist mostly of services provided on a time and materials basis. The performance obligations are satisfied, and revenues are recognized, over time as the services are provided.</w:t>
      </w:r>
    </w:p>
    <w:p>
      <w:pPr>
        <w:spacing w:after="0" w:line="171" w:lineRule="exact"/>
        <w:rPr>
          <w:sz w:val="20"/>
          <w:szCs w:val="20"/>
          <w:color w:val="auto"/>
        </w:rPr>
      </w:pPr>
    </w:p>
    <w:p>
      <w:pPr>
        <w:ind w:right="160" w:firstLine="569"/>
        <w:spacing w:after="0" w:line="241" w:lineRule="auto"/>
        <w:rPr>
          <w:sz w:val="20"/>
          <w:szCs w:val="20"/>
          <w:color w:val="auto"/>
        </w:rPr>
      </w:pPr>
      <w:r>
        <w:rPr>
          <w:rFonts w:ascii="Arial" w:cs="Arial" w:eastAsia="Arial" w:hAnsi="Arial"/>
          <w:sz w:val="18"/>
          <w:szCs w:val="18"/>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jc w:val="both"/>
        <w:ind w:right="60"/>
        <w:spacing w:after="0" w:line="248" w:lineRule="auto"/>
        <w:rPr>
          <w:sz w:val="20"/>
          <w:szCs w:val="20"/>
          <w:color w:val="auto"/>
        </w:rPr>
      </w:pPr>
      <w:r>
        <w:rPr>
          <w:rFonts w:ascii="Arial" w:cs="Arial" w:eastAsia="Arial" w:hAnsi="Arial"/>
          <w:sz w:val="18"/>
          <w:szCs w:val="18"/>
          <w:color w:val="auto"/>
        </w:rPr>
        <w:t>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spacing w:after="0" w:line="182" w:lineRule="exact"/>
        <w:rPr>
          <w:sz w:val="20"/>
          <w:szCs w:val="20"/>
          <w:color w:val="auto"/>
        </w:rPr>
      </w:pPr>
    </w:p>
    <w:p>
      <w:pPr>
        <w:ind w:right="60" w:firstLine="569"/>
        <w:spacing w:after="0" w:line="274" w:lineRule="auto"/>
        <w:rPr>
          <w:sz w:val="20"/>
          <w:szCs w:val="20"/>
          <w:color w:val="auto"/>
        </w:rPr>
      </w:pPr>
      <w:r>
        <w:rPr>
          <w:rFonts w:ascii="Arial" w:cs="Arial" w:eastAsia="Arial" w:hAnsi="Arial"/>
          <w:sz w:val="16"/>
          <w:szCs w:val="16"/>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63" w:lineRule="exact"/>
        <w:rPr>
          <w:sz w:val="20"/>
          <w:szCs w:val="20"/>
          <w:color w:val="auto"/>
        </w:rPr>
      </w:pPr>
    </w:p>
    <w:p>
      <w:pPr>
        <w:ind w:right="260" w:firstLine="562"/>
        <w:spacing w:after="0" w:line="324" w:lineRule="auto"/>
        <w:rPr>
          <w:sz w:val="20"/>
          <w:szCs w:val="20"/>
          <w:color w:val="auto"/>
        </w:rPr>
      </w:pPr>
      <w:r>
        <w:rPr>
          <w:rFonts w:ascii="Arial" w:cs="Arial" w:eastAsia="Arial" w:hAnsi="Arial"/>
          <w:sz w:val="16"/>
          <w:szCs w:val="16"/>
          <w:color w:val="auto"/>
        </w:rPr>
        <w:t>We do not account for significant financing components if the period between when we transfer the promised product or service to the client and when the client pays for that product or service will be one year or less. We record revenue net of any taxes assessed by governmental authorities.</w:t>
      </w:r>
    </w:p>
    <w:p>
      <w:pPr>
        <w:spacing w:after="0" w:line="124" w:lineRule="exact"/>
        <w:rPr>
          <w:sz w:val="20"/>
          <w:szCs w:val="20"/>
          <w:color w:val="auto"/>
        </w:rPr>
      </w:pPr>
    </w:p>
    <w:p>
      <w:pPr>
        <w:ind w:firstLine="562"/>
        <w:spacing w:after="0" w:line="261" w:lineRule="auto"/>
        <w:rPr>
          <w:sz w:val="20"/>
          <w:szCs w:val="20"/>
          <w:color w:val="auto"/>
        </w:rPr>
      </w:pPr>
      <w:r>
        <w:rPr>
          <w:rFonts w:ascii="Arial" w:cs="Arial" w:eastAsia="Arial" w:hAnsi="Arial"/>
          <w:sz w:val="18"/>
          <w:szCs w:val="18"/>
          <w:color w:val="auto"/>
        </w:rPr>
        <w:t>Accounts Receivable, net is primarily comprised of billed and unbilled receivables for which we have an unconditional right to consideration, net of an allowance for 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212" w:lineRule="exact"/>
        <w:rPr>
          <w:sz w:val="20"/>
          <w:szCs w:val="20"/>
          <w:color w:val="auto"/>
        </w:rPr>
      </w:pPr>
    </w:p>
    <w:p>
      <w:pPr>
        <w:ind w:right="20" w:firstLine="569"/>
        <w:spacing w:after="0" w:line="270" w:lineRule="auto"/>
        <w:rPr>
          <w:sz w:val="20"/>
          <w:szCs w:val="20"/>
          <w:color w:val="auto"/>
        </w:rPr>
      </w:pPr>
      <w:r>
        <w:rPr>
          <w:rFonts w:ascii="Arial" w:cs="Arial" w:eastAsia="Arial" w:hAnsi="Arial"/>
          <w:sz w:val="16"/>
          <w:szCs w:val="16"/>
          <w:color w:val="auto"/>
        </w:rPr>
        <w:t>Costs of revenues include all costs, including depreciation and amortization, incurred to produce revenues. Incremental costs of obtaining a contract (e.g., sales commissions) are capitalized and amortized on a basis consistent with the pattern of transfer of goods or services to the customer to which the asset relates over the expected customer relationship period if we expect to recover those costs. The expected customer relationship period is determined based on average historical customer relationship periods, including expected renewals. Expected renewal periods are only included in the expected customer relationship period if commission amounts paid upon renewal are not commensurate with amounts paid on the initial contract. Incremental costs of obtaining a contract include only those costs we incur to obtain a contract that we would not have incurred if the contract had not been obtained. We have determined that certain commissions programs meet the requirements to be capitalized. Certain sales commissions associated with multi-year contracts are subject to an employee service requirement. As an action other than each party approving the contract is required to trigger payment of these sales commissions, they are not considered incremental costs to obtain a contract and are expensed as incurred. These costs are included in selling and marketing. We expense sales commissions as incurred when the amortization period would have been one year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Research and development costs associated with computer software are charged to expense as incurred. Capitalization of internally developed computer software costs in the case of software to be sold begins upon the establishment of technological feasibility based on a working model. Capitalization of internally developed computer software costs in the case of internal use software begins when management authorizes and commits funding to a project and the preliminary design stage has been completed.</w:t>
      </w:r>
    </w:p>
    <w:p>
      <w:pPr>
        <w:spacing w:after="0" w:line="188" w:lineRule="exact"/>
        <w:rPr>
          <w:sz w:val="20"/>
          <w:szCs w:val="20"/>
          <w:color w:val="auto"/>
        </w:rPr>
      </w:pPr>
    </w:p>
    <w:p>
      <w:pPr>
        <w:jc w:val="both"/>
        <w:ind w:right="180" w:firstLine="509"/>
        <w:spacing w:after="0" w:line="294" w:lineRule="auto"/>
        <w:rPr>
          <w:sz w:val="20"/>
          <w:szCs w:val="20"/>
          <w:color w:val="auto"/>
        </w:rPr>
      </w:pPr>
      <w:r>
        <w:rPr>
          <w:rFonts w:ascii="Arial" w:cs="Arial" w:eastAsia="Arial" w:hAnsi="Arial"/>
          <w:sz w:val="16"/>
          <w:szCs w:val="16"/>
          <w:color w:val="auto"/>
        </w:rPr>
        <w:t>Our policy is to amortize these costs upon a product’s general release to the client. Amortization of capitalized software costs is calculated by the greater of (a) the ratio that current gross revenues for a product bear to the total of current and anticipated future gross revenues for that product or (b) the straight-line method over the remaining estimated economic life of the product, including the period being reported on, typically two to five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Using the fair value recognition provisions of relevant accounting literature,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certain operating performance goals, we estimate the likelihood of achieving the performance goals. Differences between actual results and these estimates could have a material effect on our financial results. Forfeitures are accounted for as they occur. A deferred income tax asset is recorded over the vesting period as stock compensation expense is recorded for non-qualified option awards. The realizability of the deferred tax asset is ultimately based on the actual value of the stock-based award upon exercise. If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180"/>
        <w:spacing w:after="0" w:line="261" w:lineRule="auto"/>
        <w:rPr>
          <w:sz w:val="20"/>
          <w:szCs w:val="20"/>
          <w:color w:val="auto"/>
        </w:rPr>
      </w:pPr>
      <w:r>
        <w:rPr>
          <w:rFonts w:ascii="Arial" w:cs="Arial" w:eastAsia="Arial" w:hAnsi="Arial"/>
          <w:sz w:val="18"/>
          <w:szCs w:val="18"/>
          <w:color w:val="auto"/>
        </w:rPr>
        <w:t>the actual value is lower than the fair value determined on the date of grant, then there would be an income tax expense for the portion of the deferred tax asset that is not realizable.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account for income taxes in accordance with the relevant accounting literature. An asset and liability approach is used to recognize deferred tax assets and liabilities for the future tax consequences of items that are recognized in our financial statements and tax returns in different years. A valuation allowance is established against net deferred tax assets if, based on the weight of available evidence, it is more likely than not that some or all of the net deferred tax assets will not be realized.</w:t>
      </w:r>
    </w:p>
    <w:p>
      <w:pPr>
        <w:spacing w:after="0" w:line="188"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account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tax positions and tax benefits, which may require periodic adjustments and which may not accurately forecast actual outcomes.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consider all highly liquid marketable securities with original maturities of three months or less at the date of acquisition to be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Receivable and Funds Held on Behalf of Clients</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hold client funds on behalf of transfer agency clients and pharmacy processing clients in connection with providing our data processing services. End-of-day available client bank balances for full service mutual fund transfer agency clients are invested overnight in credit quality government money market funds, bank deposits and repurchase agreements. Invested balances are returned to the full service mutual fund transfer agency clients’ accounts the following business day. Funds received from clients for the payment of pharmacy claims incurred by its members are invested in credit quality government money market funds, bank deposits and repurchase agreements until the paid claims are settled. Client funding receivables represent amounts due to us for pharmacy claims paid in advance of receiving client funding and for pharmacy claims processed for which client funding requests have not been made.</w:t>
      </w:r>
    </w:p>
    <w:p>
      <w:pPr>
        <w:spacing w:after="0" w:line="16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Funds held on behalf of clients in the form of cash, cash equivalents and certificates of deposit with a maturity of less than twelve months are included in funds receivable and funds held on behalf of clients in the Consolidated Balance Sheet. Funds held on behalf of clients in the form of certificates of deposit with a maturity of greater than twelve months are classified as investments on the Consolidated Balance Sheets. All funds held on behalf of clients represent assets that are restricted for use.</w:t>
      </w:r>
    </w:p>
    <w:p>
      <w:pPr>
        <w:spacing w:after="0" w:line="18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have included funds held on behalf of clients that meet the definition of restricted cash and restricted cash equivalents in the beginning and end of period balances in the Consolidated Statements of Cash Flows. Cash inflows and outflows related to investment of funds held on behalf of clients are reported on a gross basis as “Investments in securities” and “Proceeds from sales / maturities of investments” in the investing section of the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Funds Obligations</w:t>
      </w:r>
    </w:p>
    <w:p>
      <w:pPr>
        <w:spacing w:after="0" w:line="21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Client funds obligations represent funds owed to full service mutual fund transfer agency clients for cash balances invested overnight, and our contractual obligations to satisfy client pharmacy claim obligations that are recorded on the balance sheet when incurred, generally after we have processed a claim on behalf of its pharmacy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Restricted cash primarily includes amounts held by a bank as security for letters of credit issued due to lease requirements for office space. The letters of credit are expected to be renewed within the next twelve months, and as such, the restricted cash is classified as a current asset on the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Unconsolidated Affiliates</w:t>
      </w:r>
    </w:p>
    <w:p>
      <w:pPr>
        <w:spacing w:after="0" w:line="104" w:lineRule="exact"/>
        <w:rPr>
          <w:sz w:val="20"/>
          <w:szCs w:val="20"/>
          <w:color w:val="auto"/>
        </w:rPr>
      </w:pPr>
    </w:p>
    <w:p>
      <w:pPr>
        <w:ind w:right="180" w:firstLine="562"/>
        <w:spacing w:after="0" w:line="261" w:lineRule="auto"/>
        <w:rPr>
          <w:sz w:val="20"/>
          <w:szCs w:val="20"/>
          <w:color w:val="auto"/>
        </w:rPr>
      </w:pPr>
      <w:r>
        <w:rPr>
          <w:rFonts w:ascii="Arial" w:cs="Arial" w:eastAsia="Arial" w:hAnsi="Arial"/>
          <w:sz w:val="18"/>
          <w:szCs w:val="18"/>
          <w:color w:val="auto"/>
        </w:rPr>
        <w:t>We hold various investments, including investments in marketable securities, non-marketable securities and partnership interests in private equity funds, joint ventures and other similar entities.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jc w:val="both"/>
        <w:ind w:firstLine="569"/>
        <w:spacing w:after="0" w:line="243" w:lineRule="auto"/>
        <w:rPr>
          <w:sz w:val="20"/>
          <w:szCs w:val="20"/>
          <w:color w:val="auto"/>
        </w:rPr>
      </w:pPr>
      <w:r>
        <w:rPr>
          <w:rFonts w:ascii="Arial" w:cs="Arial" w:eastAsia="Arial" w:hAnsi="Arial"/>
          <w:sz w:val="18"/>
          <w:szCs w:val="18"/>
          <w:color w:val="auto"/>
        </w:rPr>
        <w:t>The equity method of accounting is used for investments in entities, partnerships and similar interests (including investments in private equity funds where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spacing w:after="0" w:line="188"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We measure equity investments in marketable securities, seed capital investments and other investments, other than those accounted for under the equity method of accounting or those that result in consolidation of the investee, at fair value, with changes in the fair value recognized in earnings. We use net asset value as a practical expedient for the fair value of partnership interests in private equity funds that are not accounted for under the equity method of accounting.</w:t>
      </w:r>
    </w:p>
    <w:p>
      <w:pPr>
        <w:spacing w:after="0" w:line="188" w:lineRule="exact"/>
        <w:rPr>
          <w:sz w:val="20"/>
          <w:szCs w:val="20"/>
          <w:color w:val="auto"/>
        </w:rPr>
      </w:pPr>
    </w:p>
    <w:p>
      <w:pPr>
        <w:ind w:right="20" w:firstLine="569"/>
        <w:spacing w:after="0"/>
        <w:rPr>
          <w:sz w:val="20"/>
          <w:szCs w:val="20"/>
          <w:color w:val="auto"/>
        </w:rPr>
      </w:pPr>
      <w:r>
        <w:rPr>
          <w:rFonts w:ascii="Arial" w:cs="Arial" w:eastAsia="Arial" w:hAnsi="Arial"/>
          <w:sz w:val="18"/>
          <w:szCs w:val="18"/>
          <w:color w:val="auto"/>
        </w:rPr>
        <w:t xml:space="preserve">Investments in non-marketable equity securities that do not have readily determinable fair values and do not qualify for the practical expedient to measure the investment using a net asset value per share are recorded using the measurement alternative in ASU 2016-01, </w:t>
      </w:r>
      <w:r>
        <w:rPr>
          <w:rFonts w:ascii="Arial" w:cs="Arial" w:eastAsia="Arial" w:hAnsi="Arial"/>
          <w:sz w:val="18"/>
          <w:szCs w:val="18"/>
          <w:i w:val="1"/>
          <w:iCs w:val="1"/>
          <w:color w:val="auto"/>
        </w:rPr>
        <w:t>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w:t>
      </w:r>
      <w:r>
        <w:rPr>
          <w:rFonts w:ascii="Arial" w:cs="Arial" w:eastAsia="Arial" w:hAnsi="Arial"/>
          <w:sz w:val="18"/>
          <w:szCs w:val="18"/>
          <w:color w:val="auto"/>
        </w:rPr>
        <w:t>. These investments are recorded at cost, less impairment, adjusted for observable price changes in orderly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w:t>
      </w:r>
    </w:p>
    <w:p>
      <w:pPr>
        <w:spacing w:after="0" w:line="189"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We have certain investments in unconsolidated affiliates accounted for under the equity method of accounting in which our carrying value exceeds our proportionate share of net assets of the unconsolidated affiliate. The total investment in unconsolidated affiliates, including basis differences, is included in unconsolidated affiliates on the Consolidated Balance Sheet.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1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Property, plant and equipment are stated at cost. Depreciation of property, plant and equipment is calculated using a combination of straight-line and accelerated methods over the estimated useful lives of the assets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620" w:type="dxa"/>
            <w:vAlign w:val="bottom"/>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02"/>
        </w:trPr>
        <w:tc>
          <w:tcPr>
            <w:tcW w:w="43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Land</w:t>
            </w:r>
          </w:p>
        </w:tc>
        <w:tc>
          <w:tcPr>
            <w:tcW w:w="4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Buildings</w:t>
            </w:r>
          </w:p>
        </w:tc>
        <w:tc>
          <w:tcPr>
            <w:tcW w:w="4640" w:type="dxa"/>
            <w:vAlign w:val="bottom"/>
          </w:tcPr>
          <w:p>
            <w:pPr>
              <w:jc w:val="center"/>
              <w:spacing w:after="0" w:line="202" w:lineRule="exact"/>
              <w:rPr>
                <w:sz w:val="20"/>
                <w:szCs w:val="20"/>
                <w:color w:val="auto"/>
              </w:rPr>
            </w:pPr>
            <w:r>
              <w:rPr>
                <w:rFonts w:ascii="Arial" w:cs="Arial" w:eastAsia="Arial" w:hAnsi="Arial"/>
                <w:sz w:val="18"/>
                <w:szCs w:val="18"/>
                <w:color w:val="auto"/>
                <w:w w:val="89"/>
              </w:rPr>
              <w:t>40 years</w:t>
            </w:r>
          </w:p>
        </w:tc>
      </w:tr>
      <w:tr>
        <w:trPr>
          <w:trHeight w:val="203"/>
        </w:trPr>
        <w:tc>
          <w:tcPr>
            <w:tcW w:w="43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Building improvements</w:t>
            </w:r>
          </w:p>
        </w:tc>
        <w:tc>
          <w:tcPr>
            <w:tcW w:w="4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Shorter of 40 years or remaining life of the building</w:t>
            </w: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Equipment and software</w:t>
            </w:r>
          </w:p>
        </w:tc>
        <w:tc>
          <w:tcPr>
            <w:tcW w:w="4640" w:type="dxa"/>
            <w:vAlign w:val="bottom"/>
          </w:tcPr>
          <w:p>
            <w:pPr>
              <w:jc w:val="center"/>
              <w:spacing w:after="0" w:line="202" w:lineRule="exact"/>
              <w:rPr>
                <w:sz w:val="20"/>
                <w:szCs w:val="20"/>
                <w:color w:val="auto"/>
              </w:rPr>
            </w:pPr>
            <w:r>
              <w:rPr>
                <w:rFonts w:ascii="Arial" w:cs="Arial" w:eastAsia="Arial" w:hAnsi="Arial"/>
                <w:sz w:val="18"/>
                <w:szCs w:val="18"/>
                <w:color w:val="auto"/>
                <w:w w:val="87"/>
              </w:rPr>
              <w:t>3-5 years</w:t>
            </w:r>
          </w:p>
        </w:tc>
      </w:tr>
      <w:tr>
        <w:trPr>
          <w:trHeight w:val="203"/>
        </w:trPr>
        <w:tc>
          <w:tcPr>
            <w:tcW w:w="43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4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7-10 years</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640" w:type="dxa"/>
            <w:vAlign w:val="bottom"/>
          </w:tcPr>
          <w:p>
            <w:pPr>
              <w:jc w:val="center"/>
              <w:spacing w:after="0"/>
              <w:rPr>
                <w:sz w:val="20"/>
                <w:szCs w:val="20"/>
                <w:color w:val="auto"/>
              </w:rPr>
            </w:pPr>
            <w:r>
              <w:rPr>
                <w:rFonts w:ascii="Arial" w:cs="Arial" w:eastAsia="Arial" w:hAnsi="Arial"/>
                <w:sz w:val="18"/>
                <w:szCs w:val="18"/>
                <w:color w:val="auto"/>
                <w:w w:val="91"/>
              </w:rPr>
              <w:t>Shorter of lease term or estimated useful life</w:t>
            </w:r>
          </w:p>
        </w:tc>
      </w:tr>
    </w:tbl>
    <w:p>
      <w:pPr>
        <w:spacing w:after="0" w:line="174" w:lineRule="exact"/>
        <w:rPr>
          <w:sz w:val="20"/>
          <w:szCs w:val="20"/>
          <w:color w:val="auto"/>
        </w:rPr>
      </w:pPr>
    </w:p>
    <w:p>
      <w:pPr>
        <w:ind w:right="820" w:firstLine="509"/>
        <w:spacing w:after="0" w:line="291" w:lineRule="auto"/>
        <w:rPr>
          <w:sz w:val="20"/>
          <w:szCs w:val="20"/>
          <w:color w:val="auto"/>
        </w:rPr>
      </w:pPr>
      <w:r>
        <w:rPr>
          <w:rFonts w:ascii="Arial" w:cs="Arial" w:eastAsia="Arial" w:hAnsi="Arial"/>
          <w:sz w:val="17"/>
          <w:szCs w:val="17"/>
          <w:color w:val="auto"/>
        </w:rPr>
        <w:t>Maintenance and repairs are expensed as incurred. The costs of sold or retired assets are removed from the related asset and accumulated depreciation accounts and any gain or loss is included in the Consolidated Statements of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adopted ASC 842 as of January 1, 2019 using the modified retrospective transition method. We determine if our contractual agreements contain a lease at inception. A lease is identified when a contract allows us the right to control an identified asset for a period of time in exchange for consideration. Our lease agreements consist primarily of operating leases for office space.</w:t>
      </w:r>
    </w:p>
    <w:p>
      <w:pPr>
        <w:spacing w:after="0" w:line="18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operating leases are included on the Consolidated Balance Sheets as operating lease assets and operating lease liabilities, under ASC 842. An operating lease asset represents our right to use an underlying asset over the term of a lease while an operating lease liability represents our obligation to make lease payments arising from the lease. Operating lease liabilities are recognized at the commencement date at the present value of the base minimum rent payments. Operating lease assets are also recognized at the commencement date as the total operating lease liability adjusted for prepaid rents, deferred rent liabilities and lease fair value adjustments that existed under ASC 840. As most of our leases do not provide an implicit rate, we use our estimated secured incremental borrowing rate within each of the significant geographic regions in which we operate based on the information available at lease commencement date in determining the present value of lease payments.</w:t>
      </w:r>
    </w:p>
    <w:p>
      <w:pPr>
        <w:spacing w:after="0" w:line="18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lease agreements typically do not contain variable lease payments, residual value guarantees or restrictive covenants. Many of our leases include the option to renew, however we do not believe it is reasonably certain that we will exercise the options as each individual lease is evaluated and further negotiated prior to the end of the current lease terms.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4" w:name="page65"/>
    <w:bookmarkEnd w:id="64"/>
    <w:p>
      <w:pPr>
        <w:ind w:firstLine="509"/>
        <w:spacing w:after="0" w:line="284" w:lineRule="auto"/>
        <w:rPr>
          <w:sz w:val="20"/>
          <w:szCs w:val="20"/>
          <w:color w:val="auto"/>
        </w:rPr>
      </w:pPr>
      <w:r>
        <w:rPr>
          <w:rFonts w:ascii="Arial" w:cs="Arial" w:eastAsia="Arial" w:hAnsi="Arial"/>
          <w:sz w:val="16"/>
          <w:szCs w:val="16"/>
          <w:color w:val="auto"/>
        </w:rPr>
        <w:t>Generally, our lease agreements include required separate payments for non-lease components (e.g. payments for common area maintenance, real estate taxes and/or utilities) which are expensed as incurred. We do have certain lease agreements that contain bundled minimum payments for lease components (e.g. payments for rent) and non-lease components. In these situations, we have applied the practical expedient available under ASC 842 to not separate the lease and non-lease components for purposes of the right-of-use asset and lease payment obligation calculations.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7"/>
          <w:szCs w:val="17"/>
          <w:color w:val="auto"/>
        </w:rPr>
        <w:t>We test goodwill annually for impairment as of December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(and in interim periods if certain events occur or circumstances change that would more likely than not reduce the fair value of a reporting unit below its carrying amount). We have completed the required impairment tests for goodwill and have determined that no impairment existed as of December 31, 2021 or 2020. On July 1, 2020, our reporting unit structure changed as a result of a change in our management structure. As of December 31, 2019 and through June 30, 2020, we had two reporting units, one which included the DST business, and one which included the rest of our operations. As of July 1, 2020 and through December 31, 2021, we continue to have two reporting units, though one is our health business and the other includes the rest of our operations. Our impairment analysis indicated that the fair value significantly exceeded the carrying value of each of our reporting units as of December 31, 2021 and 2020. We measure the fair value of our reporting units utilizing the income method. Significant judgments required to estimate the fair value of our reporting units include determining appropriate discount rates, revenue growth rates and estimating the margin on our revenues to determine earnings before income taxes, depreciation, amortization and stock-based compensation. There were no other indefinite-lived intangible assets as of December 31, 2021 or 2020.</w:t>
      </w:r>
    </w:p>
    <w:p>
      <w:pPr>
        <w:spacing w:after="0" w:line="192" w:lineRule="exact"/>
        <w:rPr>
          <w:sz w:val="20"/>
          <w:szCs w:val="20"/>
          <w:color w:val="auto"/>
        </w:rPr>
      </w:pPr>
    </w:p>
    <w:p>
      <w:pPr>
        <w:ind w:right="100" w:firstLine="509"/>
        <w:spacing w:after="0" w:line="291" w:lineRule="auto"/>
        <w:rPr>
          <w:sz w:val="20"/>
          <w:szCs w:val="20"/>
          <w:color w:val="auto"/>
        </w:rPr>
      </w:pPr>
      <w:r>
        <w:rPr>
          <w:rFonts w:ascii="Arial" w:cs="Arial" w:eastAsia="Arial" w:hAnsi="Arial"/>
          <w:sz w:val="17"/>
          <w:szCs w:val="17"/>
          <w:color w:val="auto"/>
        </w:rPr>
        <w:t>Customer relationships, completed technology, trade names and other identifiable intangible assets are amortized over lives ranging from two to 17 years based on the ratio that cash flows for the intangible asset bear to the total of expected future cash flows for the intangible asset.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evaluate the recoverability of our long-lived assets when there is evidence that events or changes in circumstances have made recovery of the carrying value of the asset or asset group unlikely. An impairment loss would be recognized when the sum of the expected future undiscounted net cash flows is less than the carrying amount of the asset or asset group. We have identified no such impairment losses in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cash equivalents, marketable securities and trade receivables. We have cash investment policies that limit investments to investment grade securities. Concentrations of credit risk, with respect to trade receivables, are limited due to the fact that our client base is highly diversified. As of December 31, 2021 and 2020, we had no significant concentrations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Foreign Currency</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functional currency of each foreign subsidiary is generally the local currency. Accordingly, assets and liabilities of foreign subsidiaries are translated to U.S. dollars at period-end exchange rates, and capital stock accounts are translated at historical rates. Revenues and expenses are translated using the average rates during the period. The resulting translation adjustments are excluded from net earnings and accumulated as a separate component of stockholders’ equity. Foreign currency transaction gains and losses are included within other (expense) income in the Consolidated Statements of Comprehensive Income in the periods in which they occur.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comprehensive income consists of net income, foreign currency translation adjustments, a defined benefit pension plan and our proportionate share of the change in value of an interest rate swap agreement that one of our unconsolidated affiliates is a party to, which are presented in the Consolidated Statements of Comprehensive Income, net of tax and reclassifications to earnings. The accumulated balance of other comprehensive income is reported separately from retained earnings and additional paid-in capital in the stockholders’ equity section of the Consolidated Balance Sheets. Total comprehensive income consists of net income and other accumulated comprehensive (loss) income disclosed in the equity section of the Consolidated Balance Sheets.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Treasury stock purchases are accounted for under the cost method and are included as a deduction from equity in the stockholders’ equity section of the Consolidated Balance Sheets. Under the cost method, the price paid for the stock is charged to the treasury stock account. We use the average cost method to reduce the value of the treasury stock account if treasury stock is re-issued.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Loss contingencies from legal proceedings and claims may occur from government investigations, shareholder lawsuits, contractual claims, tax and other matters. Accruals are recognized when it is probable that a liability will be incurred and the amount of loss can be reasonably estimated. Gain contingencies are not recognized until realized. Legal fees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194"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 </w:t>
      </w:r>
      <w:r>
        <w:rPr>
          <w:rFonts w:ascii="Arial" w:cs="Arial" w:eastAsia="Arial" w:hAnsi="Arial"/>
          <w:sz w:val="16"/>
          <w:szCs w:val="16"/>
          <w:color w:val="auto"/>
        </w:rPr>
        <w:t>ASU 2021-08 requires companies to apply ASC 606 to recognize and measure contract assets and contract liabilities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acquired in a business combination on the acquisition date.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have early adopted ASU 2021-08 as of January 1, 2022 on a prospective basis. The adoption of this standard did not have a material impact on our financial position,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521.9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478.9</w:t>
            </w:r>
          </w:p>
        </w:tc>
        <w:tc>
          <w:tcPr>
            <w:tcW w:w="1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Unbilled accounts receivable</w:t>
            </w:r>
          </w:p>
        </w:tc>
        <w:tc>
          <w:tcPr>
            <w:tcW w:w="2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209.4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185.9</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Allowance for credit losses</w:t>
            </w:r>
          </w:p>
        </w:tc>
        <w:tc>
          <w:tcPr>
            <w:tcW w:w="20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6"/>
              </w:rPr>
              <w:t>(17.9 )</w:t>
            </w:r>
          </w:p>
        </w:tc>
        <w:tc>
          <w:tcPr>
            <w:tcW w:w="3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(16.8 )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040" w:type="dxa"/>
            <w:vAlign w:val="bottom"/>
            <w:tcBorders>
              <w:top w:val="single" w:sz="8" w:color="CFF0FC"/>
            </w:tcBorders>
          </w:tcPr>
          <w:p>
            <w:pPr>
              <w:ind w:left="100"/>
              <w:spacing w:after="0" w:line="182" w:lineRule="exact"/>
              <w:rPr>
                <w:sz w:val="20"/>
                <w:szCs w:val="20"/>
                <w:color w:val="auto"/>
              </w:rPr>
            </w:pPr>
            <w:r>
              <w:rPr>
                <w:rFonts w:ascii="Arial" w:cs="Arial" w:eastAsia="Arial" w:hAnsi="Arial"/>
                <w:sz w:val="18"/>
                <w:szCs w:val="18"/>
                <w:color w:val="auto"/>
              </w:rPr>
              <w:t>Total accounts receivable, net</w:t>
            </w:r>
          </w:p>
        </w:tc>
        <w:tc>
          <w:tcPr>
            <w:tcW w:w="2040" w:type="dxa"/>
            <w:vAlign w:val="bottom"/>
            <w:tcBorders>
              <w:top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596"/>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713.4</w:t>
            </w: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648.0</w:t>
            </w:r>
          </w:p>
        </w:tc>
        <w:tc>
          <w:tcPr>
            <w:tcW w:w="10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40" w:type="dxa"/>
            <w:vAlign w:val="bottom"/>
            <w:vMerge w:val="restart"/>
          </w:tcPr>
          <w:p>
            <w:pPr>
              <w:jc w:val="right"/>
              <w:ind w:right="970"/>
              <w:spacing w:after="0"/>
              <w:rPr>
                <w:sz w:val="20"/>
                <w:szCs w:val="20"/>
                <w:color w:val="auto"/>
              </w:rPr>
            </w:pPr>
            <w:r>
              <w:rPr>
                <w:rFonts w:ascii="Arial" w:cs="Arial" w:eastAsia="Arial" w:hAnsi="Arial"/>
                <w:sz w:val="18"/>
                <w:szCs w:val="18"/>
                <w:color w:val="auto"/>
              </w:rPr>
              <w:t>66</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7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-896620</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-896620</wp:posOffset>
            </wp:positionV>
            <wp:extent cx="603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ind w:left="520"/>
        <w:spacing w:after="0"/>
        <w:rPr>
          <w:sz w:val="20"/>
          <w:szCs w:val="20"/>
          <w:color w:val="auto"/>
        </w:rPr>
      </w:pPr>
      <w:r>
        <w:rPr>
          <w:rFonts w:ascii="Arial" w:cs="Arial" w:eastAsia="Arial" w:hAnsi="Arial"/>
          <w:sz w:val="16"/>
          <w:szCs w:val="16"/>
          <w:color w:val="auto"/>
        </w:rPr>
        <w:t>The following table represents the activity for the allowance for credit losses (in millions):</w:t>
      </w:r>
    </w:p>
    <w:p>
      <w:pPr>
        <w:sectPr>
          <w:pgSz w:w="11900" w:h="16838" w:orient="portrait"/>
          <w:cols w:equalWidth="0" w:num="1">
            <w:col w:w="11200"/>
          </w:cols>
          <w:pgMar w:left="320" w:top="54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beginning of period</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Charge to costs and expenses</w:t>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Write-offs, net of recoveries</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Foreign currency impact</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82"/>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220" w:type="dxa"/>
            <w:vAlign w:val="bottom"/>
          </w:tcPr>
          <w:p>
            <w:pPr>
              <w:spacing w:after="0"/>
              <w:rPr>
                <w:sz w:val="15"/>
                <w:szCs w:val="15"/>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c>
          <w:tcPr>
            <w:tcW w:w="18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c>
          <w:tcPr>
            <w:tcW w:w="80" w:type="dxa"/>
            <w:vAlign w:val="bottom"/>
          </w:tcPr>
          <w:p>
            <w:pPr>
              <w:spacing w:after="0"/>
              <w:rPr>
                <w:sz w:val="15"/>
                <w:szCs w:val="15"/>
                <w:color w:val="auto"/>
              </w:rPr>
            </w:pPr>
          </w:p>
        </w:tc>
      </w:tr>
      <w:tr>
        <w:trPr>
          <w:trHeight w:val="203"/>
        </w:trPr>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(7.0 )</w:t>
            </w:r>
          </w:p>
        </w:tc>
        <w:tc>
          <w:tcPr>
            <w:tcW w:w="24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(4.2 )</w:t>
            </w:r>
          </w:p>
        </w:tc>
        <w:tc>
          <w:tcPr>
            <w:tcW w:w="2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17"/>
        </w:trPr>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-676910</wp:posOffset>
            </wp:positionV>
            <wp:extent cx="570039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-419735</wp:posOffset>
            </wp:positionV>
            <wp:extent cx="570039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-153670</wp:posOffset>
            </wp:positionV>
            <wp:extent cx="57003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4960"/>
          </w:cols>
          <w:pgMar w:left="320" w:top="544" w:right="379" w:bottom="1440" w:gutter="0" w:footer="0" w:header="0"/>
          <w:type w:val="continuous"/>
        </w:sectPr>
      </w:pPr>
    </w:p>
    <w:p>
      <w:pPr>
        <w:spacing w:after="0" w:line="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Management establishes the allowance for credit losses accounts based on historical bad debt experience. In addition, management analyzes client accounts, client concentrations, client creditworthiness, current economic trends and changes in client payment terms when evaluating the adequacy of the allowance for credit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Plant and Equipment, net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Land</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Building and improvements</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307.5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307.4</w:t>
            </w:r>
          </w:p>
        </w:tc>
        <w:tc>
          <w:tcPr>
            <w:tcW w:w="100" w:type="dxa"/>
            <w:vAlign w:val="bottom"/>
          </w:tcPr>
          <w:p>
            <w:pPr>
              <w:spacing w:after="0"/>
              <w:rPr>
                <w:sz w:val="17"/>
                <w:szCs w:val="17"/>
                <w:color w:val="auto"/>
              </w:rPr>
            </w:pPr>
          </w:p>
        </w:tc>
      </w:tr>
      <w:tr>
        <w:trPr>
          <w:trHeight w:val="203"/>
        </w:trPr>
        <w:tc>
          <w:tcPr>
            <w:tcW w:w="5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Equipment, furniture, and fixtures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475.4</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832.7</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818.5</w:t>
            </w: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(450.7 )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(405.7 )</w:t>
            </w:r>
          </w:p>
        </w:tc>
      </w:tr>
      <w:tr>
        <w:trPr>
          <w:trHeight w:val="196"/>
        </w:trPr>
        <w:tc>
          <w:tcPr>
            <w:tcW w:w="54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382.0</w:t>
            </w:r>
          </w:p>
        </w:tc>
        <w:tc>
          <w:tcPr>
            <w:tcW w:w="26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412.8</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-424815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-424815</wp:posOffset>
            </wp:positionV>
            <wp:extent cx="596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-159385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for the years ended December 31, 2021, 2020 and 2019 was $81.1 million, $105.7 million and $123.2 million,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21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total operating lease costs were $78.0 million, $77.4 million and $79.0 million during the years ended December 31, 2021, 2020 and 2019, respectively. Cash paid for amounts included in operating lease liabilities was $79.4 million, $77.7 million and $73.8 million during the years ended December 31, 2021, 2020 and 2019, respectively, and is included in operating cash flows. Total right-of-use assets obtained in exchange for operating lease liabilities was $9.2 million and $36.3 million for the years ended December 31, 2021 and 2020, respectively. Our weighted-average remaining lease term and weighted-average discount rates as of December 31, 2021 were 7.5 years and 4.8%, respectively.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liabilities as of December 31, 2021 are as follows (in millions):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Maturity of Lease Liabilities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6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r>
      <w:tr>
        <w:trPr>
          <w:trHeight w:val="223"/>
        </w:trPr>
        <w:tc>
          <w:tcPr>
            <w:tcW w:w="6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lease payments</w:t>
            </w:r>
          </w:p>
        </w:tc>
        <w:tc>
          <w:tcPr>
            <w:tcW w:w="156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FF0FC"/>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(63.3 )</w:t>
            </w:r>
          </w:p>
        </w:tc>
      </w:tr>
      <w:tr>
        <w:trPr>
          <w:trHeight w:val="236"/>
        </w:trPr>
        <w:tc>
          <w:tcPr>
            <w:tcW w:w="698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Present value of lease liabilities</w:t>
            </w:r>
          </w:p>
        </w:tc>
        <w:tc>
          <w:tcPr>
            <w:tcW w:w="4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We have certain lease agreements with our unconsolidated real estate joint ventures. We recognized operating lease expense of $2.1 million, $2.4 million and $2.9 million for the years ended December 31, 2021, 2020 and 2019, respectively, related to these lease agreements.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67" w:name="page68"/>
    <w:bookmarkEnd w:id="67"/>
    <w:p>
      <w:pPr>
        <w:jc w:val="both"/>
        <w:ind w:right="40" w:firstLine="509"/>
        <w:spacing w:after="0" w:line="248" w:lineRule="auto"/>
        <w:rPr>
          <w:sz w:val="20"/>
          <w:szCs w:val="20"/>
          <w:color w:val="auto"/>
        </w:rPr>
      </w:pPr>
      <w:r>
        <w:rPr>
          <w:rFonts w:ascii="Arial" w:cs="Arial" w:eastAsia="Arial" w:hAnsi="Arial"/>
          <w:sz w:val="18"/>
          <w:szCs w:val="18"/>
          <w:color w:val="auto"/>
        </w:rPr>
        <w:t>We have certain sublease agreements in place with third parties to lease portions of our office space. In addition, we serve as a lessor in other lease agreements for real estate and storage facilities. Total gross sublease and other rental income recognized for the years ended December 31, 2021, 2020 and 2019 was approximately $9.1 million, $10.4 million and $9.1 million, respectively.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to be received as of December 31, 2021 are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 Payments to be Received</w:t>
            </w:r>
          </w:p>
        </w:tc>
        <w:tc>
          <w:tcPr>
            <w:tcW w:w="9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600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9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6—Investments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6580" w:type="dxa"/>
            <w:vAlign w:val="bottom"/>
            <w:gridSpan w:val="2"/>
          </w:tcPr>
          <w:p>
            <w:pPr>
              <w:ind w:left="520"/>
              <w:spacing w:after="0"/>
              <w:rPr>
                <w:sz w:val="20"/>
                <w:szCs w:val="20"/>
                <w:color w:val="auto"/>
              </w:rPr>
            </w:pPr>
            <w:r>
              <w:rPr>
                <w:rFonts w:ascii="Arial" w:cs="Arial" w:eastAsia="Arial" w:hAnsi="Arial"/>
                <w:sz w:val="18"/>
                <w:szCs w:val="18"/>
                <w:color w:val="auto"/>
              </w:rPr>
              <w:t>Investments are as follows (in millions):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6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Non-marketable equity securities</w:t>
            </w:r>
          </w:p>
        </w:tc>
        <w:tc>
          <w:tcPr>
            <w:tcW w:w="98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84.5</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84.5</w:t>
            </w:r>
          </w:p>
        </w:tc>
        <w:tc>
          <w:tcPr>
            <w:tcW w:w="6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Marketable equity securities</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38.0</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Seed capital investments</w:t>
            </w: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21.2</w:t>
            </w:r>
          </w:p>
        </w:tc>
        <w:tc>
          <w:tcPr>
            <w:tcW w:w="6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Partnership interests in private equity funds</w:t>
            </w: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39.8</w:t>
            </w:r>
          </w:p>
        </w:tc>
        <w:tc>
          <w:tcPr>
            <w:tcW w:w="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00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investments</w:t>
            </w:r>
          </w:p>
        </w:tc>
        <w:tc>
          <w:tcPr>
            <w:tcW w:w="980" w:type="dxa"/>
            <w:vAlign w:val="bottom"/>
            <w:tcBorders>
              <w:bottom w:val="single" w:sz="8" w:color="auto"/>
            </w:tcBorders>
            <w:shd w:val="clear" w:color="auto" w:fill="CFF0FC"/>
          </w:tcPr>
          <w:p>
            <w:pPr>
              <w:jc w:val="right"/>
              <w:ind w:right="79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172.8</w:t>
            </w:r>
          </w:p>
        </w:tc>
        <w:tc>
          <w:tcPr>
            <w:tcW w:w="2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183.5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-1671320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-1653540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9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equity securities held as of the end of the period</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Realized gains for equity securities sold during the period</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r>
      <w:tr>
        <w:trPr>
          <w:trHeight w:val="236"/>
        </w:trPr>
        <w:tc>
          <w:tcPr>
            <w:tcW w:w="596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gains recognized in other (expense) income, net</w:t>
            </w:r>
          </w:p>
        </w:tc>
        <w:tc>
          <w:tcPr>
            <w:tcW w:w="820" w:type="dxa"/>
            <w:vAlign w:val="bottom"/>
            <w:tcBorders>
              <w:bottom w:val="single" w:sz="8" w:color="auto"/>
            </w:tcBorders>
            <w:shd w:val="clear" w:color="auto" w:fill="CFF0FC"/>
          </w:tcPr>
          <w:p>
            <w:pPr>
              <w:jc w:val="right"/>
              <w:ind w:right="636"/>
              <w:spacing w:after="0" w:line="182"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04" w:lineRule="exact"/>
        <w:rPr>
          <w:sz w:val="20"/>
          <w:szCs w:val="20"/>
          <w:color w:val="auto"/>
        </w:rPr>
      </w:pPr>
    </w:p>
    <w:p>
      <w:pPr>
        <w:ind w:right="200" w:firstLine="569"/>
        <w:spacing w:after="0" w:line="243"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ind w:firstLine="569"/>
        <w:spacing w:after="0" w:line="257" w:lineRule="auto"/>
        <w:rPr>
          <w:sz w:val="20"/>
          <w:szCs w:val="20"/>
          <w:color w:val="auto"/>
        </w:rPr>
      </w:pPr>
      <w:r>
        <w:rPr>
          <w:rFonts w:ascii="Arial" w:cs="Arial" w:eastAsia="Arial" w:hAnsi="Arial"/>
          <w:sz w:val="17"/>
          <w:szCs w:val="17"/>
          <w:color w:val="auto"/>
        </w:rPr>
        <w:t>As of December 31, 2021 and 2020, we held certain investment assets and certain liabilities that are required to be measured at fair value on a recurring basis. These investments include money market funds, marketable equity securities and seed capital investments, each of which determines fair value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 below. Fair value for deferred compensation liabilities that are credited with deemed gains or losses of the underlying hypothetical investments, primarily equity securities, have been classified as Level 1 in the tables below.</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8" w:name="page69"/>
    <w:bookmarkEnd w:id="68"/>
    <w:p>
      <w:pPr>
        <w:ind w:left="58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9"/>
          </w:tcPr>
          <w:p>
            <w:pPr>
              <w:jc w:val="right"/>
              <w:ind w:right="60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4"/>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40" w:type="dxa"/>
            <w:vAlign w:val="bottom"/>
          </w:tcPr>
          <w:p>
            <w:pPr>
              <w:spacing w:after="0"/>
              <w:rPr>
                <w:sz w:val="11"/>
                <w:szCs w:val="11"/>
                <w:color w:val="auto"/>
              </w:rPr>
            </w:pPr>
          </w:p>
        </w:tc>
        <w:tc>
          <w:tcPr>
            <w:tcW w:w="1320" w:type="dxa"/>
            <w:vAlign w:val="bottom"/>
          </w:tcPr>
          <w:p>
            <w:pPr>
              <w:jc w:val="center"/>
              <w:ind w:left="105"/>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left="185"/>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December 31, 2021</w:t>
            </w:r>
          </w:p>
        </w:tc>
        <w:tc>
          <w:tcPr>
            <w:tcW w:w="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40" w:type="dxa"/>
            <w:vAlign w:val="bottom"/>
          </w:tcPr>
          <w:p>
            <w:pPr>
              <w:spacing w:after="0"/>
              <w:rPr>
                <w:sz w:val="12"/>
                <w:szCs w:val="12"/>
                <w:color w:val="auto"/>
              </w:rPr>
            </w:pPr>
          </w:p>
        </w:tc>
        <w:tc>
          <w:tcPr>
            <w:tcW w:w="1320" w:type="dxa"/>
            <w:vAlign w:val="bottom"/>
          </w:tcPr>
          <w:p>
            <w:pPr>
              <w:jc w:val="center"/>
              <w:ind w:left="10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Assets (Level 1)</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80" w:type="dxa"/>
            <w:vAlign w:val="bottom"/>
            <w:gridSpan w:val="2"/>
            <w:shd w:val="clear" w:color="auto" w:fill="CFF0FC"/>
          </w:tcPr>
          <w:p>
            <w:pPr>
              <w:jc w:val="right"/>
              <w:ind w:right="26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1,961.0</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1,961.0</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1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(21.3 )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(21.3 )</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62"/>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2,012.5</w:t>
            </w: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2,012.5</w:t>
            </w:r>
          </w:p>
        </w:tc>
        <w:tc>
          <w:tcPr>
            <w:tcW w:w="2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ind w:right="1145"/>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ind w:right="905"/>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right"/>
              <w:ind w:right="60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40" w:type="dxa"/>
            <w:vAlign w:val="bottom"/>
          </w:tcPr>
          <w:p>
            <w:pPr>
              <w:spacing w:after="0"/>
              <w:rPr>
                <w:sz w:val="11"/>
                <w:szCs w:val="11"/>
                <w:color w:val="auto"/>
              </w:rPr>
            </w:pPr>
          </w:p>
        </w:tc>
        <w:tc>
          <w:tcPr>
            <w:tcW w:w="1320" w:type="dxa"/>
            <w:vAlign w:val="bottom"/>
          </w:tcPr>
          <w:p>
            <w:pPr>
              <w:jc w:val="center"/>
              <w:ind w:left="65"/>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left="185"/>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3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0" w:type="dxa"/>
            <w:vAlign w:val="bottom"/>
          </w:tcPr>
          <w:p>
            <w:pPr>
              <w:spacing w:after="0"/>
              <w:rPr>
                <w:sz w:val="12"/>
                <w:szCs w:val="12"/>
                <w:color w:val="auto"/>
              </w:rPr>
            </w:pPr>
          </w:p>
        </w:tc>
        <w:tc>
          <w:tcPr>
            <w:tcW w:w="1320" w:type="dxa"/>
            <w:vAlign w:val="bottom"/>
          </w:tcPr>
          <w:p>
            <w:pPr>
              <w:jc w:val="center"/>
              <w:ind w:left="6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Assets (Level 1)</w:t>
            </w:r>
          </w:p>
        </w:tc>
        <w:tc>
          <w:tcPr>
            <w:tcW w:w="3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225"/>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80" w:type="dxa"/>
            <w:vAlign w:val="bottom"/>
            <w:gridSpan w:val="2"/>
            <w:shd w:val="clear" w:color="auto" w:fill="CFF0FC"/>
          </w:tcPr>
          <w:p>
            <w:pPr>
              <w:jc w:val="right"/>
              <w:ind w:right="30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18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(20.3 )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(20.3 )</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gridSpan w:val="2"/>
            <w:shd w:val="clear" w:color="auto" w:fill="CFF0FC"/>
          </w:tcPr>
          <w:p>
            <w:pPr>
              <w:jc w:val="right"/>
              <w:ind w:right="30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737.8</w:t>
            </w: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737.8</w:t>
            </w:r>
          </w:p>
        </w:tc>
        <w:tc>
          <w:tcPr>
            <w:tcW w:w="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gridSpan w:val="2"/>
            <w:shd w:val="clear" w:color="auto" w:fill="CFF0FC"/>
          </w:tcPr>
          <w:p>
            <w:pPr>
              <w:jc w:val="right"/>
              <w:ind w:right="1185"/>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FF0FC"/>
          </w:tcPr>
          <w:p>
            <w:pPr>
              <w:jc w:val="right"/>
              <w:ind w:right="905"/>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-1473835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-1456690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-1473835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-1456690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-1473835</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-1456690</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-1473835</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-1456690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342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342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_____________________________________________________</w:t>
      </w:r>
    </w:p>
    <w:p>
      <w:pPr>
        <w:ind w:left="380" w:hanging="372"/>
        <w:spacing w:after="0" w:line="23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cash and cash equivalents and funds receivable and funds held on behalf of clients on the Consolidated Balance Sheet.</w:t>
      </w:r>
    </w:p>
    <w:p>
      <w:pPr>
        <w:ind w:left="380" w:hanging="372"/>
        <w:spacing w:after="0" w:line="234"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investments on the Consolidated Balance Sheet.</w:t>
      </w: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Included in other long-term liabilities on the Consolidated Balance Sheet.</w:t>
      </w:r>
    </w:p>
    <w:p>
      <w:pPr>
        <w:spacing w:after="0" w:line="182" w:lineRule="exact"/>
        <w:rPr>
          <w:sz w:val="20"/>
          <w:szCs w:val="20"/>
          <w:color w:val="auto"/>
        </w:rPr>
      </w:pPr>
    </w:p>
    <w:p>
      <w:pPr>
        <w:ind w:right="240" w:firstLine="606"/>
        <w:spacing w:after="0" w:line="324" w:lineRule="auto"/>
        <w:rPr>
          <w:sz w:val="20"/>
          <w:szCs w:val="20"/>
          <w:color w:val="auto"/>
        </w:rPr>
      </w:pPr>
      <w:r>
        <w:rPr>
          <w:rFonts w:ascii="Arial" w:cs="Arial" w:eastAsia="Arial" w:hAnsi="Arial"/>
          <w:sz w:val="16"/>
          <w:szCs w:val="16"/>
          <w:color w:val="auto"/>
        </w:rPr>
        <w:t>In each of the years ended December 31, 2021 and 2020, we provided $20.0 million in seed capital funding to either mutual funds or exchange-traded funds issued by one of our subsidiaries. During the year ended December 31, 2021, we redeemed $13.5 million of our seed capital investments.</w:t>
      </w:r>
    </w:p>
    <w:p>
      <w:pPr>
        <w:spacing w:after="0" w:line="124" w:lineRule="exact"/>
        <w:rPr>
          <w:sz w:val="20"/>
          <w:szCs w:val="20"/>
          <w:color w:val="auto"/>
        </w:rPr>
      </w:pPr>
    </w:p>
    <w:p>
      <w:pPr>
        <w:ind w:right="60" w:firstLine="569"/>
        <w:spacing w:after="0" w:line="279" w:lineRule="auto"/>
        <w:rPr>
          <w:sz w:val="20"/>
          <w:szCs w:val="20"/>
          <w:color w:val="auto"/>
        </w:rPr>
      </w:pPr>
      <w:r>
        <w:rPr>
          <w:rFonts w:ascii="Arial" w:cs="Arial" w:eastAsia="Arial" w:hAnsi="Arial"/>
          <w:sz w:val="16"/>
          <w:szCs w:val="16"/>
          <w:color w:val="auto"/>
        </w:rPr>
        <w:t>In February 2020, we entered into a Series A Convertible Share Purchase Agreement with SILAC, Inc. (“SILAC”), pursuant to which we acquired 40 million shares of Series A convertible preferred stock of SILAC for a purchase price of $40 million. The investment is classified as a non-marketable equity security. Mr. William C. Stone, our Chairman of the Board of Directors and Chief Executive Officer, has an economic interest in SILAC and is a member of its board of directors. Accordingly, SILAC is considered a related party. During the year ended December 31, 2021, we received a preferred stock dividend from SILAC of $8.0 million which is recorded in Other (expense) income on our Consolidated Statements of Comprehensive Income.</w:t>
      </w:r>
    </w:p>
    <w:p>
      <w:pPr>
        <w:spacing w:after="0" w:line="159"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We have partnership interests in various private equity funds that are not included in the table above. Our investments in private equity funds were $15.5 million and $39.8 million at December 31, 2021 and 2020, respectively, of which $12.7 million and $35.7 million, respectively, were measured using net asset value as a practical expedient for fair value and $2.8 million and $4.1 million, respectively, were accounted for under the equity method of accounting. The investments in private equity funds represent underlying investments in domestic and international markets across various industry sectors.</w:t>
      </w:r>
    </w:p>
    <w:p>
      <w:pPr>
        <w:spacing w:after="0" w:line="189" w:lineRule="exact"/>
        <w:rPr>
          <w:sz w:val="20"/>
          <w:szCs w:val="20"/>
          <w:color w:val="auto"/>
        </w:rPr>
      </w:pPr>
    </w:p>
    <w:p>
      <w:pPr>
        <w:jc w:val="both"/>
        <w:ind w:right="320" w:firstLine="569"/>
        <w:spacing w:after="0" w:line="248"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our investments in the entities.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7—Unconsolidated Affiliates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Excess 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value of</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Ownership</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proportionate</w:t>
            </w:r>
          </w:p>
        </w:tc>
        <w:tc>
          <w:tcPr>
            <w:tcW w:w="1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Carrying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proportionate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Percentage</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share of net assets</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share of net assets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International Financial Data Services L.P.</w:t>
            </w:r>
          </w:p>
        </w:tc>
        <w:tc>
          <w:tcPr>
            <w:tcW w:w="11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50.0%</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w:t>
            </w: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97.5</w:t>
            </w:r>
          </w:p>
        </w:tc>
        <w:tc>
          <w:tcPr>
            <w:tcW w:w="1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Orbit Private Investments L.P.</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2"/>
              </w:rPr>
              <w:t>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Pershing Road Development Company, LLC</w:t>
            </w:r>
          </w:p>
        </w:tc>
        <w:tc>
          <w:tcPr>
            <w:tcW w:w="11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50.0%</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65.9</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Broadway Square Partners, LLP</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unconsolidated affiliates</w:t>
            </w:r>
          </w:p>
        </w:tc>
        <w:tc>
          <w:tcPr>
            <w:tcW w:w="1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176"/>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306.1</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133.9</w:t>
            </w:r>
          </w:p>
        </w:tc>
        <w:tc>
          <w:tcPr>
            <w:tcW w:w="480" w:type="dxa"/>
            <w:vAlign w:val="bottom"/>
            <w:gridSpan w:val="2"/>
          </w:tcPr>
          <w:p>
            <w:pPr>
              <w:jc w:val="right"/>
              <w:ind w:right="159"/>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225.6</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143.8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-159385</wp:posOffset>
            </wp:positionV>
            <wp:extent cx="431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-159385</wp:posOffset>
            </wp:positionV>
            <wp:extent cx="342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342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jc w:val="both"/>
        <w:ind w:right="40" w:firstLine="569"/>
        <w:spacing w:after="0" w:line="243" w:lineRule="auto"/>
        <w:rPr>
          <w:sz w:val="20"/>
          <w:szCs w:val="20"/>
          <w:color w:val="auto"/>
        </w:rPr>
      </w:pPr>
      <w:r>
        <w:rPr>
          <w:rFonts w:ascii="Arial" w:cs="Arial" w:eastAsia="Arial" w:hAnsi="Arial"/>
          <w:sz w:val="18"/>
          <w:szCs w:val="18"/>
          <w:color w:val="auto"/>
        </w:rPr>
        <w:t>Investments in unconsolidated affiliates are accounted for under the equity method of accounting. The total investment in unconsolidated affiliates, including basis differences, is included in unconsolidated affiliates on the Consolidated Balance Sheets.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Equity in earnings of unconsolidated affiliates is as follows (in millions):</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39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International Financial Data Services L.P.</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Pershing Road Development Company, LLC</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Broadway Square Partners, LLP</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unconsolidated affiliates</w:t>
            </w: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(9.5 )</w:t>
            </w:r>
          </w:p>
        </w:tc>
        <w:tc>
          <w:tcPr>
            <w:tcW w:w="14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980" w:type="dxa"/>
            <w:vAlign w:val="bottom"/>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(1.5 )</w:t>
            </w:r>
          </w:p>
        </w:tc>
        <w:tc>
          <w:tcPr>
            <w:tcW w:w="140" w:type="dxa"/>
            <w:vAlign w:val="bottom"/>
            <w:vMerge w:val="continue"/>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-159385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6032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60" w:firstLine="569"/>
        <w:spacing w:after="0" w:line="274" w:lineRule="auto"/>
        <w:rPr>
          <w:sz w:val="20"/>
          <w:szCs w:val="20"/>
          <w:color w:val="auto"/>
        </w:rPr>
      </w:pPr>
      <w:r>
        <w:rPr>
          <w:rFonts w:ascii="Arial" w:cs="Arial" w:eastAsia="Arial" w:hAnsi="Arial"/>
          <w:sz w:val="16"/>
          <w:szCs w:val="16"/>
          <w:color w:val="auto"/>
        </w:rPr>
        <w:t>International Financial Data Services L.P. (“IFDS L.P.”) is a 50% owned joint venture with State Street Corporation with operations in Canada, Ireland and Luxembourg. Pershing Road Development Company, LLC (“PRDC LLC”) is a 50% owned special-purpose entity formed to develop and lease office space to the U.S. government. Broadway Square Partners, LLP (“Broadway Square Partners”) is a 50% owned real estate joint venture formed to purchase, finance and engage in leasing activities with us and unrelated third parties. The difference between the amount at which each of IFDS L.P., PRDC LLC and Broadway Square Partners is carried and the amount of underlying equity in net assets, will be amortized as a component of equity in earnings of unconsolidated affiliates over approximately 15 years, 28 years and 40 years, respectively. In December 2021, we obtained a 9.8% ownership interest in Orbit Private Investments L.P. (“Orbit Private Investments”), which is a provider of shareholder and pension technology, for $86.0 million.</w:t>
      </w:r>
    </w:p>
    <w:p>
      <w:pPr>
        <w:spacing w:after="0" w:line="163" w:lineRule="exact"/>
        <w:rPr>
          <w:sz w:val="20"/>
          <w:szCs w:val="20"/>
          <w:color w:val="auto"/>
        </w:rPr>
      </w:pPr>
    </w:p>
    <w:p>
      <w:pPr>
        <w:ind w:right="400" w:firstLine="569"/>
        <w:spacing w:after="0" w:line="261" w:lineRule="auto"/>
        <w:rPr>
          <w:sz w:val="20"/>
          <w:szCs w:val="20"/>
          <w:color w:val="auto"/>
        </w:rPr>
      </w:pPr>
      <w:r>
        <w:rPr>
          <w:rFonts w:ascii="Arial" w:cs="Arial" w:eastAsia="Arial" w:hAnsi="Arial"/>
          <w:sz w:val="18"/>
          <w:szCs w:val="18"/>
          <w:color w:val="auto"/>
        </w:rPr>
        <w:t>Equity in earnings of other unconsolidated affiliates for the year ended December 31, 2021 includes a $23.4 million gain from the Kansas City Downtown Hotel Group, L.L.C unconsolidated affiliate as a result of a sale of its primary asset.</w:t>
      </w:r>
    </w:p>
    <w:p>
      <w:pPr>
        <w:spacing w:after="0" w:line="171" w:lineRule="exact"/>
        <w:rPr>
          <w:sz w:val="20"/>
          <w:szCs w:val="20"/>
          <w:color w:val="auto"/>
        </w:rPr>
      </w:pPr>
    </w:p>
    <w:p>
      <w:pPr>
        <w:ind w:right="520" w:firstLine="569"/>
        <w:spacing w:after="0" w:line="261" w:lineRule="auto"/>
        <w:rPr>
          <w:sz w:val="20"/>
          <w:szCs w:val="20"/>
          <w:color w:val="auto"/>
        </w:rPr>
      </w:pPr>
      <w:r>
        <w:rPr>
          <w:rFonts w:ascii="Arial" w:cs="Arial" w:eastAsia="Arial" w:hAnsi="Arial"/>
          <w:sz w:val="18"/>
          <w:szCs w:val="18"/>
          <w:color w:val="auto"/>
        </w:rPr>
        <w:t>The following tables summarize related party transactions and balances outstanding with our related parties, which is primarily comprised of transactions with our unconsolidated affiliates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 from related parties</w:t>
            </w:r>
          </w:p>
        </w:tc>
        <w:tc>
          <w:tcPr>
            <w:tcW w:w="1120" w:type="dxa"/>
            <w:vAlign w:val="bottom"/>
            <w:shd w:val="clear" w:color="auto" w:fill="CFF0FC"/>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Amounts paid to related parties (1)</w:t>
            </w:r>
          </w:p>
        </w:tc>
        <w:tc>
          <w:tcPr>
            <w:tcW w:w="1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Distributions received from related parties</w:t>
            </w:r>
          </w:p>
        </w:tc>
        <w:tc>
          <w:tcPr>
            <w:tcW w:w="1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Pr>
          <w:p>
            <w:pPr>
              <w:jc w:val="right"/>
              <w:ind w:right="616"/>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6"/>
        </w:trPr>
        <w:tc>
          <w:tcPr>
            <w:tcW w:w="5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tbl>
      <w:tblPr>
        <w:tblLayout w:type="fixed"/>
        <w:tblInd w:w="58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advances/loans to related parties</w:t>
            </w:r>
          </w:p>
        </w:tc>
        <w:tc>
          <w:tcPr>
            <w:tcW w:w="1380" w:type="dxa"/>
            <w:vAlign w:val="bottom"/>
            <w:shd w:val="clear" w:color="auto" w:fill="CFF0FC"/>
          </w:tcPr>
          <w:p>
            <w:pPr>
              <w:jc w:val="right"/>
              <w:ind w:right="1195"/>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Trade accounts receivable from related parties</w:t>
            </w: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3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r>
      <w:tr>
        <w:trPr>
          <w:trHeight w:val="236"/>
        </w:trPr>
        <w:tc>
          <w:tcPr>
            <w:tcW w:w="58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amounts receivable from related parties</w:t>
            </w:r>
          </w:p>
        </w:tc>
        <w:tc>
          <w:tcPr>
            <w:tcW w:w="1380" w:type="dxa"/>
            <w:vAlign w:val="bottom"/>
            <w:tcBorders>
              <w:bottom w:val="single" w:sz="8" w:color="auto"/>
            </w:tcBorders>
            <w:shd w:val="clear" w:color="auto" w:fill="CFF0FC"/>
          </w:tcPr>
          <w:p>
            <w:pPr>
              <w:jc w:val="right"/>
              <w:ind w:right="1195"/>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15.1</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0"/>
        </w:trPr>
        <w:tc>
          <w:tcPr>
            <w:tcW w:w="5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Amounts payable to related parties</w:t>
            </w:r>
          </w:p>
        </w:tc>
        <w:tc>
          <w:tcPr>
            <w:tcW w:w="1380" w:type="dxa"/>
            <w:vAlign w:val="bottom"/>
            <w:shd w:val="clear" w:color="auto" w:fill="CFF0FC"/>
          </w:tcPr>
          <w:p>
            <w:pPr>
              <w:jc w:val="right"/>
              <w:ind w:right="11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-316230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amounts paid to our unconsolidated joint ventures related to loans, advancements and other capital investments.</w:t>
      </w:r>
    </w:p>
    <w:p>
      <w:pPr>
        <w:spacing w:after="0" w:line="212" w:lineRule="exact"/>
        <w:rPr>
          <w:sz w:val="20"/>
          <w:szCs w:val="20"/>
          <w:color w:val="auto"/>
        </w:rPr>
      </w:pPr>
    </w:p>
    <w:p>
      <w:pPr>
        <w:ind w:right="120" w:firstLine="569"/>
        <w:spacing w:after="0"/>
        <w:rPr>
          <w:sz w:val="20"/>
          <w:szCs w:val="20"/>
          <w:color w:val="auto"/>
        </w:rPr>
      </w:pPr>
      <w:r>
        <w:rPr>
          <w:rFonts w:ascii="Arial" w:cs="Arial" w:eastAsia="Arial" w:hAnsi="Arial"/>
          <w:sz w:val="18"/>
          <w:szCs w:val="18"/>
          <w:color w:val="auto"/>
        </w:rPr>
        <w:t>Operating revenues from related parties were primarily generated from services provided for the use of our proprietary software and software development services. Payments to our related parties include transfer agency subcontracting services performed by IFDS L.P. and payments to other unconsolidated real estate joint ventures for rent and other facility costs. For the year ended December 31, 2021, distributions received include $10.0 million return on investment and $20.0 million return of investment related to our investments in IFDS L.P. and the Kanas City Downtown Hotel Group, L.L.C., respectively. For the year ended December 31, 2020, distributions received include $8.0 million return on investment related to our investments in IFDS L.P. and PRDC LLC.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March 1, 2021, we purchased all of the outstanding stock of Capita Life &amp; Pensions Services (Ireland) Limited (“Capita”) and certain related businesses. The acquisition of Capita resulted in a net receipt of approximately $7.1 million in cash, as the amount of cash acquired exceeded the cash paid consideration. Capita provides business process management, technology and consultancy services to the international life and pensions sector. Services offered include financial and back-office administration, claims management, actuarial and financial reporting, investment administration, product and IT development and business transformation services.</w:t>
      </w:r>
    </w:p>
    <w:p>
      <w:pPr>
        <w:spacing w:after="0" w:line="189"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net assets and results of operations of Capita have been included in our Consolidated Financial Statements from March 1, 2021. The excess of fair values of the net assets over the purchase price was recorded as a gain on bargain purchase within other income, net on the Consolidated Statement of Comprehensive Income.</w:t>
      </w:r>
    </w:p>
    <w:p>
      <w:pPr>
        <w:spacing w:after="0" w:line="18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Consolidated Statements of Comprehensive Income for the year ended December 31, 2021 includes $34.8 million in revenues from Capita’s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Innovest</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On May 15, 2020, we purchased all of the outstanding stock of Innovest Systems, Inc. (“Innovest”) for approximately $99.1 million in cash, net of cash acquired, and 0.4 million shares of our common stock, plus the costs of effecting the transaction and the assumption of certain liabilities. Innovest provides web-based technology systems for trust accounting and unique asset servicing. Innovest's product InnoTrust offers solutions to support the accounting and reporting needs of trust companies, banks, private banks, retirement plan administrators and others.</w:t>
      </w:r>
    </w:p>
    <w:p>
      <w:pPr>
        <w:spacing w:after="0" w:line="17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net assets and results of operations of Innovest have been included in our Consolidated Financial Statements from May 15, 2020. The fair value of intangible assets, consisting of customer relationships, completed technology and trade names, was determined using the income approach. Specifically, the relief-from-royalty method was utilized for the completed technology and trade names and the excess earnings method was utilized for the customer relationships. The intangible assets are amortized each year based on the ratio that the projected cash flows for the intangible assets bear to the total of current and expected future cash flows for the intangible assets. The customer relationships, trade names and completed technology are expected to be amortized over approximately 14, 13 and seven years, respectively, in each case the estimated lives of the assets. The remainder of the purchase price was allocated to goodwill and is primarily tax deductible.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Captricity</w:t>
      </w:r>
    </w:p>
    <w:p>
      <w:pPr>
        <w:spacing w:after="0" w:line="104"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On March 24, 2020, we purchased all of the outstanding stock of Captricity, Inc. (“Captricity”) for approximately $15.1 million in cash, net of cash acquired, plus the costs of effecting the transaction and the assumption of certain liabilities. Captricity’s data transformation platform, Vidado, provides an enterprise-grade cloud-based machine learning solution that enables fast, scalable and highly accurate extraction of handwritten and machine-printed data from paper documents.</w:t>
      </w:r>
    </w:p>
    <w:p>
      <w:pPr>
        <w:spacing w:after="0" w:line="188"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The net assets and results of operations of Captricity have been included in our Consolidated Financial Statements from March 24, 2020. The fair value of intangible assets, consisting of customer relationships and completed technology, was determined using the income approach. Specifically, the relief from-royalty method was utilized for the completed technology and the excess earnings method was utilized for the customer relationships. The intangible assets are amortized each year based on the ratio that the projected cash flows for the intangible assets bear to the total of current and expected future cash flows for the intangible assets. The customer relationships and the completed technology are expected to be amortized over approximately 15 and seven years, respectively, in each case the estimated lives of the assets. The fair value of deferred revenue was determined using the market approach. The remainder of the purchase price was allocated to goodwill and is not tax deductible.</w:t>
      </w:r>
    </w:p>
    <w:p>
      <w:pPr>
        <w:spacing w:after="0" w:line="1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following summarizes the preliminary allocation of the purchase price for the 2021 acquisition of Capita. The amounts pending finalization include accrued liabilities and the evaluation of taxes. The following also summarizes the final allocation of the purchase price for the 2020 acquisitions of Innovest and Captricity (in millions):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Arial" w:cs="Arial" w:eastAsia="Arial" w:hAnsi="Arial"/>
                <w:sz w:val="14"/>
                <w:szCs w:val="14"/>
                <w:b w:val="1"/>
                <w:bCs w:val="1"/>
                <w:color w:val="auto"/>
              </w:rPr>
              <w:t>Capita</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Innovest</w:t>
            </w:r>
          </w:p>
        </w:tc>
        <w:tc>
          <w:tcPr>
            <w:tcW w:w="1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Captricity</w:t>
            </w: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020" w:type="dxa"/>
            <w:vAlign w:val="bottom"/>
            <w:tcBorders>
              <w:top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10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Acquired client relationships and contracts</w:t>
            </w:r>
          </w:p>
        </w:tc>
        <w:tc>
          <w:tcPr>
            <w:tcW w:w="1020" w:type="dxa"/>
            <w:vAlign w:val="bottom"/>
          </w:tcPr>
          <w:p>
            <w:pPr>
              <w:spacing w:after="0"/>
              <w:rPr>
                <w:sz w:val="17"/>
                <w:szCs w:val="17"/>
                <w:color w:val="auto"/>
              </w:rPr>
            </w:pPr>
          </w:p>
        </w:tc>
        <w:tc>
          <w:tcPr>
            <w:tcW w:w="68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Completed technology</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1020" w:type="dxa"/>
            <w:vAlign w:val="bottom"/>
          </w:tcPr>
          <w:p>
            <w:pPr>
              <w:spacing w:after="0"/>
              <w:rPr>
                <w:sz w:val="17"/>
                <w:szCs w:val="17"/>
                <w:color w:val="auto"/>
              </w:rPr>
            </w:pPr>
          </w:p>
        </w:tc>
        <w:tc>
          <w:tcPr>
            <w:tcW w:w="68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7"/>
                <w:szCs w:val="17"/>
                <w:color w:val="auto"/>
              </w:rPr>
            </w:pPr>
          </w:p>
        </w:tc>
        <w:tc>
          <w:tcPr>
            <w:tcW w:w="6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(3.5 )</w:t>
            </w: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(1.1 )</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(0.4 )</w:t>
            </w: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(1.1 )</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(0.3 )</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7"/>
                <w:szCs w:val="17"/>
                <w:color w:val="auto"/>
              </w:rPr>
            </w:pPr>
          </w:p>
        </w:tc>
        <w:tc>
          <w:tcPr>
            <w:tcW w:w="6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(3.1 )</w:t>
            </w: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(1.4 )</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(2.1 )</w:t>
            </w: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 assumed</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(7.7 )</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(4.9 )</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(0.7 )</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Gain on bargain purchase</w:t>
            </w:r>
          </w:p>
        </w:tc>
        <w:tc>
          <w:tcPr>
            <w:tcW w:w="1020" w:type="dxa"/>
            <w:vAlign w:val="bottom"/>
          </w:tcPr>
          <w:p>
            <w:pPr>
              <w:spacing w:after="0"/>
              <w:rPr>
                <w:sz w:val="17"/>
                <w:szCs w:val="17"/>
                <w:color w:val="auto"/>
              </w:rPr>
            </w:pPr>
          </w:p>
        </w:tc>
        <w:tc>
          <w:tcPr>
            <w:tcW w:w="6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(2.6 )</w:t>
            </w:r>
          </w:p>
        </w:tc>
        <w:tc>
          <w:tcPr>
            <w:tcW w:w="2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582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Consideration paid, net of cash acquired</w:t>
            </w:r>
          </w:p>
        </w:tc>
        <w:tc>
          <w:tcPr>
            <w:tcW w:w="1020" w:type="dxa"/>
            <w:vAlign w:val="bottom"/>
            <w:tcBorders>
              <w:top w:val="single" w:sz="8" w:color="auto"/>
              <w:bottom w:val="single" w:sz="8" w:color="auto"/>
            </w:tcBorders>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w:t>
            </w:r>
          </w:p>
        </w:tc>
        <w:tc>
          <w:tcPr>
            <w:tcW w:w="280" w:type="dxa"/>
            <w:vAlign w:val="bottom"/>
            <w:tcBorders>
              <w:bottom w:val="single" w:sz="8" w:color="CFF0FC"/>
            </w:tcBorders>
            <w:shd w:val="clear" w:color="auto" w:fill="CFF0FC"/>
          </w:tcPr>
          <w:p>
            <w:pPr>
              <w:jc w:val="right"/>
              <w:ind w:right="141"/>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we acquired Millennium Consulting Services in December 2020 for approximately $2.7 million.</w:t>
      </w:r>
    </w:p>
    <w:p>
      <w:pPr>
        <w:spacing w:after="0" w:line="212"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goodwill associated with each of the transactions above is a result of expected synergies from combining the operations of businesses acquired with us and intangible assets that do not qualify for separate recognition, such as an assembled workforce.</w:t>
      </w:r>
    </w:p>
    <w:p>
      <w:pPr>
        <w:spacing w:after="0" w:line="171"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We recorded severance expense related to personnel reductions in connection with the continued integration efforts associated with the acquisitions of DST, Eze, Intralinks and Algorithmics. The amount of severance expense recognized in our Consolidated Statements of Comprehensive Income was as follows (in millions):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5"/>
          </w:tcPr>
          <w:p>
            <w:pPr>
              <w:ind w:left="144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Classification</w:t>
            </w:r>
          </w:p>
        </w:tc>
        <w:tc>
          <w:tcPr>
            <w:tcW w:w="460" w:type="dxa"/>
            <w:vAlign w:val="bottom"/>
          </w:tcPr>
          <w:p>
            <w:pPr>
              <w:spacing w:after="0"/>
              <w:rPr>
                <w:sz w:val="17"/>
                <w:szCs w:val="17"/>
                <w:color w:val="auto"/>
              </w:rPr>
            </w:pPr>
          </w:p>
        </w:tc>
        <w:tc>
          <w:tcPr>
            <w:tcW w:w="1540" w:type="dxa"/>
            <w:vAlign w:val="bottom"/>
          </w:tcPr>
          <w:p>
            <w:pPr>
              <w:jc w:val="right"/>
              <w:ind w:right="78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Cost of software-enabled services</w:t>
            </w:r>
          </w:p>
        </w:tc>
        <w:tc>
          <w:tcPr>
            <w:tcW w:w="18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w:t>
            </w:r>
          </w:p>
        </w:tc>
        <w:tc>
          <w:tcPr>
            <w:tcW w:w="24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22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FF0FC"/>
            </w:tcBorders>
            <w:gridSpan w:val="2"/>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cost of revenues</w:t>
            </w:r>
          </w:p>
        </w:tc>
        <w:tc>
          <w:tcPr>
            <w:tcW w:w="46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12.5</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22.1</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line="183" w:lineRule="exact"/>
              <w:rPr>
                <w:sz w:val="20"/>
                <w:szCs w:val="20"/>
                <w:color w:val="auto"/>
              </w:rPr>
            </w:pPr>
            <w:r>
              <w:rPr>
                <w:rFonts w:ascii="Arial" w:cs="Arial" w:eastAsia="Arial" w:hAnsi="Arial"/>
                <w:sz w:val="16"/>
                <w:szCs w:val="16"/>
                <w:color w:val="auto"/>
              </w:rPr>
              <w:t>Selling and marketing</w:t>
            </w:r>
          </w:p>
        </w:tc>
        <w:tc>
          <w:tcPr>
            <w:tcW w:w="460" w:type="dxa"/>
            <w:vAlign w:val="bottom"/>
          </w:tcPr>
          <w:p>
            <w:pPr>
              <w:spacing w:after="0"/>
              <w:rPr>
                <w:sz w:val="15"/>
                <w:szCs w:val="15"/>
                <w:color w:val="auto"/>
              </w:rPr>
            </w:pP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FF0FC"/>
            </w:tcBorders>
            <w:gridSpan w:val="2"/>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w:t>
            </w: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line="169" w:lineRule="exact"/>
              <w:rPr>
                <w:sz w:val="20"/>
                <w:szCs w:val="20"/>
                <w:color w:val="auto"/>
              </w:rPr>
            </w:pPr>
            <w:r>
              <w:rPr>
                <w:rFonts w:ascii="Arial" w:cs="Arial" w:eastAsia="Arial" w:hAnsi="Arial"/>
                <w:sz w:val="16"/>
                <w:szCs w:val="16"/>
                <w:color w:val="auto"/>
              </w:rPr>
              <w:t>Total severance expense</w:t>
            </w:r>
          </w:p>
        </w:tc>
        <w:tc>
          <w:tcPr>
            <w:tcW w:w="460" w:type="dxa"/>
            <w:vAlign w:val="bottom"/>
          </w:tcPr>
          <w:p>
            <w:pPr>
              <w:jc w:val="right"/>
              <w:ind w:right="304"/>
              <w:spacing w:after="0" w:line="169" w:lineRule="exact"/>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line="169" w:lineRule="exact"/>
              <w:rPr>
                <w:sz w:val="20"/>
                <w:szCs w:val="20"/>
                <w:color w:val="auto"/>
              </w:rPr>
            </w:pPr>
            <w:r>
              <w:rPr>
                <w:rFonts w:ascii="Arial" w:cs="Arial" w:eastAsia="Arial" w:hAnsi="Arial"/>
                <w:sz w:val="16"/>
                <w:szCs w:val="16"/>
                <w:color w:val="auto"/>
              </w:rPr>
              <w:t>21.9</w:t>
            </w:r>
          </w:p>
        </w:tc>
        <w:tc>
          <w:tcPr>
            <w:tcW w:w="640" w:type="dxa"/>
            <w:vAlign w:val="bottom"/>
            <w:gridSpan w:val="2"/>
          </w:tcPr>
          <w:p>
            <w:pPr>
              <w:jc w:val="right"/>
              <w:ind w:right="244"/>
              <w:spacing w:after="0" w:line="169"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32.1</w:t>
            </w:r>
          </w:p>
        </w:tc>
        <w:tc>
          <w:tcPr>
            <w:tcW w:w="220" w:type="dxa"/>
            <w:vAlign w:val="bottom"/>
          </w:tcPr>
          <w:p>
            <w:pPr>
              <w:spacing w:after="0"/>
              <w:rPr>
                <w:sz w:val="15"/>
                <w:szCs w:val="15"/>
                <w:color w:val="auto"/>
              </w:rPr>
            </w:pPr>
          </w:p>
        </w:tc>
        <w:tc>
          <w:tcPr>
            <w:tcW w:w="400" w:type="dxa"/>
            <w:vAlign w:val="bottom"/>
          </w:tcPr>
          <w:p>
            <w:pPr>
              <w:jc w:val="right"/>
              <w:ind w:right="21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15.9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-647700</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-647700</wp:posOffset>
            </wp:positionV>
            <wp:extent cx="342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-647700</wp:posOffset>
            </wp:positionV>
            <wp:extent cx="3429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-150495</wp:posOffset>
            </wp:positionV>
            <wp:extent cx="431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-150495</wp:posOffset>
            </wp:positionV>
            <wp:extent cx="3429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-150495</wp:posOffset>
            </wp:positionV>
            <wp:extent cx="3429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following unaudited pro forma condensed consolidated results of operations are provided for illustrative purposes only and assume that the acquisition of Capita occurred on January 1, 2020 and the acquisitions of Innovest and Captricity occurred on January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2" w:name="page73"/>
    <w:bookmarkEnd w:id="72"/>
    <w:p>
      <w:pPr>
        <w:spacing w:after="0" w:line="248" w:lineRule="auto"/>
        <w:rPr>
          <w:sz w:val="20"/>
          <w:szCs w:val="20"/>
          <w:color w:val="auto"/>
        </w:rPr>
      </w:pPr>
      <w:r>
        <w:rPr>
          <w:rFonts w:ascii="Arial" w:cs="Arial" w:eastAsia="Arial" w:hAnsi="Arial"/>
          <w:sz w:val="18"/>
          <w:szCs w:val="18"/>
          <w:color w:val="auto"/>
        </w:rPr>
        <w:t>1, 2019,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5,058.4</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4,727.6</w:t>
            </w:r>
          </w:p>
        </w:tc>
        <w:tc>
          <w:tcPr>
            <w:tcW w:w="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4,700.5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450.4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Note 9—Goodwill and Intangible Assets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40" w:type="dxa"/>
            <w:vAlign w:val="bottom"/>
            <w:gridSpan w:val="4"/>
          </w:tcPr>
          <w:p>
            <w:pPr>
              <w:ind w:left="520"/>
              <w:spacing w:after="0"/>
              <w:rPr>
                <w:sz w:val="20"/>
                <w:szCs w:val="20"/>
                <w:color w:val="auto"/>
              </w:rPr>
            </w:pPr>
            <w:r>
              <w:rPr>
                <w:rFonts w:ascii="Arial" w:cs="Arial" w:eastAsia="Arial" w:hAnsi="Arial"/>
                <w:sz w:val="18"/>
                <w:szCs w:val="18"/>
                <w:color w:val="auto"/>
              </w:rPr>
              <w:t>The following table summarizes changes in goodwill (in millions):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7,959.9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3"/>
          </w:tcPr>
          <w:p>
            <w:pPr>
              <w:ind w:left="100"/>
              <w:spacing w:after="0"/>
              <w:rPr>
                <w:sz w:val="20"/>
                <w:szCs w:val="20"/>
                <w:color w:val="auto"/>
              </w:rPr>
            </w:pPr>
            <w:r>
              <w:rPr>
                <w:rFonts w:ascii="Arial" w:cs="Arial" w:eastAsia="Arial" w:hAnsi="Arial"/>
                <w:sz w:val="18"/>
                <w:szCs w:val="18"/>
                <w:color w:val="auto"/>
              </w:rPr>
              <w:t>2020 acquisitions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Adjustments to prior acquisitions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60" w:type="dxa"/>
            <w:vAlign w:val="bottom"/>
            <w:gridSpan w:val="3"/>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8,078.7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3"/>
          </w:tcPr>
          <w:p>
            <w:pPr>
              <w:ind w:left="100"/>
              <w:spacing w:after="0"/>
              <w:rPr>
                <w:sz w:val="20"/>
                <w:szCs w:val="20"/>
                <w:color w:val="auto"/>
              </w:rPr>
            </w:pPr>
            <w:r>
              <w:rPr>
                <w:rFonts w:ascii="Arial" w:cs="Arial" w:eastAsia="Arial" w:hAnsi="Arial"/>
                <w:sz w:val="18"/>
                <w:szCs w:val="18"/>
                <w:color w:val="auto"/>
              </w:rPr>
              <w:t>Adjustments to prior acquisitions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5"/>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60" w:type="dxa"/>
            <w:vAlign w:val="bottom"/>
            <w:tcBorders>
              <w:top w:val="single" w:sz="8" w:color="CFF0FC"/>
            </w:tcBorders>
            <w:gridSpan w:val="3"/>
          </w:tcPr>
          <w:p>
            <w:pPr>
              <w:spacing w:after="0" w:line="182" w:lineRule="exact"/>
              <w:rPr>
                <w:sz w:val="20"/>
                <w:szCs w:val="20"/>
                <w:color w:val="auto"/>
              </w:rPr>
            </w:pPr>
            <w:r>
              <w:rPr>
                <w:rFonts w:ascii="Arial" w:cs="Arial" w:eastAsia="Arial" w:hAnsi="Arial"/>
                <w:sz w:val="18"/>
                <w:szCs w:val="18"/>
                <w:color w:val="auto"/>
              </w:rPr>
              <w:t>Balance at December 31, 2021</w:t>
            </w:r>
          </w:p>
        </w:tc>
        <w:tc>
          <w:tcPr>
            <w:tcW w:w="28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4"/>
          </w:tcPr>
          <w:p>
            <w:pPr>
              <w:jc w:val="right"/>
              <w:ind w:right="20"/>
              <w:spacing w:after="0" w:line="182" w:lineRule="exact"/>
              <w:rPr>
                <w:sz w:val="20"/>
                <w:szCs w:val="20"/>
                <w:color w:val="auto"/>
              </w:rPr>
            </w:pPr>
            <w:r>
              <w:rPr>
                <w:rFonts w:ascii="Arial" w:cs="Arial" w:eastAsia="Arial" w:hAnsi="Arial"/>
                <w:sz w:val="18"/>
                <w:szCs w:val="18"/>
                <w:color w:val="auto"/>
              </w:rPr>
              <w:t>8,045.5</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4"/>
            <w:vMerge w:val="restart"/>
          </w:tcPr>
          <w:p>
            <w:pPr>
              <w:ind w:left="520"/>
              <w:spacing w:after="0"/>
              <w:rPr>
                <w:sz w:val="20"/>
                <w:szCs w:val="20"/>
                <w:color w:val="auto"/>
              </w:rPr>
            </w:pPr>
            <w:r>
              <w:rPr>
                <w:rFonts w:ascii="Arial" w:cs="Arial" w:eastAsia="Arial" w:hAnsi="Arial"/>
                <w:sz w:val="18"/>
                <w:szCs w:val="18"/>
                <w:color w:val="auto"/>
                <w:w w:val="94"/>
              </w:rPr>
              <w:t>A summary of the components of intangible assets is as follows (in millions):</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FF0FC"/>
          </w:tcPr>
          <w:p>
            <w:pPr>
              <w:jc w:val="right"/>
              <w:ind w:right="98"/>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4,490.0</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4,728.7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Completed technology</w:t>
            </w:r>
          </w:p>
        </w:tc>
        <w:tc>
          <w:tcPr>
            <w:tcW w:w="280" w:type="dxa"/>
            <w:vAlign w:val="bottom"/>
          </w:tcPr>
          <w:p>
            <w:pPr>
              <w:spacing w:after="0"/>
              <w:rPr>
                <w:sz w:val="17"/>
                <w:szCs w:val="17"/>
                <w:color w:val="auto"/>
              </w:rPr>
            </w:pPr>
          </w:p>
        </w:tc>
        <w:tc>
          <w:tcPr>
            <w:tcW w:w="12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1,381.6</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1,438.1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names</w:t>
            </w:r>
          </w:p>
        </w:tc>
        <w:tc>
          <w:tcPr>
            <w:tcW w:w="28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241.6</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262.0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w w:val="91"/>
              </w:rPr>
              <w:t>43.0</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6,156.2</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4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6,474.6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17"/>
                <w:szCs w:val="17"/>
                <w:color w:val="auto"/>
              </w:rPr>
            </w:pPr>
          </w:p>
        </w:tc>
        <w:tc>
          <w:tcPr>
            <w:tcW w:w="146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(2,749.0 )</w:t>
            </w:r>
          </w:p>
        </w:tc>
        <w:tc>
          <w:tcPr>
            <w:tcW w:w="740" w:type="dxa"/>
            <w:vAlign w:val="bottom"/>
          </w:tcPr>
          <w:p>
            <w:pPr>
              <w:spacing w:after="0"/>
              <w:rPr>
                <w:sz w:val="17"/>
                <w:szCs w:val="17"/>
                <w:color w:val="auto"/>
              </w:rPr>
            </w:pPr>
          </w:p>
        </w:tc>
        <w:tc>
          <w:tcPr>
            <w:tcW w:w="8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(2,572.9 )</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4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intangible assets, net</w:t>
            </w:r>
          </w:p>
        </w:tc>
        <w:tc>
          <w:tcPr>
            <w:tcW w:w="280" w:type="dxa"/>
            <w:vAlign w:val="bottom"/>
            <w:tcBorders>
              <w:top w:val="single" w:sz="8" w:color="auto"/>
              <w:bottom w:val="single" w:sz="8" w:color="auto"/>
            </w:tcBorders>
            <w:shd w:val="clear" w:color="auto" w:fill="CFF0FC"/>
          </w:tcPr>
          <w:p>
            <w:pPr>
              <w:jc w:val="right"/>
              <w:ind w:right="98"/>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shd w:val="clear" w:color="auto" w:fill="CFF0FC"/>
          </w:tcPr>
          <w:p>
            <w:pPr>
              <w:jc w:val="right"/>
              <w:spacing w:after="0" w:line="182" w:lineRule="exact"/>
              <w:rPr>
                <w:sz w:val="20"/>
                <w:szCs w:val="20"/>
                <w:color w:val="auto"/>
              </w:rPr>
            </w:pPr>
            <w:r>
              <w:rPr>
                <w:rFonts w:ascii="Arial" w:cs="Arial" w:eastAsia="Arial" w:hAnsi="Arial"/>
                <w:sz w:val="18"/>
                <w:szCs w:val="18"/>
                <w:color w:val="auto"/>
              </w:rPr>
              <w:t>3,407.2</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ind w:right="536"/>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4"/>
            <w:shd w:val="clear" w:color="auto" w:fill="CFF0FC"/>
          </w:tcPr>
          <w:p>
            <w:pPr>
              <w:jc w:val="right"/>
              <w:spacing w:after="0" w:line="182" w:lineRule="exact"/>
              <w:rPr>
                <w:sz w:val="20"/>
                <w:szCs w:val="20"/>
                <w:color w:val="auto"/>
              </w:rPr>
            </w:pPr>
            <w:r>
              <w:rPr>
                <w:rFonts w:ascii="Arial" w:cs="Arial" w:eastAsia="Arial" w:hAnsi="Arial"/>
                <w:sz w:val="18"/>
                <w:szCs w:val="18"/>
                <w:color w:val="auto"/>
              </w:rPr>
              <w:t>3,901.7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-1736725</wp:posOffset>
            </wp:positionV>
            <wp:extent cx="514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Total estimated amortization expense, related to intangible assets, for each of the next five years and thereafter, as of December 31, 2021, is expected to approximate (in millions):</w:t>
      </w:r>
    </w:p>
    <w:p>
      <w:pPr>
        <w:spacing w:after="0" w:line="173" w:lineRule="exact"/>
        <w:rPr>
          <w:sz w:val="20"/>
          <w:szCs w:val="20"/>
          <w:color w:val="auto"/>
        </w:rPr>
      </w:pPr>
    </w:p>
    <w:tbl>
      <w:tblPr>
        <w:tblLayout w:type="fixed"/>
        <w:tblInd w:w="2260" w:type="dxa"/>
        <w:tblCellMar>
          <w:top w:w="0" w:type="dxa"/>
          <w:left w:w="0" w:type="dxa"/>
          <w:bottom w:w="0" w:type="dxa"/>
          <w:right w:w="0" w:type="dxa"/>
        </w:tblCellMar>
      </w:tblPr>
      <w:tr>
        <w:trPr>
          <w:trHeight w:val="168"/>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16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36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492.1</w:t>
            </w:r>
          </w:p>
        </w:tc>
        <w:tc>
          <w:tcPr>
            <w:tcW w:w="60" w:type="dxa"/>
            <w:vAlign w:val="bottom"/>
            <w:shd w:val="clear" w:color="auto" w:fill="CFF0FC"/>
          </w:tcPr>
          <w:p>
            <w:pPr>
              <w:spacing w:after="0"/>
              <w:rPr>
                <w:sz w:val="17"/>
                <w:szCs w:val="17"/>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458.0</w:t>
            </w:r>
          </w:p>
        </w:tc>
        <w:tc>
          <w:tcPr>
            <w:tcW w:w="60" w:type="dxa"/>
            <w:vAlign w:val="bottom"/>
          </w:tcPr>
          <w:p>
            <w:pPr>
              <w:spacing w:after="0"/>
              <w:rPr>
                <w:sz w:val="17"/>
                <w:szCs w:val="17"/>
                <w:color w:val="auto"/>
              </w:rPr>
            </w:pPr>
          </w:p>
        </w:tc>
      </w:tr>
      <w:tr>
        <w:trPr>
          <w:trHeight w:val="203"/>
        </w:trPr>
        <w:tc>
          <w:tcPr>
            <w:tcW w:w="1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6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432.1</w:t>
            </w:r>
          </w:p>
        </w:tc>
        <w:tc>
          <w:tcPr>
            <w:tcW w:w="60" w:type="dxa"/>
            <w:vAlign w:val="bottom"/>
            <w:shd w:val="clear" w:color="auto" w:fill="CFF0FC"/>
          </w:tcPr>
          <w:p>
            <w:pPr>
              <w:spacing w:after="0"/>
              <w:rPr>
                <w:sz w:val="17"/>
                <w:szCs w:val="17"/>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394.8</w:t>
            </w:r>
          </w:p>
        </w:tc>
        <w:tc>
          <w:tcPr>
            <w:tcW w:w="60" w:type="dxa"/>
            <w:vAlign w:val="bottom"/>
          </w:tcPr>
          <w:p>
            <w:pPr>
              <w:spacing w:after="0"/>
              <w:rPr>
                <w:sz w:val="17"/>
                <w:szCs w:val="17"/>
                <w:color w:val="auto"/>
              </w:rPr>
            </w:pPr>
          </w:p>
        </w:tc>
      </w:tr>
      <w:tr>
        <w:trPr>
          <w:trHeight w:val="203"/>
        </w:trPr>
        <w:tc>
          <w:tcPr>
            <w:tcW w:w="1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6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362.2</w:t>
            </w:r>
          </w:p>
        </w:tc>
        <w:tc>
          <w:tcPr>
            <w:tcW w:w="60" w:type="dxa"/>
            <w:vAlign w:val="bottom"/>
            <w:shd w:val="clear" w:color="auto" w:fill="CFF0FC"/>
          </w:tcPr>
          <w:p>
            <w:pPr>
              <w:spacing w:after="0"/>
              <w:rPr>
                <w:sz w:val="17"/>
                <w:szCs w:val="17"/>
                <w:color w:val="auto"/>
              </w:rPr>
            </w:pPr>
          </w:p>
        </w:tc>
      </w:tr>
      <w:tr>
        <w:trPr>
          <w:trHeight w:val="202"/>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1,268.0</w:t>
            </w:r>
          </w:p>
        </w:tc>
        <w:tc>
          <w:tcPr>
            <w:tcW w:w="60" w:type="dxa"/>
            <w:vAlign w:val="bottom"/>
          </w:tcPr>
          <w:p>
            <w:pPr>
              <w:spacing w:after="0"/>
              <w:rPr>
                <w:sz w:val="17"/>
                <w:szCs w:val="17"/>
                <w:color w:val="auto"/>
              </w:rPr>
            </w:pPr>
          </w:p>
        </w:tc>
      </w:tr>
      <w:tr>
        <w:trPr>
          <w:trHeight w:val="236"/>
        </w:trPr>
        <w:tc>
          <w:tcPr>
            <w:tcW w:w="530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3,407.2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Amortization expense associated with customer relationships, completed technology and other amortizable intangible assets was $526.5 million, $580.1 million and $633.0 million for the years ended December 31, 2021, 2020 and 2019, respectively.</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Net capitalized software costs of $156.6 million and $132.7 million are included in the December 31, 2021 and 2020 Consolidated Balance Sheets, respectively, under “Intangible and other assets”.</w:t>
      </w:r>
    </w:p>
    <w:p>
      <w:pPr>
        <w:spacing w:after="0" w:line="17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Amortization expense related to capitalized software development costs was $59.8 million, $39.5 million and $19.0 million for each of the years ended December 31, 2021, 2020, and 2019, respectively.</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4" w:right="4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10—Debt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and 2020, debt consisted of the following (in millions):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w w:val="98"/>
              </w:rPr>
              <w:t>Senior secured credit facilities, weighted-average interest</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3,974.5</w:t>
            </w:r>
          </w:p>
        </w:tc>
        <w:tc>
          <w:tcPr>
            <w:tcW w:w="240" w:type="dxa"/>
            <w:vAlign w:val="bottom"/>
            <w:shd w:val="clear" w:color="auto" w:fill="CFF0FC"/>
          </w:tcPr>
          <w:p>
            <w:pPr>
              <w:spacing w:after="0"/>
              <w:rPr>
                <w:sz w:val="13"/>
                <w:szCs w:val="13"/>
                <w:color w:val="auto"/>
              </w:rPr>
            </w:pPr>
          </w:p>
        </w:tc>
        <w:tc>
          <w:tcPr>
            <w:tcW w:w="40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rate of 1.85% and 1.90%, respectively</w:t>
            </w:r>
          </w:p>
        </w:tc>
        <w:tc>
          <w:tcPr>
            <w:tcW w:w="36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line="189" w:lineRule="exact"/>
              <w:rPr>
                <w:sz w:val="20"/>
                <w:szCs w:val="20"/>
                <w:color w:val="auto"/>
              </w:rPr>
            </w:pPr>
            <w:r>
              <w:rPr>
                <w:rFonts w:ascii="Arial" w:cs="Arial" w:eastAsia="Arial" w:hAnsi="Arial"/>
                <w:sz w:val="18"/>
                <w:szCs w:val="18"/>
                <w:color w:val="auto"/>
              </w:rPr>
              <w:t>5.5% senior notes due 2027</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Other indebtedness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3"/>
              </w:rPr>
              <w:t>Unamortized original issue discount and debt issuance costs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(30.8 )</w:t>
            </w:r>
          </w:p>
        </w:tc>
        <w:tc>
          <w:tcPr>
            <w:tcW w:w="4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196"/>
        </w:trPr>
        <w:tc>
          <w:tcPr>
            <w:tcW w:w="45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5,948.9</w:t>
            </w: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6,442.4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47.4</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00"/>
              <w:spacing w:after="0" w:line="182" w:lineRule="exact"/>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5,901.5</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6,388.5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-424815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-424815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-159385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04" w:lineRule="exact"/>
        <w:rPr>
          <w:sz w:val="20"/>
          <w:szCs w:val="20"/>
          <w:color w:val="auto"/>
        </w:rPr>
      </w:pPr>
    </w:p>
    <w:p>
      <w:pPr>
        <w:ind w:right="20" w:firstLine="584"/>
        <w:spacing w:after="0" w:line="270" w:lineRule="auto"/>
        <w:rPr>
          <w:sz w:val="20"/>
          <w:szCs w:val="20"/>
          <w:color w:val="auto"/>
        </w:rPr>
      </w:pPr>
      <w:r>
        <w:rPr>
          <w:rFonts w:ascii="Arial" w:cs="Arial" w:eastAsia="Arial" w:hAnsi="Arial"/>
          <w:sz w:val="17"/>
          <w:szCs w:val="17"/>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w:t>
      </w:r>
    </w:p>
    <w:p>
      <w:pPr>
        <w:spacing w:after="0" w:line="164" w:lineRule="exact"/>
        <w:rPr>
          <w:sz w:val="20"/>
          <w:szCs w:val="20"/>
          <w:color w:val="auto"/>
        </w:rPr>
      </w:pPr>
    </w:p>
    <w:p>
      <w:pPr>
        <w:ind w:firstLine="578"/>
        <w:spacing w:after="0" w:line="239" w:lineRule="auto"/>
        <w:rPr>
          <w:sz w:val="20"/>
          <w:szCs w:val="20"/>
          <w:color w:val="auto"/>
        </w:rPr>
      </w:pPr>
      <w:r>
        <w:rPr>
          <w:rFonts w:ascii="Arial" w:cs="Arial" w:eastAsia="Arial" w:hAnsi="Arial"/>
          <w:sz w:val="18"/>
          <w:szCs w:val="18"/>
          <w:color w:val="auto"/>
        </w:rPr>
        <w:t>The Credit Agreement includes four tranches of term loans (together the “Initial Term Loans”): (i) a $518.6 million term B-1 facility for SS&amp;C (“Term B-1 Loan”), which was repaid in full in 2019; (ii) a $5.9 million term B-2 facility for SS&amp;C SARL (“Term B-2 Loan”), which was repaid in full in 2018; (iii) a $5.046 billion term B-3 facility, which matures on April 16, 2025 for SS&amp;C (“Term B-3 Loan”); and (iv) a $1.8 billion term B-4 facility, which matures on April 16, 2025 for SS&amp;C SARL (“Term B-4 Loan”). In addition, the Credit Agreement has a revolving credit facility with a five-year term available for borrowings by SS&amp;C with $250.0 million in available commitments (“Revolving Credit Facility”), of which $247.3 million was available as of December 31, 2021. The Revolving Credit Facility also contains a $25 million letter of credit sub-facility, of which $2.7 million was utilized as of December 31, 2021.</w:t>
      </w:r>
    </w:p>
    <w:p>
      <w:pPr>
        <w:spacing w:after="0" w:line="191" w:lineRule="exact"/>
        <w:rPr>
          <w:sz w:val="20"/>
          <w:szCs w:val="20"/>
          <w:color w:val="auto"/>
        </w:rPr>
      </w:pPr>
    </w:p>
    <w:p>
      <w:pPr>
        <w:ind w:right="20" w:firstLine="578"/>
        <w:spacing w:after="0" w:line="248" w:lineRule="auto"/>
        <w:rPr>
          <w:sz w:val="20"/>
          <w:szCs w:val="20"/>
          <w:color w:val="auto"/>
        </w:rPr>
      </w:pPr>
      <w:r>
        <w:rPr>
          <w:rFonts w:ascii="Arial" w:cs="Arial" w:eastAsia="Arial" w:hAnsi="Arial"/>
          <w:sz w:val="18"/>
          <w:szCs w:val="18"/>
          <w:color w:val="auto"/>
        </w:rPr>
        <w:t>The majority of the initial proceeds from the Initial Term Loans was used to satisfy the consideration required to fund the acquisition of DST, repay certain amounts outstanding under our then-existing credit agreement (“Prior Credit Agreement”), repay all of the outstanding principal amount of our 5.875% Senior Notes due 2023 (“Prior Senior Notes”) and to repay acquired debt associated with DST.</w:t>
      </w:r>
    </w:p>
    <w:p>
      <w:pPr>
        <w:spacing w:after="0" w:line="182" w:lineRule="exact"/>
        <w:rPr>
          <w:sz w:val="20"/>
          <w:szCs w:val="20"/>
          <w:color w:val="auto"/>
        </w:rPr>
      </w:pPr>
    </w:p>
    <w:p>
      <w:pPr>
        <w:ind w:right="80" w:firstLine="578"/>
        <w:spacing w:after="0" w:line="294" w:lineRule="auto"/>
        <w:rPr>
          <w:sz w:val="20"/>
          <w:szCs w:val="20"/>
          <w:color w:val="auto"/>
        </w:rPr>
      </w:pPr>
      <w:r>
        <w:rPr>
          <w:rFonts w:ascii="Arial" w:cs="Arial" w:eastAsia="Arial" w:hAnsi="Arial"/>
          <w:sz w:val="16"/>
          <w:szCs w:val="16"/>
          <w:color w:val="auto"/>
        </w:rPr>
        <w:t>On October 1, 2018, in connection with our acquisition of Eze, we entered into an amendment (the “Commitment Increase Amendment”) to the Credit Agreement. Pursuant to the Commitment Increase Amendment, a new $875.0 million senior secured term B-5 facility (“Term B-5 Loan”, and together with the Initial Term Loans, the “Term Loans”) was made available to us, the proceeds of which were used to finance, in part, the Eze acquisition.</w:t>
      </w:r>
    </w:p>
    <w:p>
      <w:pPr>
        <w:spacing w:after="0" w:line="147" w:lineRule="exact"/>
        <w:rPr>
          <w:sz w:val="20"/>
          <w:szCs w:val="20"/>
          <w:color w:val="auto"/>
        </w:rPr>
      </w:pPr>
    </w:p>
    <w:p>
      <w:pPr>
        <w:ind w:right="180" w:firstLine="578"/>
        <w:spacing w:after="0" w:line="243" w:lineRule="auto"/>
        <w:rPr>
          <w:sz w:val="20"/>
          <w:szCs w:val="20"/>
          <w:color w:val="auto"/>
        </w:rPr>
      </w:pPr>
      <w:r>
        <w:rPr>
          <w:rFonts w:ascii="Arial" w:cs="Arial" w:eastAsia="Arial" w:hAnsi="Arial"/>
          <w:sz w:val="18"/>
          <w:szCs w:val="18"/>
          <w:color w:val="auto"/>
        </w:rPr>
        <w:t>On November 16, 2018, in connection with our acquisition of Intralinks, we entered into an amendment (the “Incremental Term Loan Amendment”) to the Credit Agreement. Pursuant to the Incremental Term Loan Amendment, an additional $1.0 billion senior secured term B-5 facility (“Term B-5 Loan”, and together with the Initial Term Loans, the “Term Loans”) was made available to us, the proceeds of which were used to finance, in part, the Intralinks acquisition.</w:t>
      </w:r>
    </w:p>
    <w:p>
      <w:pPr>
        <w:spacing w:after="0" w:line="188" w:lineRule="exact"/>
        <w:rPr>
          <w:sz w:val="20"/>
          <w:szCs w:val="20"/>
          <w:color w:val="auto"/>
        </w:rPr>
      </w:pPr>
    </w:p>
    <w:p>
      <w:pPr>
        <w:jc w:val="both"/>
        <w:ind w:right="240" w:firstLine="578"/>
        <w:spacing w:after="0" w:line="248" w:lineRule="auto"/>
        <w:rPr>
          <w:sz w:val="20"/>
          <w:szCs w:val="20"/>
          <w:color w:val="auto"/>
        </w:rPr>
      </w:pPr>
      <w:r>
        <w:rPr>
          <w:rFonts w:ascii="Arial" w:cs="Arial" w:eastAsia="Arial" w:hAnsi="Arial"/>
          <w:sz w:val="18"/>
          <w:szCs w:val="18"/>
          <w:color w:val="auto"/>
        </w:rPr>
        <w:t>On January 31, 2020, we entered into an amendment (the “Pricing Amendment”) to our Credit Agreement dated April 16, 2018. Pursuant to the Pricing Amendment, the interest rate margin applicable to Term Loan B was reduced from LIBOR plus 2.25% to LIBOR plus 1.75%. No changes were made to the financial covenants, outstanding principal amounts or the scheduled amortization.</w:t>
      </w:r>
    </w:p>
    <w:p>
      <w:pPr>
        <w:spacing w:after="0" w:line="182" w:lineRule="exact"/>
        <w:rPr>
          <w:sz w:val="20"/>
          <w:szCs w:val="20"/>
          <w:color w:val="auto"/>
        </w:rPr>
      </w:pPr>
    </w:p>
    <w:p>
      <w:pPr>
        <w:ind w:right="120" w:firstLine="578"/>
        <w:spacing w:after="0" w:line="262" w:lineRule="auto"/>
        <w:rPr>
          <w:sz w:val="20"/>
          <w:szCs w:val="20"/>
          <w:color w:val="auto"/>
        </w:rPr>
      </w:pPr>
      <w:r>
        <w:rPr>
          <w:rFonts w:ascii="Arial" w:cs="Arial" w:eastAsia="Arial" w:hAnsi="Arial"/>
          <w:sz w:val="17"/>
          <w:szCs w:val="17"/>
          <w:color w:val="auto"/>
        </w:rPr>
        <w:t xml:space="preserve">The Pricing Amendment was evaluated in accordance with FASB ASC 470-50, </w:t>
      </w:r>
      <w:r>
        <w:rPr>
          <w:rFonts w:ascii="Arial" w:cs="Arial" w:eastAsia="Arial" w:hAnsi="Arial"/>
          <w:sz w:val="17"/>
          <w:szCs w:val="17"/>
          <w:i w:val="1"/>
          <w:iCs w:val="1"/>
          <w:color w:val="auto"/>
        </w:rPr>
        <w:t>Debt-Modifications and Extinguishments</w:t>
      </w:r>
      <w:r>
        <w:rPr>
          <w:rFonts w:ascii="Arial" w:cs="Arial" w:eastAsia="Arial" w:hAnsi="Arial"/>
          <w:sz w:val="17"/>
          <w:szCs w:val="17"/>
          <w:color w:val="auto"/>
        </w:rPr>
        <w:t>, for modification and extinguishment accounting. We accounted for the debt re-pricing as a debt modification with respect to amounts that remained obligations of the same lender in the syndicate with minor changes in cash flows and as a debt extinguishment with respect to amounts that were obligations of lenders that exited the syndicate or remained in the syndicate but experienced a change in cash flows of greater than 10%.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ind w:firstLine="578"/>
        <w:spacing w:after="0" w:line="238" w:lineRule="auto"/>
        <w:rPr>
          <w:sz w:val="20"/>
          <w:szCs w:val="20"/>
          <w:color w:val="auto"/>
        </w:rPr>
      </w:pPr>
      <w:r>
        <w:rPr>
          <w:rFonts w:ascii="Arial" w:cs="Arial" w:eastAsia="Arial" w:hAnsi="Arial"/>
          <w:sz w:val="18"/>
          <w:szCs w:val="18"/>
          <w:color w:val="auto"/>
        </w:rPr>
        <w:t>The Term Loans and Revolving Credit Facility bear interest, at the election of the borrowers, at the base rate (as defined in the Credit Agreement) or LIBOR, plus the applicable interest rate margin for the credit facility. Amounts drawn on the Revolving Credit Facility initially bear interest at either LIBOR plus 2.25% or at the base rate plus 1.25%, and is subject to a step-down at any time our consolidated net secured leverage ratio is less than 4.75 times, to 2.00% in the case of the LIBOR margin and 1.00% in the case of the base rate margin. The Term B-3 Loan, Term B-4 Loan and Term B-5 Loan initially incurred interest at either LIBOR plus 2.50% or at the base rate plus 1.50%, and were subject to a step-down at any time our consolidated net secured leverage ratio was less than 4.75 times, to 2.25% in the case of the LIBOR margin and 1.25% in the case of the base rate margin. In January 2020, we entered into the Pricing Amendment, whereby the interest rate margin applicable to the term loans was reduced from LIBOR plus 2.25% to LIBOR plus 1.75%.</w:t>
      </w:r>
    </w:p>
    <w:p>
      <w:pPr>
        <w:spacing w:after="0" w:line="194" w:lineRule="exact"/>
        <w:rPr>
          <w:sz w:val="20"/>
          <w:szCs w:val="20"/>
          <w:color w:val="auto"/>
        </w:rPr>
      </w:pPr>
    </w:p>
    <w:p>
      <w:pPr>
        <w:jc w:val="both"/>
        <w:ind w:right="340" w:firstLine="578"/>
        <w:spacing w:after="0" w:line="248" w:lineRule="auto"/>
        <w:rPr>
          <w:sz w:val="20"/>
          <w:szCs w:val="20"/>
          <w:color w:val="auto"/>
        </w:rPr>
      </w:pPr>
      <w:r>
        <w:rPr>
          <w:rFonts w:ascii="Arial" w:cs="Arial" w:eastAsia="Arial" w:hAnsi="Arial"/>
          <w:sz w:val="18"/>
          <w:szCs w:val="18"/>
          <w:color w:val="auto"/>
        </w:rPr>
        <w:t>As of December 31, 2021, there was $1,244.3 million in principal amount outstanding under the Term B-3 Loan, $1,010.0 million in principal amount outstanding under the Term B-4 Loan and $1,720.2 million in principal amount outstanding under the Term B-5 Loan. There were no principal amounts outstanding under the Term B-1 Loan and Term B-2 Loan.</w:t>
      </w:r>
    </w:p>
    <w:p>
      <w:pPr>
        <w:spacing w:after="0" w:line="182" w:lineRule="exact"/>
        <w:rPr>
          <w:sz w:val="20"/>
          <w:szCs w:val="20"/>
          <w:color w:val="auto"/>
        </w:rPr>
      </w:pPr>
    </w:p>
    <w:p>
      <w:pPr>
        <w:ind w:right="20" w:firstLine="578"/>
        <w:spacing w:after="0" w:line="324" w:lineRule="auto"/>
        <w:rPr>
          <w:sz w:val="20"/>
          <w:szCs w:val="20"/>
          <w:color w:val="auto"/>
        </w:rPr>
      </w:pPr>
      <w:r>
        <w:rPr>
          <w:rFonts w:ascii="Arial" w:cs="Arial" w:eastAsia="Arial" w:hAnsi="Arial"/>
          <w:sz w:val="16"/>
          <w:szCs w:val="16"/>
          <w:color w:val="auto"/>
        </w:rPr>
        <w:t>SS&amp;C and SS&amp;C SARL are required to make scheduled quarterly payments of 0.25% of the original principal amount of the Term B-3 Loan, Term B-4 Loan and Term B-5 Loan, with the balance due and payable on April 16, 2025. No amortization is required under the Revolving Credit Facility.</w:t>
      </w:r>
    </w:p>
    <w:p>
      <w:pPr>
        <w:spacing w:after="0" w:line="124" w:lineRule="exact"/>
        <w:rPr>
          <w:sz w:val="20"/>
          <w:szCs w:val="20"/>
          <w:color w:val="auto"/>
        </w:rPr>
      </w:pPr>
    </w:p>
    <w:p>
      <w:pPr>
        <w:ind w:right="200" w:firstLine="578"/>
        <w:spacing w:after="0" w:line="248" w:lineRule="auto"/>
        <w:rPr>
          <w:sz w:val="20"/>
          <w:szCs w:val="20"/>
          <w:color w:val="auto"/>
        </w:rPr>
      </w:pPr>
      <w:r>
        <w:rPr>
          <w:rFonts w:ascii="Arial" w:cs="Arial" w:eastAsia="Arial" w:hAnsi="Arial"/>
          <w:sz w:val="18"/>
          <w:szCs w:val="18"/>
          <w:color w:val="auto"/>
        </w:rPr>
        <w:t>SS&amp;C’s and SS&amp;C SARL’s obligations under the Term Loans are guaranteed by (i) our existing and future U.S. wholly-owned restricted subsidiaries, in the case of the Term B-3 Loan, Term B-5 Loan and the Revolving Credit Facility and (ii) our existing and future wholly-owned restricted subsidiaries, in the case of the Term B-4 Loan.</w:t>
      </w:r>
    </w:p>
    <w:p>
      <w:pPr>
        <w:spacing w:after="0" w:line="182" w:lineRule="exact"/>
        <w:rPr>
          <w:sz w:val="20"/>
          <w:szCs w:val="20"/>
          <w:color w:val="auto"/>
        </w:rPr>
      </w:pPr>
    </w:p>
    <w:p>
      <w:pPr>
        <w:ind w:right="120" w:firstLine="578"/>
        <w:spacing w:after="0" w:line="257" w:lineRule="auto"/>
        <w:rPr>
          <w:sz w:val="20"/>
          <w:szCs w:val="20"/>
          <w:color w:val="auto"/>
        </w:rPr>
      </w:pPr>
      <w:r>
        <w:rPr>
          <w:rFonts w:ascii="Arial" w:cs="Arial" w:eastAsia="Arial" w:hAnsi="Arial"/>
          <w:sz w:val="17"/>
          <w:szCs w:val="17"/>
          <w:color w:val="auto"/>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75" w:lineRule="exact"/>
        <w:rPr>
          <w:sz w:val="20"/>
          <w:szCs w:val="20"/>
          <w:color w:val="auto"/>
        </w:rPr>
      </w:pPr>
    </w:p>
    <w:p>
      <w:pPr>
        <w:ind w:right="140" w:firstLine="578"/>
        <w:spacing w:after="0" w:line="253" w:lineRule="auto"/>
        <w:rPr>
          <w:sz w:val="20"/>
          <w:szCs w:val="20"/>
          <w:color w:val="auto"/>
        </w:rPr>
      </w:pPr>
      <w:r>
        <w:rPr>
          <w:rFonts w:ascii="Arial" w:cs="Arial" w:eastAsia="Arial" w:hAnsi="Arial"/>
          <w:sz w:val="17"/>
          <w:szCs w:val="17"/>
          <w:color w:val="auto"/>
        </w:rPr>
        <w:t>The Credit Agreement includes negative covenants that, among other things and subject to certain thresholds and exceptions, limit our ability and the ability of its restricted subsidiaries to incur debt or liens, make investments (including in the form of loans and acquisitions), merge, liquidate or dissolve, sell property and assets, including capital stock of its subsidiaries, pay dividends on its capital stock or redeem, repurchase or retire its capital stock, alter the business we conduct, amend, prepay, redeem or purchase subordinated debt, or engage in transactions with its affiliates. The Credit Agreement also contains customary representations and warranties, affirmative covenants and events of default, subject to customary thresholds and exceptions. In addition, the Credit 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04" w:lineRule="exact"/>
        <w:rPr>
          <w:sz w:val="20"/>
          <w:szCs w:val="20"/>
          <w:color w:val="auto"/>
        </w:rPr>
      </w:pPr>
    </w:p>
    <w:p>
      <w:pPr>
        <w:ind w:right="300" w:firstLine="584"/>
        <w:spacing w:after="0" w:line="259" w:lineRule="auto"/>
        <w:rPr>
          <w:sz w:val="20"/>
          <w:szCs w:val="20"/>
          <w:color w:val="auto"/>
        </w:rPr>
      </w:pPr>
      <w:r>
        <w:rPr>
          <w:rFonts w:ascii="Arial" w:cs="Arial" w:eastAsia="Arial" w:hAnsi="Arial"/>
          <w:sz w:val="17"/>
          <w:szCs w:val="17"/>
          <w:color w:val="auto"/>
        </w:rPr>
        <w:t>On March 28, 2019, we issued $2.0 billion aggregate principal amount of 5.5% Senior Notes due 2027 (“Senior Notes”), the proceeds of which were used to repay a portion of the outstanding Term B-3 Loan under our Credit Agreement. The Senior Notes are guaranteed, jointly and severally, by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4" w:lineRule="exact"/>
        <w:rPr>
          <w:sz w:val="20"/>
          <w:szCs w:val="20"/>
          <w:color w:val="auto"/>
        </w:rPr>
      </w:pPr>
    </w:p>
    <w:p>
      <w:pPr>
        <w:ind w:right="60" w:firstLine="578"/>
        <w:spacing w:after="0"/>
        <w:rPr>
          <w:sz w:val="20"/>
          <w:szCs w:val="20"/>
          <w:color w:val="auto"/>
        </w:rPr>
      </w:pPr>
      <w:r>
        <w:rPr>
          <w:rFonts w:ascii="Arial" w:cs="Arial" w:eastAsia="Arial" w:hAnsi="Arial"/>
          <w:sz w:val="18"/>
          <w:szCs w:val="18"/>
          <w:color w:val="auto"/>
        </w:rPr>
        <w:t>At any time prior to March 30, 2022, we may, at our option, redeem the Senior Notes, in whole or in part, at a price equal to 100% of the principal amount of the Senior Notes, plus an applicable “make-whole” premium, plus accrued and unpaid interest to the redemption date. In addition, at any time on or before March 30, 2022, we may to redeem up to 40% of the aggregate principal amount of the Senior Notes at a redemption price equal to 105.5% of the principal amount thereof, plus accrued and unpaid interest to the redemption date, with the net proceeds of one or more equity offerings. We may also, from time to time in our sole discretion, purchase, redeem, or retire our existing senior notes, through tender offers, in privately negotiated or open market transactions, or otherwise.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5" w:name="page76"/>
    <w:bookmarkEnd w:id="75"/>
    <w:p>
      <w:pPr>
        <w:ind w:right="220" w:firstLine="584"/>
        <w:spacing w:after="0" w:line="291" w:lineRule="auto"/>
        <w:rPr>
          <w:sz w:val="20"/>
          <w:szCs w:val="20"/>
          <w:color w:val="auto"/>
        </w:rPr>
      </w:pPr>
      <w:r>
        <w:rPr>
          <w:rFonts w:ascii="Arial" w:cs="Arial" w:eastAsia="Arial" w:hAnsi="Arial"/>
          <w:sz w:val="17"/>
          <w:szCs w:val="17"/>
          <w:color w:val="auto"/>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p>
      <w:pPr>
        <w:spacing w:after="0" w:line="44" w:lineRule="exact"/>
        <w:rPr>
          <w:sz w:val="20"/>
          <w:szCs w:val="20"/>
          <w:color w:val="auto"/>
        </w:rPr>
      </w:pPr>
    </w:p>
    <w:tbl>
      <w:tblPr>
        <w:tblLayout w:type="fixed"/>
        <w:tblInd w:w="2260" w:type="dxa"/>
        <w:tblCellMar>
          <w:top w:w="0" w:type="dxa"/>
          <w:left w:w="0" w:type="dxa"/>
          <w:bottom w:w="0" w:type="dxa"/>
          <w:right w:w="0" w:type="dxa"/>
        </w:tblCellMar>
      </w:tblPr>
      <w:tr>
        <w:trPr>
          <w:trHeight w:val="17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Redemption Year</w:t>
            </w:r>
          </w:p>
        </w:tc>
        <w:tc>
          <w:tcPr>
            <w:tcW w:w="2740" w:type="dxa"/>
            <w:vAlign w:val="bottom"/>
            <w:gridSpan w:val="2"/>
          </w:tcPr>
          <w:p>
            <w:pPr>
              <w:jc w:val="right"/>
              <w:ind w:right="1270"/>
              <w:spacing w:after="0"/>
              <w:rPr>
                <w:sz w:val="20"/>
                <w:szCs w:val="20"/>
                <w:color w:val="auto"/>
              </w:rPr>
            </w:pPr>
            <w:r>
              <w:rPr>
                <w:rFonts w:ascii="Arial" w:cs="Arial" w:eastAsia="Arial" w:hAnsi="Arial"/>
                <w:sz w:val="14"/>
                <w:szCs w:val="14"/>
                <w:b w:val="1"/>
                <w:bCs w:val="1"/>
                <w:color w:val="auto"/>
              </w:rPr>
              <w:t>Price</w:t>
            </w:r>
          </w:p>
        </w:tc>
      </w:tr>
      <w:tr>
        <w:trPr>
          <w:trHeight w:val="203"/>
        </w:trPr>
        <w:tc>
          <w:tcPr>
            <w:tcW w:w="1080" w:type="dxa"/>
            <w:vAlign w:val="bottom"/>
            <w:tcBorders>
              <w:top w:val="single" w:sz="8" w:color="auto"/>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2022</w:t>
            </w:r>
          </w:p>
        </w:tc>
        <w:tc>
          <w:tcPr>
            <w:tcW w:w="2920" w:type="dxa"/>
            <w:vAlign w:val="bottom"/>
            <w:shd w:val="clear" w:color="auto" w:fill="CFF0FC"/>
          </w:tcPr>
          <w:p>
            <w:pPr>
              <w:spacing w:after="0"/>
              <w:rPr>
                <w:sz w:val="17"/>
                <w:szCs w:val="17"/>
                <w:color w:val="auto"/>
              </w:rPr>
            </w:pPr>
          </w:p>
        </w:tc>
        <w:tc>
          <w:tcPr>
            <w:tcW w:w="2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104.125</w:t>
            </w:r>
          </w:p>
        </w:tc>
        <w:tc>
          <w:tcPr>
            <w:tcW w:w="2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7"/>
              </w:rPr>
              <w:t>%</w:t>
            </w:r>
          </w:p>
        </w:tc>
      </w:tr>
      <w:tr>
        <w:trPr>
          <w:trHeight w:val="203"/>
        </w:trPr>
        <w:tc>
          <w:tcPr>
            <w:tcW w:w="108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2920" w:type="dxa"/>
            <w:vAlign w:val="bottom"/>
          </w:tcPr>
          <w:p>
            <w:pPr>
              <w:spacing w:after="0"/>
              <w:rPr>
                <w:sz w:val="17"/>
                <w:szCs w:val="17"/>
                <w:color w:val="auto"/>
              </w:rPr>
            </w:pPr>
          </w:p>
        </w:tc>
        <w:tc>
          <w:tcPr>
            <w:tcW w:w="27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102.750 %</w:t>
            </w:r>
          </w:p>
        </w:tc>
      </w:tr>
      <w:tr>
        <w:trPr>
          <w:trHeight w:val="203"/>
        </w:trPr>
        <w:tc>
          <w:tcPr>
            <w:tcW w:w="10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2024</w:t>
            </w:r>
          </w:p>
        </w:tc>
        <w:tc>
          <w:tcPr>
            <w:tcW w:w="2920" w:type="dxa"/>
            <w:vAlign w:val="bottom"/>
            <w:shd w:val="clear" w:color="auto" w:fill="CFF0FC"/>
          </w:tcPr>
          <w:p>
            <w:pPr>
              <w:spacing w:after="0"/>
              <w:rPr>
                <w:sz w:val="17"/>
                <w:szCs w:val="17"/>
                <w:color w:val="auto"/>
              </w:rPr>
            </w:pPr>
          </w:p>
        </w:tc>
        <w:tc>
          <w:tcPr>
            <w:tcW w:w="27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101.375 %</w:t>
            </w:r>
          </w:p>
        </w:tc>
      </w:tr>
      <w:tr>
        <w:trPr>
          <w:trHeight w:val="230"/>
        </w:trPr>
        <w:tc>
          <w:tcPr>
            <w:tcW w:w="4000" w:type="dxa"/>
            <w:vAlign w:val="bottom"/>
            <w:gridSpan w:val="2"/>
          </w:tcPr>
          <w:p>
            <w:pPr>
              <w:ind w:left="100"/>
              <w:spacing w:after="0"/>
              <w:rPr>
                <w:sz w:val="20"/>
                <w:szCs w:val="20"/>
                <w:color w:val="auto"/>
              </w:rPr>
            </w:pPr>
            <w:r>
              <w:rPr>
                <w:rFonts w:ascii="Arial" w:cs="Arial" w:eastAsia="Arial" w:hAnsi="Arial"/>
                <w:sz w:val="18"/>
                <w:szCs w:val="18"/>
                <w:color w:val="auto"/>
              </w:rPr>
              <w:t>2025 and thereafter</w:t>
            </w:r>
          </w:p>
        </w:tc>
        <w:tc>
          <w:tcPr>
            <w:tcW w:w="2740" w:type="dxa"/>
            <w:vAlign w:val="bottom"/>
            <w:gridSpan w:val="2"/>
          </w:tcPr>
          <w:p>
            <w:pPr>
              <w:jc w:val="right"/>
              <w:ind w:right="30"/>
              <w:spacing w:after="0"/>
              <w:rPr>
                <w:sz w:val="20"/>
                <w:szCs w:val="20"/>
                <w:color w:val="auto"/>
              </w:rPr>
            </w:pPr>
            <w:r>
              <w:rPr>
                <w:rFonts w:ascii="Arial" w:cs="Arial" w:eastAsia="Arial" w:hAnsi="Arial"/>
                <w:sz w:val="18"/>
                <w:szCs w:val="18"/>
                <w:color w:val="auto"/>
              </w:rPr>
              <w:t>100.000 %</w:t>
            </w:r>
          </w:p>
        </w:tc>
      </w:tr>
    </w:tbl>
    <w:p>
      <w:pPr>
        <w:spacing w:after="0" w:line="174" w:lineRule="exact"/>
        <w:rPr>
          <w:sz w:val="20"/>
          <w:szCs w:val="20"/>
          <w:color w:val="auto"/>
        </w:rPr>
      </w:pPr>
    </w:p>
    <w:p>
      <w:pPr>
        <w:ind w:right="60" w:firstLine="578"/>
        <w:spacing w:after="0" w:line="243"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Credit Agreement that leads to an acceleration of those amounts due also results in a default under the indenture governing the Senior Notes.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2021, there was $2.0 billion in principal amount of Senior Notes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 and Loss on Extinguishment of Debt</w:t>
      </w:r>
    </w:p>
    <w:p>
      <w:pPr>
        <w:spacing w:after="0" w:line="104" w:lineRule="exact"/>
        <w:rPr>
          <w:sz w:val="20"/>
          <w:szCs w:val="20"/>
          <w:color w:val="auto"/>
        </w:rPr>
      </w:pPr>
    </w:p>
    <w:p>
      <w:pPr>
        <w:ind w:firstLine="584"/>
        <w:spacing w:after="0" w:line="272" w:lineRule="auto"/>
        <w:rPr>
          <w:sz w:val="20"/>
          <w:szCs w:val="20"/>
          <w:color w:val="auto"/>
        </w:rPr>
      </w:pPr>
      <w:r>
        <w:rPr>
          <w:rFonts w:ascii="Arial" w:cs="Arial" w:eastAsia="Arial" w:hAnsi="Arial"/>
          <w:sz w:val="16"/>
          <w:szCs w:val="16"/>
          <w:color w:val="auto"/>
        </w:rPr>
        <w:t xml:space="preserve">We accounted for the Pricing Amendment as a debt modification with respect to amounts that were obligations of lenders that exited the syndicate or remained in the syndicate but experienced a change in cash flows of greater than 10% in accordance with FASB Accounting Standards Codification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which resulted in $2.8 million loss on extinguishment of debt in 2020. The loss on extinguishment of debt includes the write-off of a portion of the unamortized capitalized financing fees related to our Credit Agreement for amounts accounted for as a debt extinguishment, as well as new financing fees for amounts accounted for as a debt modification. During 2020, we purchased $184.8 million principal amount of our Term Loans in privately negotiated transactions, which resulted in a gain on extinguishment of debt of $0.8 million. We made additional principal payments prior to their scheduled maturity in 2021 and 2020, which resulted in a loss on extinguishment of debt of $10.9 million and $2.2 million, respectively, due to the write-off of a portion of the unamortized capitalized financing fees and the unamortized original issue discount.</w:t>
      </w:r>
    </w:p>
    <w:p>
      <w:pPr>
        <w:spacing w:after="0" w:line="168" w:lineRule="exact"/>
        <w:rPr>
          <w:sz w:val="20"/>
          <w:szCs w:val="20"/>
          <w:color w:val="auto"/>
        </w:rPr>
      </w:pPr>
    </w:p>
    <w:p>
      <w:pPr>
        <w:ind w:firstLine="578"/>
        <w:spacing w:after="0" w:line="257" w:lineRule="auto"/>
        <w:rPr>
          <w:sz w:val="20"/>
          <w:szCs w:val="20"/>
          <w:color w:val="auto"/>
        </w:rPr>
      </w:pPr>
      <w:r>
        <w:rPr>
          <w:rFonts w:ascii="Arial" w:cs="Arial" w:eastAsia="Arial" w:hAnsi="Arial"/>
          <w:sz w:val="17"/>
          <w:szCs w:val="17"/>
          <w:color w:val="auto"/>
        </w:rPr>
        <w:t xml:space="preserve">We capitalized an aggregate of $6.1 million in financing costs in connection with the issuance of our Senior Notes and repayment of a portion of our Term B-3 Loan in 2019, in accordance with FASB Accounting Standards Codification 470-50, </w:t>
      </w:r>
      <w:r>
        <w:rPr>
          <w:rFonts w:ascii="Arial" w:cs="Arial" w:eastAsia="Arial" w:hAnsi="Arial"/>
          <w:sz w:val="17"/>
          <w:szCs w:val="17"/>
          <w:i w:val="1"/>
          <w:iCs w:val="1"/>
          <w:color w:val="auto"/>
        </w:rPr>
        <w:t>Debt-Modifications and Extinguishments</w:t>
      </w:r>
      <w:r>
        <w:rPr>
          <w:rFonts w:ascii="Arial" w:cs="Arial" w:eastAsia="Arial" w:hAnsi="Arial"/>
          <w:sz w:val="17"/>
          <w:szCs w:val="17"/>
          <w:color w:val="auto"/>
        </w:rPr>
        <w:t>. We accounted for the refinancing as a debt modification with respect to amounts that remained obligations of the same lender with minor changes in cash flows and as a debt extinguishment with respect to amounts that were obligations of lenders which remained but experienced a change in cash flows of greater than 10%. Other costs of $7.1 million, incurred in connection with the issuance of the Senior Notes, which did not meet the criteria for capitalization, are included in loss on extinguishment of debt in the Consolidated Statements of Comprehensive Income during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59"/>
              <w:spacing w:after="0" w:line="160"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7"/>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39"/>
              <w:spacing w:after="0" w:line="160"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7"/>
              <w:spacing w:after="0" w:line="160"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56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Senior secured credit facilities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3,974.5</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3,943.5</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4,485.9</w:t>
            </w:r>
          </w:p>
        </w:tc>
        <w:tc>
          <w:tcPr>
            <w:tcW w:w="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5.5% senior notes due 2027</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2,094.8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indebtedness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78"/>
        <w:spacing w:after="0" w:line="324"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Future Maturities of Debt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annual maturities of long-term debt during the next five years and thereafter are as follows (in millions):</w:t>
      </w: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w:t>
            </w:r>
          </w:p>
        </w:tc>
        <w:tc>
          <w:tcPr>
            <w:tcW w:w="6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6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6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3,845.5</w:t>
            </w:r>
          </w:p>
        </w:tc>
        <w:tc>
          <w:tcPr>
            <w:tcW w:w="6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6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5,979.7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2020, we used 0.4 million shares from treasury stock in connection with our acquisition of Innovest.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In 2021, we paid a quarterly cash dividend of $0.16 per share of common stock in March, June and September and $0.20 per share of common stock in December, totaling $174.0 million. In 2020, we paid a quarterly cash dividend of $0.125 per share of common stock in March and June and $0.14 per share of common stock in September and December, totaling $136.1 million. In 2019, we paid a quarterly cash dividend of $0.10 per share of common stock in March, June and September and $0.125 per share of common stock in December, totaling $107.7 million</w:t>
      </w:r>
      <w:r>
        <w:rPr>
          <w:rFonts w:ascii="Arial" w:cs="Arial" w:eastAsia="Arial" w:hAnsi="Arial"/>
          <w:sz w:val="15"/>
          <w:szCs w:val="15"/>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August 2019, our Board of Directors authorized the repurchase of up to $500 million of our common stock on the open market or in privately negotiated transactions. In July 2020, our Board of Directors authorized the renewal and increase of our stock repurchase program, which enabled us to repurchase up to $750 million in the aggregate of our outstanding common stock. In July 2021, our Board of Directors authorized a stock repurchase program, which enables us to repurchase up to $1 billion in the aggregate of our outstanding common stock. Our authority to repurchase shares under the program will continue until the one-year anniversary of the Board’s authorization, unless earlier terminated by the Board. During 2021, 2020 and 2019, we repurchased 6.8 million, 3.7 million and 1.3 million shares of common stock for approximately $487.9 million, $227.7 million and $60.3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(Loss) Income</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(income) balances, net of tax consist of the following (in millions):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9"/>
              </w:rPr>
              <w:t>Interest Rate</w:t>
            </w:r>
          </w:p>
        </w:tc>
        <w:tc>
          <w:tcPr>
            <w:tcW w:w="80" w:type="dxa"/>
            <w:vAlign w:val="bottom"/>
          </w:tcPr>
          <w:p>
            <w:pPr>
              <w:spacing w:after="0"/>
              <w:rPr>
                <w:sz w:val="14"/>
                <w:szCs w:val="14"/>
                <w:color w:val="auto"/>
              </w:rPr>
            </w:pPr>
          </w:p>
        </w:tc>
        <w:tc>
          <w:tcPr>
            <w:tcW w:w="14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2"/>
              </w:rPr>
              <w:t>Foreign Currency</w:t>
            </w:r>
          </w:p>
        </w:tc>
        <w:tc>
          <w:tcPr>
            <w:tcW w:w="8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1"/>
              </w:rPr>
              <w:t>Defined Benefit</w:t>
            </w:r>
          </w:p>
        </w:tc>
        <w:tc>
          <w:tcPr>
            <w:tcW w:w="8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2"/>
              </w:rPr>
              <w:t>Accumulated Other</w:t>
            </w:r>
          </w:p>
        </w:tc>
      </w:tr>
      <w:tr>
        <w:trPr>
          <w:trHeight w:val="18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Swap</w:t>
            </w:r>
          </w:p>
        </w:tc>
        <w:tc>
          <w:tcPr>
            <w:tcW w:w="80" w:type="dxa"/>
            <w:vAlign w:val="bottom"/>
          </w:tcPr>
          <w:p>
            <w:pPr>
              <w:spacing w:after="0"/>
              <w:rPr>
                <w:sz w:val="16"/>
                <w:szCs w:val="16"/>
                <w:color w:val="auto"/>
              </w:rPr>
            </w:pPr>
          </w:p>
        </w:tc>
        <w:tc>
          <w:tcPr>
            <w:tcW w:w="14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6"/>
                <w:szCs w:val="16"/>
                <w:color w:val="auto"/>
              </w:rPr>
            </w:pPr>
          </w:p>
        </w:tc>
        <w:tc>
          <w:tcPr>
            <w:tcW w:w="13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Obligation</w:t>
            </w:r>
          </w:p>
        </w:tc>
        <w:tc>
          <w:tcPr>
            <w:tcW w:w="15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93"/>
              </w:rPr>
              <w:t>Comprehensive Loss</w:t>
            </w:r>
          </w:p>
        </w:tc>
      </w:tr>
      <w:tr>
        <w:trPr>
          <w:trHeight w:val="169"/>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2019</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(253.0</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28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(loss) income</w:t>
            </w:r>
          </w:p>
        </w:tc>
        <w:tc>
          <w:tcPr>
            <w:tcW w:w="120" w:type="dxa"/>
            <w:vAlign w:val="bottom"/>
          </w:tcPr>
          <w:p>
            <w:pPr>
              <w:spacing w:after="0"/>
              <w:rPr>
                <w:sz w:val="15"/>
                <w:szCs w:val="15"/>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5"/>
                <w:szCs w:val="15"/>
                <w:color w:val="auto"/>
              </w:rPr>
            </w:pPr>
          </w:p>
        </w:tc>
      </w:tr>
      <w:tr>
        <w:trPr>
          <w:trHeight w:val="169"/>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28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(45.1 )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(41.0 )</w:t>
            </w:r>
          </w:p>
        </w:tc>
      </w:tr>
      <w:tr>
        <w:trPr>
          <w:trHeight w:val="209"/>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December 31, 2021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color w:val="auto"/>
        </w:rPr>
        <w:t>Adjustments to accumulated other comprehensive (loss) income attributable to us are as follows (in millions):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Year Ended December 31, 2021</w:t>
            </w:r>
          </w:p>
        </w:tc>
        <w:tc>
          <w:tcPr>
            <w:tcW w:w="22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Year Ended December 31, 2020</w:t>
            </w:r>
          </w:p>
        </w:tc>
        <w:tc>
          <w:tcPr>
            <w:tcW w:w="80" w:type="dxa"/>
            <w:vAlign w:val="bottom"/>
          </w:tcPr>
          <w:p>
            <w:pPr>
              <w:spacing w:after="0"/>
              <w:rPr>
                <w:sz w:val="16"/>
                <w:szCs w:val="16"/>
                <w:color w:val="auto"/>
              </w:rPr>
            </w:pPr>
          </w:p>
        </w:tc>
        <w:tc>
          <w:tcPr>
            <w:tcW w:w="20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Year Ended December 31, 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Tax Effect</w:t>
            </w:r>
          </w:p>
        </w:tc>
        <w:tc>
          <w:tcPr>
            <w:tcW w:w="140" w:type="dxa"/>
            <w:vAlign w:val="bottom"/>
          </w:tcPr>
          <w:p>
            <w:pPr>
              <w:spacing w:after="0"/>
              <w:rPr>
                <w:sz w:val="20"/>
                <w:szCs w:val="20"/>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Tax Effect</w:t>
            </w: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20"/>
                <w:szCs w:val="20"/>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Swap</w:t>
            </w: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80" w:type="dxa"/>
            <w:vAlign w:val="bottom"/>
          </w:tcPr>
          <w:p>
            <w:pPr>
              <w:ind w:left="100"/>
              <w:spacing w:after="0"/>
              <w:rPr>
                <w:sz w:val="20"/>
                <w:szCs w:val="20"/>
                <w:color w:val="auto"/>
              </w:rPr>
            </w:pPr>
            <w:r>
              <w:rPr>
                <w:rFonts w:ascii="Arial" w:cs="Arial" w:eastAsia="Arial" w:hAnsi="Arial"/>
                <w:sz w:val="14"/>
                <w:szCs w:val="14"/>
                <w:color w:val="auto"/>
              </w:rPr>
              <w:t>Unrealized gain (loss) on interest rate swaps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(0.3 )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(3.7 )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(5.6 )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380" w:type="dxa"/>
            <w:vAlign w:val="bottom"/>
            <w:shd w:val="clear" w:color="auto" w:fill="CFF0FC"/>
          </w:tcPr>
          <w:p>
            <w:pPr>
              <w:ind w:left="100"/>
              <w:spacing w:after="0" w:line="143" w:lineRule="exact"/>
              <w:rPr>
                <w:sz w:val="20"/>
                <w:szCs w:val="20"/>
                <w:color w:val="auto"/>
              </w:rPr>
            </w:pPr>
            <w:r>
              <w:rPr>
                <w:rFonts w:ascii="Arial" w:cs="Arial" w:eastAsia="Arial" w:hAnsi="Arial"/>
                <w:sz w:val="14"/>
                <w:szCs w:val="14"/>
                <w:color w:val="auto"/>
                <w:w w:val="97"/>
              </w:rPr>
              <w:t>Reclassification of losses into net earnings on interest</w:t>
            </w:r>
          </w:p>
        </w:tc>
        <w:tc>
          <w:tcPr>
            <w:tcW w:w="8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rate swaps</w:t>
            </w: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180"/>
              <w:spacing w:after="0"/>
              <w:rPr>
                <w:sz w:val="20"/>
                <w:szCs w:val="20"/>
                <w:color w:val="auto"/>
              </w:rPr>
            </w:pPr>
            <w:r>
              <w:rPr>
                <w:rFonts w:ascii="Arial" w:cs="Arial" w:eastAsia="Arial" w:hAnsi="Arial"/>
                <w:sz w:val="14"/>
                <w:szCs w:val="14"/>
                <w:color w:val="auto"/>
              </w:rPr>
              <w:t>Net change in cash flow hedges</w:t>
            </w:r>
          </w:p>
        </w:tc>
        <w:tc>
          <w:tcPr>
            <w:tcW w:w="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(0.3 )</w:t>
            </w:r>
          </w:p>
        </w:tc>
        <w:tc>
          <w:tcPr>
            <w:tcW w:w="140" w:type="dxa"/>
            <w:vAlign w:val="bottom"/>
          </w:tcPr>
          <w:p>
            <w:pPr>
              <w:spacing w:after="0"/>
              <w:rPr>
                <w:sz w:val="20"/>
                <w:szCs w:val="20"/>
                <w:color w:val="auto"/>
              </w:rPr>
            </w:pP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(3.7 )</w:t>
            </w:r>
          </w:p>
        </w:tc>
        <w:tc>
          <w:tcPr>
            <w:tcW w:w="1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(3.8 )</w:t>
            </w:r>
          </w:p>
        </w:tc>
        <w:tc>
          <w:tcPr>
            <w:tcW w:w="1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Defined Benefit Pension</w:t>
            </w:r>
          </w:p>
        </w:tc>
        <w:tc>
          <w:tcPr>
            <w:tcW w:w="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80" w:type="dxa"/>
            <w:vAlign w:val="bottom"/>
          </w:tcPr>
          <w:p>
            <w:pPr>
              <w:ind w:left="100"/>
              <w:spacing w:after="0" w:line="143" w:lineRule="exact"/>
              <w:rPr>
                <w:sz w:val="20"/>
                <w:szCs w:val="20"/>
                <w:color w:val="auto"/>
              </w:rPr>
            </w:pPr>
            <w:r>
              <w:rPr>
                <w:rFonts w:ascii="Arial" w:cs="Arial" w:eastAsia="Arial" w:hAnsi="Arial"/>
                <w:sz w:val="14"/>
                <w:szCs w:val="14"/>
                <w:color w:val="auto"/>
              </w:rPr>
              <w:t>Unrealized net gains (losses) on defined benefit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80" w:type="dxa"/>
            <w:vAlign w:val="bottom"/>
          </w:tcPr>
          <w:p>
            <w:pPr>
              <w:ind w:left="100"/>
              <w:spacing w:after="0"/>
              <w:rPr>
                <w:sz w:val="20"/>
                <w:szCs w:val="20"/>
                <w:color w:val="auto"/>
              </w:rPr>
            </w:pPr>
            <w:r>
              <w:rPr>
                <w:rFonts w:ascii="Arial" w:cs="Arial" w:eastAsia="Arial" w:hAnsi="Arial"/>
                <w:sz w:val="14"/>
                <w:szCs w:val="14"/>
                <w:color w:val="auto"/>
              </w:rPr>
              <w:t>pension plan</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change in defined benefit pension</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Arial" w:cs="Arial" w:eastAsia="Arial" w:hAnsi="Arial"/>
                <w:sz w:val="14"/>
                <w:szCs w:val="14"/>
                <w:b w:val="1"/>
                <w:bCs w:val="1"/>
                <w:color w:val="auto"/>
              </w:rPr>
              <w:t>Foreign Currency Translation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3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Current period translation adjustments</w:t>
            </w:r>
          </w:p>
        </w:tc>
        <w:tc>
          <w:tcPr>
            <w:tcW w:w="80" w:type="dxa"/>
            <w:vAlign w:val="bottom"/>
            <w:shd w:val="clear" w:color="auto" w:fill="CFF0FC"/>
          </w:tcPr>
          <w:p>
            <w:pPr>
              <w:spacing w:after="0"/>
              <w:rPr>
                <w:sz w:val="21"/>
                <w:szCs w:val="21"/>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(45.5 )</w:t>
            </w:r>
          </w:p>
        </w:tc>
        <w:tc>
          <w:tcPr>
            <w:tcW w:w="10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160" w:type="dxa"/>
            <w:vAlign w:val="bottom"/>
            <w:gridSpan w:val="2"/>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4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7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2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380" w:type="dxa"/>
            <w:vAlign w:val="bottom"/>
          </w:tcPr>
          <w:p>
            <w:pPr>
              <w:ind w:left="180"/>
              <w:spacing w:after="0"/>
              <w:rPr>
                <w:sz w:val="20"/>
                <w:szCs w:val="20"/>
                <w:color w:val="auto"/>
              </w:rPr>
            </w:pPr>
            <w:r>
              <w:rPr>
                <w:rFonts w:ascii="Arial" w:cs="Arial" w:eastAsia="Arial" w:hAnsi="Arial"/>
                <w:sz w:val="14"/>
                <w:szCs w:val="14"/>
                <w:color w:val="auto"/>
              </w:rPr>
              <w:t>Net cumulative translation adjustments</w:t>
            </w:r>
          </w:p>
        </w:tc>
        <w:tc>
          <w:tcPr>
            <w:tcW w:w="8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(45.5 )</w:t>
            </w:r>
          </w:p>
        </w:tc>
        <w:tc>
          <w:tcPr>
            <w:tcW w:w="1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(0.9 )</w:t>
            </w:r>
          </w:p>
        </w:tc>
        <w:tc>
          <w:tcPr>
            <w:tcW w:w="8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3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Total other comprehensive (loss) income</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-1410970</wp:posOffset>
            </wp:positionV>
            <wp:extent cx="685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-1410970</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-1410970</wp:posOffset>
            </wp:positionV>
            <wp:extent cx="685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-1410970</wp:posOffset>
            </wp:positionV>
            <wp:extent cx="603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-1410970</wp:posOffset>
            </wp:positionV>
            <wp:extent cx="603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-1410970</wp:posOffset>
            </wp:positionV>
            <wp:extent cx="6032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-767715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-767715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-767715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-767715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-767715</wp:posOffset>
            </wp:positionV>
            <wp:extent cx="6032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-767715</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-416560</wp:posOffset>
            </wp:positionV>
            <wp:extent cx="685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-416560</wp:posOffset>
            </wp:positionV>
            <wp:extent cx="685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-416560</wp:posOffset>
            </wp:positionV>
            <wp:extent cx="685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-416560</wp:posOffset>
            </wp:positionV>
            <wp:extent cx="6032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-416560</wp:posOffset>
            </wp:positionV>
            <wp:extent cx="6032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-416560</wp:posOffset>
            </wp:positionV>
            <wp:extent cx="6032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12—Variable Interest Entity</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spacing w:after="0" w:line="175"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In addition to the initial contributions, each member of the agreement is responsible for future additional cash capital contributions in accordance with each member's ownership interest in DomaniRx at the time of the call. Our additional cash capital contribution is up to $240.6 million. We are then solely responsible for a further development cost overage of up to $100.0 million for no additional ownership interest.</w:t>
      </w:r>
    </w:p>
    <w:p>
      <w:pPr>
        <w:spacing w:after="0" w:line="16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18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As of formation, DomaniRx held net assets of $288.8 million, comprised of cash and cash equivalents of $138.3 million, of which we contributed $71.0 million, and intangible assets of $150.5 million, of which we contributed $113.8 million based on our historical cost basis, in our Consolidated Balance Sheets. There were no liabilities related to DomaniRx in the Consolidated Balance Sheets as of formation. Upon the initial formation and consolidation of DomaniRx in July 2021, we recorded a $57.2 million noncontrolling interest.</w:t>
      </w:r>
    </w:p>
    <w:p>
      <w:pPr>
        <w:spacing w:after="0" w:line="188" w:lineRule="exact"/>
        <w:rPr>
          <w:sz w:val="20"/>
          <w:szCs w:val="20"/>
          <w:color w:val="auto"/>
        </w:rPr>
      </w:pPr>
    </w:p>
    <w:p>
      <w:pPr>
        <w:ind w:right="300" w:firstLine="509"/>
        <w:spacing w:after="0" w:line="324" w:lineRule="auto"/>
        <w:rPr>
          <w:sz w:val="20"/>
          <w:szCs w:val="20"/>
          <w:color w:val="auto"/>
        </w:rPr>
      </w:pPr>
      <w:r>
        <w:rPr>
          <w:rFonts w:ascii="Arial" w:cs="Arial" w:eastAsia="Arial" w:hAnsi="Arial"/>
          <w:sz w:val="16"/>
          <w:szCs w:val="16"/>
          <w:color w:val="auto"/>
        </w:rPr>
        <w:t>The carrying value of the assets and liabilities associated with DomaniRx included in the Consolidated Balance Sheets as of December 31, 2021, which are limited for use in its operations and do not have recourse against our general credit or our senior secured credit facilities,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5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5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Intangible assets</w:t>
            </w: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assets</w:t>
            </w:r>
          </w:p>
        </w:tc>
        <w:tc>
          <w:tcPr>
            <w:tcW w:w="5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Liabilities:</w:t>
            </w:r>
          </w:p>
        </w:tc>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liabilities</w:t>
            </w:r>
          </w:p>
        </w:tc>
        <w:tc>
          <w:tcPr>
            <w:tcW w:w="5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34"/>
        </w:trPr>
        <w:tc>
          <w:tcPr>
            <w:tcW w:w="3760" w:type="dxa"/>
            <w:vAlign w:val="bottom"/>
          </w:tcPr>
          <w:p>
            <w:pPr>
              <w:spacing w:after="0"/>
              <w:rPr>
                <w:sz w:val="24"/>
                <w:szCs w:val="24"/>
                <w:color w:val="auto"/>
              </w:rPr>
            </w:pPr>
          </w:p>
        </w:tc>
        <w:tc>
          <w:tcPr>
            <w:tcW w:w="5600" w:type="dxa"/>
            <w:vAlign w:val="bottom"/>
          </w:tcPr>
          <w:p>
            <w:pPr>
              <w:jc w:val="right"/>
              <w:ind w:right="355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7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13—Revenue</w:t>
      </w:r>
    </w:p>
    <w:p>
      <w:pPr>
        <w:spacing w:after="0" w:line="108"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Deferred revenues primarily represents unrecognized fees billed or collected for maintenance and professional services. Deferred revenues are recognized as (or when) we perform under the contract. Deferred revenues are recorded on a net basis with contract assets at the contract level. Accordingly, as of December 31, 2021 and 2020, approximately $61.0 million and $53.9 million, respectively, of deferred revenue is presented net within contract assets arising from the same contracts. The amount of revenues recognized in the period that was included in the opening deferred revenues balance was $273.8 million, $289.7 million and $204.3 million for the years ended December 31, 2021, 2020 and 2019, respectively.</w:t>
      </w:r>
    </w:p>
    <w:p>
      <w:pPr>
        <w:spacing w:after="0" w:line="159" w:lineRule="exact"/>
        <w:rPr>
          <w:sz w:val="20"/>
          <w:szCs w:val="20"/>
          <w:color w:val="auto"/>
        </w:rPr>
      </w:pPr>
    </w:p>
    <w:p>
      <w:pPr>
        <w:ind w:firstLine="360"/>
        <w:spacing w:after="0" w:line="262" w:lineRule="auto"/>
        <w:rPr>
          <w:sz w:val="20"/>
          <w:szCs w:val="20"/>
          <w:color w:val="auto"/>
        </w:rPr>
      </w:pPr>
      <w:r>
        <w:rPr>
          <w:rFonts w:ascii="Arial" w:cs="Arial" w:eastAsia="Arial" w:hAnsi="Arial"/>
          <w:sz w:val="17"/>
          <w:szCs w:val="17"/>
          <w:color w:val="auto"/>
        </w:rPr>
        <w:t>As of December 31, 2021, revenue of approximately $538.7 million is expected to be recognized from remaining performance obligations for license, maintenance and related revenues, of which $287.6 million is expected to be recognized over the next twelve months. As of December 31, 2020, revenue of approximately $595.4 million is expected to be recognized from remaining performance obligations for license, maintenance and related revenues, of which $301.9 million is expected to be recognized over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4"/>
                <w:szCs w:val="14"/>
                <w:b w:val="1"/>
                <w:bCs w:val="1"/>
                <w:color w:val="auto"/>
                <w:w w:val="94"/>
              </w:rPr>
              <w:t>Year Ended December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3,628.2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3,427.4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3,383.6</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596.0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652.9</w:t>
            </w:r>
          </w:p>
        </w:tc>
        <w:tc>
          <w:tcPr>
            <w:tcW w:w="6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Europe (excluding United Kingdom), Middle East and Africa</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327.9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216.5</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Asia-Pacific and Japan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207.6</w:t>
            </w:r>
          </w:p>
        </w:tc>
        <w:tc>
          <w:tcPr>
            <w:tcW w:w="6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Canada</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190.5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Americas, excluding United States and Canada</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80.4</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64.8</w:t>
            </w:r>
          </w:p>
        </w:tc>
        <w:tc>
          <w:tcPr>
            <w:tcW w:w="60" w:type="dxa"/>
            <w:vAlign w:val="bottom"/>
          </w:tcPr>
          <w:p>
            <w:pPr>
              <w:spacing w:after="0"/>
              <w:rPr>
                <w:sz w:val="17"/>
                <w:szCs w:val="17"/>
                <w:color w:val="auto"/>
              </w:rPr>
            </w:pPr>
          </w:p>
        </w:tc>
      </w:tr>
      <w:tr>
        <w:trPr>
          <w:trHeight w:val="236"/>
        </w:trPr>
        <w:tc>
          <w:tcPr>
            <w:tcW w:w="540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5,051.0</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4,667.9</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4,632.9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13"/>
        </w:trPr>
        <w:tc>
          <w:tcPr>
            <w:tcW w:w="5400" w:type="dxa"/>
            <w:vAlign w:val="bottom"/>
          </w:tcPr>
          <w:p>
            <w:pPr>
              <w:spacing w:after="0"/>
              <w:rPr>
                <w:sz w:val="20"/>
                <w:szCs w:val="20"/>
                <w:color w:val="auto"/>
              </w:rPr>
            </w:pPr>
            <w:r>
              <w:rPr>
                <w:rFonts w:ascii="Arial" w:cs="Arial" w:eastAsia="Arial" w:hAnsi="Arial"/>
                <w:sz w:val="18"/>
                <w:szCs w:val="18"/>
                <w:color w:val="auto"/>
                <w:w w:val="95"/>
              </w:rPr>
              <w:t>The following table disaggregates our revenues by source (in millions):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5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5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Software-enabled services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4,256.1</w:t>
            </w:r>
          </w:p>
        </w:tc>
        <w:tc>
          <w:tcPr>
            <w:tcW w:w="2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3,869.2</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Maintenance and term licenses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644.2</w:t>
            </w:r>
          </w:p>
        </w:tc>
        <w:tc>
          <w:tcPr>
            <w:tcW w:w="6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101.4</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w:t>
            </w:r>
          </w:p>
        </w:tc>
        <w:tc>
          <w:tcPr>
            <w:tcW w:w="60" w:type="dxa"/>
            <w:vAlign w:val="bottom"/>
          </w:tcPr>
          <w:p>
            <w:pPr>
              <w:spacing w:after="0"/>
              <w:rPr>
                <w:sz w:val="17"/>
                <w:szCs w:val="17"/>
                <w:color w:val="auto"/>
              </w:rPr>
            </w:pPr>
          </w:p>
        </w:tc>
      </w:tr>
      <w:tr>
        <w:trPr>
          <w:trHeight w:val="236"/>
        </w:trPr>
        <w:tc>
          <w:tcPr>
            <w:tcW w:w="540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5,051.0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68"/>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4,667.9</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4,632.9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-1370965</wp:posOffset>
            </wp:positionV>
            <wp:extent cx="431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-1353820</wp:posOffset>
            </wp:positionV>
            <wp:extent cx="43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-1370965</wp:posOffset>
            </wp:positionV>
            <wp:extent cx="342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-1353820</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-1370965</wp:posOffset>
            </wp:positionV>
            <wp:extent cx="342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-1353820</wp:posOffset>
            </wp:positionV>
            <wp:extent cx="342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431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342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w:t>
      </w:r>
    </w:p>
    <w:p>
      <w:pPr>
        <w:spacing w:after="0" w:line="10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March 2019, our Board of Directors adopted the Second Amended and Restated 2014 Stock Incentive Plan, which amends and restates our Amended and Restated 2014 Stock Incentive Plan (the “Amended 2014 Plan”) (together with the Amended 2014 Plan, the “2014 Plans”), which became effective in May 2019 upon stockholder approval. The Second Amended and Restated 2014 Stock Incentive Plan was adopted to increase the shares available for equity awards by an additional 34.0 million shares.</w:t>
      </w:r>
    </w:p>
    <w:p>
      <w:pPr>
        <w:spacing w:after="0" w:line="18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In February 2016, our Board of Directors adopted the Amended 2014 Plan, which became effective in May 2016 upon stockholder approval and which amended and restated our 2014 Stock Option Plan. The Amended 2014 Plan was adopted with an initial share capacity of 24.0 million shares available for the grant of awards. The Amended 2014 Plan authorizes the issuance of equity awards, including stock options, restricted stock awards (“RSAs”) and restricted stock units (“RSUs”) and allows the class of participants to include non-employee directors. Since the adoption of the Amended 2014 Plan, we have not made any grants of equity or equity-based awards under the 2008 Stock Incentive Plan or the 2006 Equity Incentive Plan.</w:t>
      </w:r>
    </w:p>
    <w:p>
      <w:pPr>
        <w:spacing w:after="0" w:line="15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2014 Stock Option Plan authorizes stock options to be granted for up to 6.0 million shares of our common stock. We have granted time-based stock options under the 2014 Stock Option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79" w:name="page80"/>
    <w:bookmarkEnd w:id="79"/>
    <w:p>
      <w:pPr>
        <w:jc w:val="both"/>
        <w:ind w:right="120" w:firstLine="509"/>
        <w:spacing w:after="0" w:line="324" w:lineRule="auto"/>
        <w:rPr>
          <w:sz w:val="20"/>
          <w:szCs w:val="20"/>
          <w:color w:val="auto"/>
        </w:rPr>
      </w:pPr>
      <w:r>
        <w:rPr>
          <w:rFonts w:ascii="Arial" w:cs="Arial" w:eastAsia="Arial" w:hAnsi="Arial"/>
          <w:sz w:val="16"/>
          <w:szCs w:val="16"/>
          <w:color w:val="auto"/>
        </w:rPr>
        <w:t>In April 2008, our Board of Directors adopted, and our stockholders approved, an equity-based incentive plan (“the 2008 Plan”), which authorizes equity awards to be granted for up to 21.8 million shares of our common stock. We have granted time-based stock options and RSUs under the 2008 Plan.</w:t>
      </w:r>
    </w:p>
    <w:p>
      <w:pPr>
        <w:spacing w:after="0" w:line="12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August 2006, our Board of Directors adopted an equity-based incentive plan (“the 2006 Plan”), which authorizes equity awards to be granted for up to 22.3 million shares of our common stock. We have granted RSAs of our common stock and both time-based and performance-based stock options under the 2006 Plan.</w:t>
      </w:r>
    </w:p>
    <w:p>
      <w:pPr>
        <w:spacing w:after="0" w:line="18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Under the terms of the 2014 Plans, the 2008 Plan and 2006 Plan, the exercise price of awards is set on the grant date and may not be less than the fair market value per share on such date. Generally, awards expire ten years from the date of grant.</w:t>
      </w:r>
    </w:p>
    <w:p>
      <w:pPr>
        <w:spacing w:after="0" w:line="17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We generally settle RSUs, RSAs, stock appreciation rights (“SARs”), performance-based stock units (“PSUs”), and stock option exercises with newly issued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At December 31, 2021 there was no remaining unearned non-cash stock-based compensation related to RSUs. At December 31, 2020, there was approximately $0.8 million of unearned non-cash stock-based compensation related to RSUs.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Units</w:t>
      </w:r>
    </w:p>
    <w:p>
      <w:pPr>
        <w:spacing w:after="0" w:line="104"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In July 2021, we granted performance-based stock units under the 2014 Plan at a grant date fair value of $75.03 per share. These awards include established annual earnings per share growth targets and will measure performance against the target over the 2-year performance period. Performance is measured relative to a 2-year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through June 30, 2023. The total number of units to be issued if we achieve the targeted growth rate during the measurement period is 0.4 million. The actual number of units that will be issued ranges from zero, if the threshold level of performance is not achieved, to 200% of the targeted number of units, if the annual growth rate meets or exceeds a specified level. At December 31, 2021 there was approximately $25.7 million of unearned non-cash stock-based compensation related to PSUs that we expect to recognize as expense over a remaining period of approximately 1.6 years.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 and SARs</w:t>
      </w:r>
    </w:p>
    <w:p>
      <w:pPr>
        <w:spacing w:after="0" w:line="104" w:lineRule="exact"/>
        <w:rPr>
          <w:sz w:val="20"/>
          <w:szCs w:val="20"/>
          <w:color w:val="auto"/>
        </w:rPr>
      </w:pPr>
    </w:p>
    <w:p>
      <w:pPr>
        <w:ind w:right="60" w:firstLine="554"/>
        <w:spacing w:after="0" w:line="261" w:lineRule="auto"/>
        <w:rPr>
          <w:sz w:val="20"/>
          <w:szCs w:val="20"/>
          <w:color w:val="auto"/>
        </w:rPr>
      </w:pPr>
      <w:r>
        <w:rPr>
          <w:rFonts w:ascii="Arial" w:cs="Arial" w:eastAsia="Arial" w:hAnsi="Arial"/>
          <w:sz w:val="16"/>
          <w:szCs w:val="16"/>
          <w:color w:val="auto"/>
        </w:rPr>
        <w:t>Time-based stock options and SARs granted under the 2006 Plan, the 2008 Plan and the 2014 Plans generally vest 25% on the first anniversary of the grant date and 1/36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remaining balance each month thereafter for 36 months. All outstanding time-based stock options and SARs vest upon a change in control, subject to certain conditions. Time-based stock options and SARs granted during 2021, 2020 and 2019 have a weighted-average grant date fair value of $22.28, $18.06 and $14.85 per share, respectively, based on the Black-Scholes option pricing model. Compensation expense is recorded on a straight-line basis over the requisite service period. The fair value of time-based stock options and SARs vested during the years ended December 31, 2021, 2020 and 2019 was approximately $103.0 million, $81.1 million and $75.5 million, respectively. At December 31, 2021 and 2020, there was approximately $270.1 million and $302.7 million, respectively, of unearned non-cash stock-based compensation related to time-based stock options and SARs that we expect to recognize as expense over a weighted-average remaining period of approximately 2.8 years and 3.1 years,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March and December 2021, we granted performance-based stock options (“PSOs”) under the 2014 Plan.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PSOs that are earned if they remain employed through the final determination of the satisfaction of these performance goals. The actual number of units that will be issued ranges from zero, if the threshold level of performance is not achieved, to 200% of the targeted number of options, if the annual growth rate meets or exceeds a specified level. PSOs granted during 2021 have a weighted-average grant date fair value of $21.88 per share, based on the Black-Scholes options pricing model. During the year ended December 31, 2021, no PSOs have vested. At December 31, 2021, there was approximately $103.2 million of unearned non-cash stock-based compensation related to PSOs that we expect to recognize as expense over a remaining period of approximately 3.1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color w:val="auto"/>
        </w:rPr>
        <w:t>For the stock-options and SARs valued using the Black-Scholes option-pricing model, we used the following weighted-average assumptions: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7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Time-based stock options and SARs</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PSOs</w:t>
            </w:r>
          </w:p>
        </w:tc>
      </w:tr>
      <w:tr>
        <w:trPr>
          <w:trHeight w:val="39"/>
        </w:trPr>
        <w:tc>
          <w:tcPr>
            <w:tcW w:w="41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140" w:type="dxa"/>
            <w:vAlign w:val="bottom"/>
          </w:tcPr>
          <w:p>
            <w:pPr>
              <w:spacing w:after="0"/>
              <w:rPr>
                <w:sz w:val="18"/>
                <w:szCs w:val="18"/>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8"/>
                <w:szCs w:val="18"/>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Expected term to exercise (years)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36.42 %</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34.85 %</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30.35 %</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36.34 %</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1.07 %</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0.28 %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1.03 %</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0.98 %</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0.80 %</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0.82 %</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0.98 %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 Options, SARs, RSUs and PSUs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 of stock-based compensation expense recognized in our Consolidated Statements of Comprehensive Income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was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Consolidated Statements of Comprehensive</w:t>
            </w:r>
          </w:p>
        </w:tc>
        <w:tc>
          <w:tcPr>
            <w:tcW w:w="160" w:type="dxa"/>
            <w:vAlign w:val="bottom"/>
          </w:tcPr>
          <w:p>
            <w:pPr>
              <w:spacing w:after="0"/>
              <w:rPr>
                <w:sz w:val="11"/>
                <w:szCs w:val="11"/>
                <w:color w:val="auto"/>
              </w:rPr>
            </w:pPr>
          </w:p>
        </w:tc>
        <w:tc>
          <w:tcPr>
            <w:tcW w:w="880" w:type="dxa"/>
            <w:vAlign w:val="bottom"/>
          </w:tcPr>
          <w:p>
            <w:pPr>
              <w:jc w:val="right"/>
              <w:ind w:right="201"/>
              <w:spacing w:after="0" w:line="133"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1"/>
                <w:szCs w:val="11"/>
                <w:color w:val="auto"/>
              </w:rPr>
            </w:pPr>
          </w:p>
        </w:tc>
        <w:tc>
          <w:tcPr>
            <w:tcW w:w="540" w:type="dxa"/>
            <w:vAlign w:val="bottom"/>
            <w:gridSpan w:val="2"/>
          </w:tcPr>
          <w:p>
            <w:pPr>
              <w:jc w:val="right"/>
              <w:ind w:right="20"/>
              <w:spacing w:after="0" w:line="133" w:lineRule="exact"/>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Options, SARs</w:t>
            </w:r>
          </w:p>
        </w:tc>
        <w:tc>
          <w:tcPr>
            <w:tcW w:w="10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Options, SARs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Classification</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SARs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PSUs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Cost of software-enabled services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240" w:type="dxa"/>
            <w:vAlign w:val="bottom"/>
            <w:gridSpan w:val="2"/>
            <w:shd w:val="clear" w:color="auto" w:fill="CFF0FC"/>
          </w:tcPr>
          <w:p>
            <w:pPr>
              <w:jc w:val="center"/>
              <w:ind w:left="4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Cost of license, maintenance and other related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Borders>
              <w:bottom w:val="single" w:sz="8" w:color="CFF0FC"/>
            </w:tcBorders>
            <w:gridSpan w:val="2"/>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cost of revenues</w:t>
            </w: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44.3</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37.5</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39.8</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Borders>
              <w:bottom w:val="single" w:sz="8" w:color="CFF0FC"/>
            </w:tcBorders>
            <w:gridSpan w:val="2"/>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61.7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65.9</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45.6</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48.0</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Total stock-based compensation expense</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106.0</w:t>
            </w:r>
          </w:p>
        </w:tc>
        <w:tc>
          <w:tcPr>
            <w:tcW w:w="240" w:type="dxa"/>
            <w:vAlign w:val="bottom"/>
            <w:gridSpan w:val="2"/>
          </w:tcPr>
          <w:p>
            <w:pPr>
              <w:jc w:val="center"/>
              <w:ind w:left="42"/>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114.0</w:t>
            </w:r>
          </w:p>
        </w:tc>
        <w:tc>
          <w:tcPr>
            <w:tcW w:w="380" w:type="dxa"/>
            <w:vAlign w:val="bottom"/>
            <w:gridSpan w:val="2"/>
          </w:tcPr>
          <w:p>
            <w:pPr>
              <w:ind w:left="24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83.1</w:t>
            </w:r>
          </w:p>
        </w:tc>
        <w:tc>
          <w:tcPr>
            <w:tcW w:w="360" w:type="dxa"/>
            <w:vAlign w:val="bottom"/>
            <w:gridSpan w:val="2"/>
          </w:tcPr>
          <w:p>
            <w:pPr>
              <w:jc w:val="center"/>
              <w:spacing w:after="0" w:line="169" w:lineRule="exact"/>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line="169" w:lineRule="exact"/>
              <w:rPr>
                <w:sz w:val="20"/>
                <w:szCs w:val="20"/>
                <w:color w:val="auto"/>
              </w:rPr>
            </w:pPr>
            <w:r>
              <w:rPr>
                <w:rFonts w:ascii="Arial" w:cs="Arial" w:eastAsia="Arial" w:hAnsi="Arial"/>
                <w:sz w:val="16"/>
                <w:szCs w:val="16"/>
                <w:color w:val="auto"/>
              </w:rPr>
              <w:t>4.7</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rPr>
              <w:t>87.8</w:t>
            </w:r>
          </w:p>
        </w:tc>
        <w:tc>
          <w:tcPr>
            <w:tcW w:w="580" w:type="dxa"/>
            <w:vAlign w:val="bottom"/>
            <w:gridSpan w:val="2"/>
          </w:tcPr>
          <w:p>
            <w:pPr>
              <w:ind w:left="240"/>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65.3</w:t>
            </w:r>
          </w:p>
        </w:tc>
        <w:tc>
          <w:tcPr>
            <w:tcW w:w="2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7.1</w:t>
            </w:r>
          </w:p>
        </w:tc>
        <w:tc>
          <w:tcPr>
            <w:tcW w:w="2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72.4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-664845</wp:posOffset>
            </wp:positionV>
            <wp:extent cx="8572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-664845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-664845</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-664845</wp:posOffset>
            </wp:positionV>
            <wp:extent cx="685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-664845</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-664845</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-664845</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-664845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-664845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-150495</wp:posOffset>
            </wp:positionV>
            <wp:extent cx="8572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-150495</wp:posOffset>
            </wp:positionV>
            <wp:extent cx="685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-150495</wp:posOffset>
            </wp:positionV>
            <wp:extent cx="685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-150495</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-150495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-150495</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-150495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-150495</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associated future income tax benefit recognized was $22.5 million, $17.4 million and $13.8 million for the years ended December 31, 2021, 2020 and 2019, respectively.</w:t>
      </w:r>
    </w:p>
    <w:p>
      <w:pPr>
        <w:spacing w:after="0" w:line="17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For the year ended December 31, 2021, the amount of cash received from the exercise of stock options was $197.7 million, with an associated tax benefit from stock awards realized of $43.6 million. The intrinsic value of stock options and SARs exercised during the year ended December 31, 2021 was approximately $183.7 million. For the year ended December 31, 2020, the amount of cash received from the exercise of stock options was $189.7 million, with an associated tax benefit from stock awards realized of $48.6 million. The intrinsic value of stock options and SARs exercised during the year ended December 31, 2020 was approximately $196.9 million. For the year ended December 31, 2019, the amount of cash received from the exercise of stock options was $125.7 million, with an associated tax benefit from stock awards realized of $48.7 million. The intrinsic value of stock options and SARs exercised during the year ended December 31, 2019 was approximately $156.8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ind w:right="160" w:firstLine="509"/>
        <w:spacing w:after="0" w:line="261" w:lineRule="auto"/>
        <w:rPr>
          <w:sz w:val="20"/>
          <w:szCs w:val="20"/>
          <w:color w:val="auto"/>
        </w:rPr>
      </w:pPr>
      <w:r>
        <w:rPr>
          <w:rFonts w:ascii="Arial" w:cs="Arial" w:eastAsia="Arial" w:hAnsi="Arial"/>
          <w:sz w:val="18"/>
          <w:szCs w:val="18"/>
          <w:color w:val="auto"/>
        </w:rPr>
        <w:t>The following table summarizes stock option and SAR activity as well as RSU and PSU activity as of and for the years ended December 31, 2021, 2020 and 2019 (share data in millions):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Stock Options and SARs</w:t>
            </w:r>
          </w:p>
        </w:tc>
        <w:tc>
          <w:tcPr>
            <w:tcW w:w="18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RSUs and PSUs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6"/>
              </w:rPr>
              <w:t>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7"/>
                <w:szCs w:val="17"/>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Outstanding at December 31, 2018</w:t>
            </w:r>
          </w:p>
        </w:tc>
        <w:tc>
          <w:tcPr>
            <w:tcW w:w="102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39.8</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35.48</w:t>
            </w:r>
          </w:p>
        </w:tc>
        <w:tc>
          <w:tcPr>
            <w:tcW w:w="1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50.44</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60.82</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00"/>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(0.8 )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41.37</w:t>
            </w:r>
          </w:p>
        </w:tc>
        <w:tc>
          <w:tcPr>
            <w:tcW w:w="18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44.94</w:t>
            </w:r>
          </w:p>
        </w:tc>
        <w:tc>
          <w:tcPr>
            <w:tcW w:w="6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52.45</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(0.3 )</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(6.4 )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31.57</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w:t>
            </w:r>
          </w:p>
        </w:tc>
        <w:tc>
          <w:tcPr>
            <w:tcW w:w="1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00"/>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December 31, 2021</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55.31</w:t>
            </w:r>
          </w:p>
        </w:tc>
        <w:tc>
          <w:tcPr>
            <w:tcW w:w="18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0.4</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75.03</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-2339340</wp:posOffset>
            </wp:positionV>
            <wp:extent cx="6032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-1616710</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-1616710</wp:posOffset>
            </wp:positionV>
            <wp:extent cx="6032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-159385</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-159385</wp:posOffset>
            </wp:positionV>
            <wp:extent cx="6032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In addition to the amounts reflected in the table above, an additional 4.5 million stock options and 0.3 million stock units may be granted if all performance award criteria is achieved at the maximum level.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information about vested stock options and SARs outstanding that are currently exercisable and stock options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SARs outstanding that are expected to vest at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Borders>
              <w:bottom w:val="single" w:sz="8" w:color="auto"/>
            </w:tcBorders>
            <w:gridSpan w:val="9"/>
          </w:tcPr>
          <w:p>
            <w:pPr>
              <w:jc w:val="right"/>
              <w:ind w:right="588"/>
              <w:spacing w:after="0"/>
              <w:rPr>
                <w:sz w:val="20"/>
                <w:szCs w:val="20"/>
                <w:color w:val="auto"/>
              </w:rPr>
            </w:pPr>
            <w:r>
              <w:rPr>
                <w:rFonts w:ascii="Arial" w:cs="Arial" w:eastAsia="Arial" w:hAnsi="Arial"/>
                <w:sz w:val="14"/>
                <w:szCs w:val="14"/>
                <w:b w:val="1"/>
                <w:bCs w:val="1"/>
                <w:color w:val="auto"/>
              </w:rPr>
              <w:t>Outstanding, Vested Stock Options and SARs Currently Exercisable</w:t>
            </w:r>
          </w:p>
        </w:tc>
        <w:tc>
          <w:tcPr>
            <w:tcW w:w="240" w:type="dxa"/>
            <w:vAlign w:val="bottom"/>
          </w:tcPr>
          <w:p>
            <w:pPr>
              <w:spacing w:after="0"/>
              <w:rPr>
                <w:sz w:val="16"/>
                <w:szCs w:val="16"/>
                <w:color w:val="auto"/>
              </w:rPr>
            </w:pPr>
          </w:p>
        </w:tc>
        <w:tc>
          <w:tcPr>
            <w:tcW w:w="442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w w:val="91"/>
              </w:rPr>
              <w:t>Outstanding Stock Options and SARs Expected to Vest</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25"/>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25"/>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Aggregate</w:t>
            </w:r>
          </w:p>
        </w:tc>
        <w:tc>
          <w:tcPr>
            <w:tcW w:w="980" w:type="dxa"/>
            <w:vAlign w:val="bottom"/>
          </w:tcPr>
          <w:p>
            <w:pPr>
              <w:jc w:val="center"/>
              <w:ind w:right="125"/>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r>
      <w:tr>
        <w:trPr>
          <w:trHeight w:val="175"/>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Intrinsic</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Intrinsic</w:t>
            </w:r>
          </w:p>
        </w:tc>
        <w:tc>
          <w:tcPr>
            <w:tcW w:w="980" w:type="dxa"/>
            <w:vAlign w:val="bottom"/>
          </w:tcPr>
          <w:p>
            <w:pPr>
              <w:jc w:val="center"/>
              <w:ind w:right="125"/>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r>
      <w:tr>
        <w:trPr>
          <w:trHeight w:val="185"/>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r>
      <w:tr>
        <w:trPr>
          <w:trHeight w:val="223"/>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(In millions)</w:t>
            </w:r>
          </w:p>
        </w:tc>
        <w:tc>
          <w:tcPr>
            <w:tcW w:w="98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9"/>
                <w:szCs w:val="19"/>
                <w:color w:val="auto"/>
              </w:rPr>
            </w:pPr>
          </w:p>
        </w:tc>
      </w:tr>
      <w:tr>
        <w:trPr>
          <w:trHeight w:val="203"/>
        </w:trPr>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4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42.19</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972.3</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5.51</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44.9</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55.31</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1,197.5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7"/>
                <w:szCs w:val="17"/>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15—Benefit Plans</w:t>
      </w:r>
    </w:p>
    <w:p>
      <w:pPr>
        <w:spacing w:after="0" w:line="10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sponsor defined contribution plans that cover our domestic and international employees following the completion of an eligibility period. During the years ended December 31, 2021, 2020 and 2019, we incurred $99.2 million, $92.0 million and $91.4 million, respectively, of employer contribution expenses under these plans. Additionally, we sponsor a defined benefit pension plan, which has total assets of $26.3 million and a net asset of $2.6 million as of December 31, 2021. The defined benefit pension plan we sponsor had total assets of $25.1 million and a net liability of $1.2 million as of December 31, 2020.</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16—Basic and Diluted Earnings per Share</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Earnings per share (“EPS”) is calculated in accordance with the relevant standards. Basic EPS includes no dilution and is computed by dividing income available to our common stockholders by the weighted-average number of common shares outstanding during the period. Diluted EPS is computed by dividing net income by the weighted-average number of common and common equivalent shares outstanding during the period. Common equivalent shares consist of stock options, SARs, RSUs and PSUs using the treasury stock method. Common equivalent shares are excluded from the computation of diluted earnings per share if the effect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ind w:right="180"/>
        <w:spacing w:after="0" w:line="248" w:lineRule="auto"/>
        <w:rPr>
          <w:sz w:val="20"/>
          <w:szCs w:val="20"/>
          <w:color w:val="auto"/>
        </w:rPr>
      </w:pPr>
      <w:r>
        <w:rPr>
          <w:rFonts w:ascii="Arial" w:cs="Arial" w:eastAsia="Arial" w:hAnsi="Arial"/>
          <w:sz w:val="18"/>
          <w:szCs w:val="18"/>
          <w:color w:val="auto"/>
        </w:rPr>
        <w:t>including such common equivalent shares would be anti-dilutive because their total assumed proceeds exceed the average fair value of common stock for the period. We have two classes of common stock, each with identical participation rights to earnings and liquidation preferences, and therefore the calculation of EPS as described above is identical to the calculation under the two-class method.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SS&amp;C common stockholders</w:t>
            </w:r>
          </w:p>
        </w:tc>
        <w:tc>
          <w:tcPr>
            <w:tcW w:w="720" w:type="dxa"/>
            <w:vAlign w:val="bottom"/>
            <w:shd w:val="clear" w:color="auto" w:fill="CFF0FC"/>
          </w:tcPr>
          <w:p>
            <w:pPr>
              <w:jc w:val="right"/>
              <w:ind w:right="535"/>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800.0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625.2</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attributable to SS&amp;C:</w:t>
            </w: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w w:val="95"/>
              </w:rPr>
              <w:t>Weighted-average common shares outstanding – used in calculation of basic EPS</w:t>
            </w:r>
          </w:p>
        </w:tc>
        <w:tc>
          <w:tcPr>
            <w:tcW w:w="7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88"/>
              </w:rPr>
              <w:t>255.6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256.4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3"/>
              </w:rPr>
              <w:t>Weighted-average common stock equivalents – stock options and restricted shares</w:t>
            </w:r>
          </w:p>
        </w:tc>
        <w:tc>
          <w:tcPr>
            <w:tcW w:w="7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line="156" w:lineRule="exact"/>
              <w:rPr>
                <w:sz w:val="20"/>
                <w:szCs w:val="20"/>
                <w:color w:val="auto"/>
              </w:rPr>
            </w:pPr>
            <w:r>
              <w:rPr>
                <w:rFonts w:ascii="Arial" w:cs="Arial" w:eastAsia="Arial" w:hAnsi="Arial"/>
                <w:sz w:val="18"/>
                <w:szCs w:val="18"/>
                <w:color w:val="auto"/>
                <w:w w:val="95"/>
              </w:rPr>
              <w:t>Weighted-average common and common equivalent shares outstanding – used in</w:t>
            </w:r>
          </w:p>
        </w:tc>
        <w:tc>
          <w:tcPr>
            <w:tcW w:w="7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8"/>
              </w:rPr>
              <w:t>267.3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40" w:type="dxa"/>
            <w:vAlign w:val="bottom"/>
          </w:tcPr>
          <w:p>
            <w:pPr>
              <w:spacing w:after="0" w:line="156" w:lineRule="exact"/>
              <w:rPr>
                <w:sz w:val="20"/>
                <w:szCs w:val="20"/>
                <w:color w:val="auto"/>
              </w:rPr>
            </w:pPr>
            <w:r>
              <w:rPr>
                <w:rFonts w:ascii="Arial" w:cs="Arial" w:eastAsia="Arial" w:hAnsi="Arial"/>
                <w:sz w:val="18"/>
                <w:szCs w:val="18"/>
                <w:color w:val="auto"/>
              </w:rPr>
              <w:t>calculation of diluted EPS</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Earnings per share attributable to SS&amp;C common stockholders – Basic</w:t>
            </w:r>
          </w:p>
        </w:tc>
        <w:tc>
          <w:tcPr>
            <w:tcW w:w="720" w:type="dxa"/>
            <w:vAlign w:val="bottom"/>
          </w:tcPr>
          <w:p>
            <w:pPr>
              <w:jc w:val="right"/>
              <w:ind w:right="535"/>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Earnings per share attributable to SS&amp;C common stockholders – Diluted</w:t>
            </w:r>
          </w:p>
        </w:tc>
        <w:tc>
          <w:tcPr>
            <w:tcW w:w="720" w:type="dxa"/>
            <w:vAlign w:val="bottom"/>
            <w:shd w:val="clear" w:color="auto" w:fill="CFF0FC"/>
          </w:tcPr>
          <w:p>
            <w:pPr>
              <w:jc w:val="right"/>
              <w:ind w:right="535"/>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w:t>
            </w:r>
          </w:p>
        </w:tc>
        <w:tc>
          <w:tcPr>
            <w:tcW w:w="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-630555</wp:posOffset>
            </wp:positionV>
            <wp:extent cx="431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-630555</wp:posOffset>
            </wp:positionV>
            <wp:extent cx="3429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-630555</wp:posOffset>
            </wp:positionV>
            <wp:extent cx="3429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Weighted-average stock options, SARs, RSUs and PSUs representing 8.9 million, 9.6 million and 4.5 million shares were outstanding for the years ended December 31, 2021, 2020 and 2019, respectively, but were not included in the computation of diluted EPS because the effect of including them would be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17—Income Taxes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sources of income before income taxes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831.0</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83"/>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593.4</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342.7</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Income before income taxes</w:t>
            </w:r>
          </w:p>
        </w:tc>
        <w:tc>
          <w:tcPr>
            <w:tcW w:w="8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6"/>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1,037.0</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83"/>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775.8</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531.7</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413"/>
        </w:trPr>
        <w:tc>
          <w:tcPr>
            <w:tcW w:w="5360" w:type="dxa"/>
            <w:vAlign w:val="bottom"/>
            <w:gridSpan w:val="2"/>
          </w:tcPr>
          <w:p>
            <w:pPr>
              <w:ind w:left="520"/>
              <w:spacing w:after="0"/>
              <w:rPr>
                <w:sz w:val="20"/>
                <w:szCs w:val="20"/>
                <w:color w:val="auto"/>
              </w:rPr>
            </w:pPr>
            <w:r>
              <w:rPr>
                <w:rFonts w:ascii="Arial" w:cs="Arial" w:eastAsia="Arial" w:hAnsi="Arial"/>
                <w:sz w:val="18"/>
                <w:szCs w:val="18"/>
                <w:color w:val="auto"/>
                <w:w w:val="97"/>
              </w:rPr>
              <w:t>The income tax provision consists of the following (in millions):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755"/>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Federal</w:t>
            </w:r>
          </w:p>
        </w:tc>
        <w:tc>
          <w:tcPr>
            <w:tcW w:w="1060" w:type="dxa"/>
            <w:vAlign w:val="bottom"/>
            <w:gridSpan w:val="2"/>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190.9</w:t>
            </w:r>
          </w:p>
        </w:tc>
        <w:tc>
          <w:tcPr>
            <w:tcW w:w="440" w:type="dxa"/>
            <w:vAlign w:val="bottom"/>
            <w:gridSpan w:val="2"/>
          </w:tcPr>
          <w:p>
            <w:pPr>
              <w:jc w:val="right"/>
              <w:ind w:right="123"/>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Foreign</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60.8</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44.9</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State</w:t>
            </w: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324.4</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306.0</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180.3</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42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Federal</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(64.6 )</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(97.7 )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(50.7 )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Foreign</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(3.8 )</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State</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(27.4 )</w:t>
            </w:r>
          </w:p>
        </w:tc>
        <w:tc>
          <w:tcPr>
            <w:tcW w:w="1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(53.9 )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(27.5 )</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2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(88.0 )</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(155.4 )</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(87.1 )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236.4</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150.6</w:t>
            </w:r>
          </w:p>
        </w:tc>
        <w:tc>
          <w:tcPr>
            <w:tcW w:w="18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93.2</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07"/>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-2879725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-2862580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-2879725</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-2862580</wp:posOffset>
            </wp:positionV>
            <wp:extent cx="431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-2879725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-2862580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-1556385</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-1556385</wp:posOffset>
            </wp:positionV>
            <wp:extent cx="6032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-1556385</wp:posOffset>
            </wp:positionV>
            <wp:extent cx="5969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-1033780</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-1033780</wp:posOffset>
            </wp:positionV>
            <wp:extent cx="6032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-1033780</wp:posOffset>
            </wp:positionV>
            <wp:extent cx="5969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-762635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-745490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-762635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-745490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-762635</wp:posOffset>
            </wp:positionV>
            <wp:extent cx="596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-745490</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ind w:firstLine="509"/>
        <w:spacing w:after="0" w:line="261" w:lineRule="auto"/>
        <w:rPr>
          <w:sz w:val="20"/>
          <w:szCs w:val="20"/>
          <w:color w:val="auto"/>
        </w:rPr>
      </w:pPr>
      <w:r>
        <w:rPr>
          <w:rFonts w:ascii="Arial" w:cs="Arial" w:eastAsia="Arial" w:hAnsi="Arial"/>
          <w:sz w:val="18"/>
          <w:szCs w:val="18"/>
          <w:color w:val="auto"/>
        </w:rPr>
        <w:t>The reconciliation between the expected tax expense and the actual tax provision is computed by applying the U.S. federal corporate income tax rate of 21% to income before income taxes as follows (in millions):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Computed “expected” tax expense</w:t>
            </w:r>
          </w:p>
        </w:tc>
        <w:tc>
          <w:tcPr>
            <w:tcW w:w="720" w:type="dxa"/>
            <w:vAlign w:val="bottom"/>
            <w:shd w:val="clear" w:color="auto" w:fill="CFF0FC"/>
          </w:tcPr>
          <w:p>
            <w:pPr>
              <w:jc w:val="right"/>
              <w:ind w:right="5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217.8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Increase (decrease) in income tax expense resulting from:</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State income taxes (net of federal income tax benefit)</w:t>
            </w: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Foreign operations</w:t>
            </w:r>
          </w:p>
        </w:tc>
        <w:tc>
          <w:tcPr>
            <w:tcW w:w="72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2"/>
              </w:rPr>
              <w:t>(10.8 )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Effects of stock based compensation</w:t>
            </w:r>
          </w:p>
        </w:tc>
        <w:tc>
          <w:tcPr>
            <w:tcW w:w="7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2"/>
              </w:rPr>
              <w:t>(24.4 )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(25.7 )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(21.8 )</w:t>
            </w: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Effect of valuation allowance</w:t>
            </w:r>
          </w:p>
        </w:tc>
        <w:tc>
          <w:tcPr>
            <w:tcW w:w="7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(6.5 )</w:t>
            </w:r>
          </w:p>
        </w:tc>
      </w:tr>
      <w:tr>
        <w:trPr>
          <w:trHeight w:val="203"/>
        </w:trPr>
        <w:tc>
          <w:tcPr>
            <w:tcW w:w="5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Uncertain tax positions</w:t>
            </w: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(4.6 )</w:t>
            </w: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(8.0 )</w:t>
            </w: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Tax credits</w:t>
            </w:r>
          </w:p>
        </w:tc>
        <w:tc>
          <w:tcPr>
            <w:tcW w:w="72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(7.4 )</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(7.9 )</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(9.4 )</w:t>
            </w:r>
          </w:p>
        </w:tc>
      </w:tr>
      <w:tr>
        <w:trPr>
          <w:trHeight w:val="203"/>
        </w:trPr>
        <w:tc>
          <w:tcPr>
            <w:tcW w:w="50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Change in rate</w:t>
            </w: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Provision for income taxes</w:t>
            </w:r>
          </w:p>
        </w:tc>
        <w:tc>
          <w:tcPr>
            <w:tcW w:w="720" w:type="dxa"/>
            <w:vAlign w:val="bottom"/>
            <w:tcBorders>
              <w:top w:val="single" w:sz="8" w:color="auto"/>
              <w:bottom w:val="single" w:sz="8" w:color="auto"/>
            </w:tcBorders>
            <w:shd w:val="clear" w:color="auto" w:fill="CFF0FC"/>
          </w:tcPr>
          <w:p>
            <w:pPr>
              <w:jc w:val="right"/>
              <w:ind w:right="53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236.4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150.6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03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deferred income taxes at December 31, 2021 and 2020 are as follows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3"/>
                <w:szCs w:val="13"/>
                <w:color w:val="auto"/>
              </w:rPr>
            </w:pPr>
          </w:p>
        </w:tc>
        <w:tc>
          <w:tcPr>
            <w:tcW w:w="940" w:type="dxa"/>
            <w:vAlign w:val="bottom"/>
          </w:tcPr>
          <w:p>
            <w:pPr>
              <w:jc w:val="center"/>
              <w:ind w:right="94"/>
              <w:spacing w:after="0" w:line="160" w:lineRule="exact"/>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3"/>
                <w:szCs w:val="13"/>
                <w:color w:val="auto"/>
              </w:rPr>
            </w:pPr>
          </w:p>
        </w:tc>
        <w:tc>
          <w:tcPr>
            <w:tcW w:w="940" w:type="dxa"/>
            <w:vAlign w:val="bottom"/>
          </w:tcPr>
          <w:p>
            <w:pPr>
              <w:jc w:val="center"/>
              <w:ind w:right="74"/>
              <w:spacing w:after="0" w:line="160" w:lineRule="exact"/>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3"/>
                <w:szCs w:val="13"/>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5"/>
                <w:szCs w:val="15"/>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Pr>
          <w:p>
            <w:pPr>
              <w:spacing w:after="0"/>
              <w:rPr>
                <w:sz w:val="15"/>
                <w:szCs w:val="15"/>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5"/>
                <w:szCs w:val="15"/>
                <w:color w:val="auto"/>
              </w:rPr>
            </w:pPr>
          </w:p>
        </w:tc>
      </w:tr>
      <w:tr>
        <w:trPr>
          <w:trHeight w:val="18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Liabilities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16"/>
                <w:szCs w:val="16"/>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operating loss carryforwards</w:t>
            </w: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88.5</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Depreciable and amortizable property</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971.5</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117.1</w:t>
            </w:r>
          </w:p>
        </w:tc>
        <w:tc>
          <w:tcPr>
            <w:tcW w:w="80" w:type="dxa"/>
            <w:vAlign w:val="bottom"/>
          </w:tcPr>
          <w:p>
            <w:pPr>
              <w:spacing w:after="0"/>
              <w:rPr>
                <w:sz w:val="17"/>
                <w:szCs w:val="17"/>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297.3</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1,083.0</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306.5</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1,190.0</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(40.7 )</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(31.8 )</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6"/>
        </w:trPr>
        <w:tc>
          <w:tcPr>
            <w:tcW w:w="502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256.6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1,083.0</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274.7</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1,190.0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At December 31, 2021 and 2020, we had accrued a deferred income tax liability for foreign withholding taxes of $10.2 million and $10.2 million, respectively, on the unremitted earnings of our major Canadian subsidiary and certain unconsolidated foreign affiliates we do not control and whose earnings cannot be considered permanently reinvested. We have not accrued any deferred income taxes for withholding, foreign local or U.S. state income taxes on the unremitted earnings of other foreign subsidiaries as those earnings are permanently reinvested.</w:t>
      </w:r>
    </w:p>
    <w:p>
      <w:pPr>
        <w:spacing w:after="0" w:line="17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At December 31, 2021, we have domestic federal net operating loss carryforwards of $19.7 million, which will begin to expire in 2026 and state net operating loss carryforwards of $133.0 million, which will begin to expire in 2022. At December 31, 2021, we have foreign net operating loss carryforwards of $44.5 million, of which $37.1 million can be carried forward indefinitely. The remaining $7.4 million will begin to expire in 2022.</w:t>
      </w:r>
    </w:p>
    <w:p>
      <w:pPr>
        <w:spacing w:after="0" w:line="16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At December 31, 2021, we have tax credit carryforwards of $34.8 million relating to domestic and foreign jurisdictions, of which $21.1 million relate to domestic tax credits that are expected to be utilized before they begin to expire in 2022, $10.1 million relate to domestic tax credits that are not expected to be utilized before they begin to expire in 2022, $3.0 million relate to foreign jurisdictions that are expected to be utilized before they begin to expire in 2025 and $0.6 million relate to foreign jurisdictions that are not expected to be utilized before they begin to expire in 2025. The domestic credits consist primarily of federal and state research and development credits and foreign tax credits, while the foreign credits consist primarily of minimum alternative tax credit carryforwards related to our India operations.</w:t>
      </w:r>
    </w:p>
    <w:p>
      <w:pPr>
        <w:spacing w:after="0" w:line="18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 valuation allowance is recorded against deferred tax assets if, based on the weight of available evidence, it is more likely than not that some or all of the deferred tax assets will not be realized. We have recorded valuation allowances of $40.7 million at December 31, 2021 related primarily to certain foreign and state net operating loss carryforwards, tax credit carryforwards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4" w:name="page85"/>
    <w:bookmarkEnd w:id="84"/>
    <w:p>
      <w:pPr>
        <w:ind w:right="240"/>
        <w:spacing w:after="0" w:line="248" w:lineRule="auto"/>
        <w:rPr>
          <w:sz w:val="20"/>
          <w:szCs w:val="20"/>
          <w:color w:val="auto"/>
        </w:rPr>
      </w:pPr>
      <w:r>
        <w:rPr>
          <w:rFonts w:ascii="Arial" w:cs="Arial" w:eastAsia="Arial" w:hAnsi="Arial"/>
          <w:sz w:val="18"/>
          <w:szCs w:val="18"/>
          <w:color w:val="auto"/>
        </w:rPr>
        <w:t>disallowed interest expense carryforwards, and $31.8 million at December 31, 2020 related primarily to certain foreign and state net operating loss carryforwards and tax credit carryforwards. Of the $40.7 million valuation allowance recorded at December 31, 2021, $6.9 million relates to foreign net operating losses that do not expire.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activity related to our unrecognized tax benefits for the years ended December 31, 2021 and 2020 (in millions):</w:t>
      </w:r>
    </w:p>
    <w:p>
      <w:pPr>
        <w:sectPr>
          <w:pgSz w:w="11900" w:h="16838" w:orient="portrait"/>
          <w:cols w:equalWidth="0" w:num="1">
            <w:col w:w="11240"/>
          </w:cols>
          <w:pgMar w:left="320" w:top="544" w:right="339" w:bottom="1440" w:gutter="0" w:footer="0" w:header="0"/>
        </w:sectPr>
      </w:pPr>
    </w:p>
    <w:p>
      <w:pPr>
        <w:spacing w:after="0" w:line="2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6"/>
          <w:szCs w:val="16"/>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10795</wp:posOffset>
            </wp:positionV>
            <wp:extent cx="4277360"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Decreases related to prior tax positions</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Lapse in statute of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4277360"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line="234" w:lineRule="auto"/>
        <w:rPr>
          <w:sz w:val="20"/>
          <w:szCs w:val="20"/>
          <w:color w:val="auto"/>
        </w:rPr>
      </w:pPr>
      <w:r>
        <w:rPr>
          <w:rFonts w:ascii="Arial" w:cs="Arial" w:eastAsia="Arial" w:hAnsi="Arial"/>
          <w:sz w:val="18"/>
          <w:szCs w:val="18"/>
          <w:color w:val="auto"/>
        </w:rPr>
        <w:t>Balance at December 31, 2020</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10795</wp:posOffset>
            </wp:positionV>
            <wp:extent cx="4277360" cy="128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Increases related to prior tax positions</w:t>
      </w:r>
    </w:p>
    <w:p>
      <w:pPr>
        <w:ind w:left="2360"/>
        <w:spacing w:after="0"/>
        <w:rPr>
          <w:sz w:val="20"/>
          <w:szCs w:val="20"/>
          <w:color w:val="auto"/>
        </w:rPr>
      </w:pPr>
      <w:r>
        <w:rPr>
          <w:rFonts w:ascii="Arial" w:cs="Arial" w:eastAsia="Arial" w:hAnsi="Arial"/>
          <w:sz w:val="18"/>
          <w:szCs w:val="18"/>
          <w:color w:val="auto"/>
        </w:rPr>
        <w:t>Lapse in statute of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Foreign exchange translation adjustment</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6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(0.9 )</w:t>
            </w:r>
          </w:p>
        </w:tc>
      </w:tr>
      <w:tr>
        <w:trPr>
          <w:trHeight w:val="217"/>
        </w:trPr>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182"/>
        </w:trPr>
        <w:tc>
          <w:tcPr>
            <w:tcW w:w="780" w:type="dxa"/>
            <w:vAlign w:val="bottom"/>
            <w:tcBorders>
              <w:top w:val="single" w:sz="8" w:color="auto"/>
            </w:tcBorders>
          </w:tcPr>
          <w:p>
            <w:pPr>
              <w:jc w:val="right"/>
              <w:ind w:right="5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127.7</w:t>
            </w:r>
          </w:p>
        </w:tc>
        <w:tc>
          <w:tcPr>
            <w:tcW w:w="60" w:type="dxa"/>
            <w:vAlign w:val="bottom"/>
          </w:tcPr>
          <w:p>
            <w:pPr>
              <w:spacing w:after="0"/>
              <w:rPr>
                <w:sz w:val="15"/>
                <w:szCs w:val="15"/>
                <w:color w:val="auto"/>
              </w:rPr>
            </w:pPr>
          </w:p>
        </w:tc>
      </w:tr>
      <w:tr>
        <w:trPr>
          <w:trHeight w:val="203"/>
        </w:trPr>
        <w:tc>
          <w:tcPr>
            <w:tcW w:w="7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(9.3 )</w:t>
            </w:r>
          </w:p>
        </w:tc>
      </w:tr>
      <w:tr>
        <w:trPr>
          <w:trHeight w:val="217"/>
        </w:trPr>
        <w:tc>
          <w:tcPr>
            <w:tcW w:w="7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196"/>
        </w:trPr>
        <w:tc>
          <w:tcPr>
            <w:tcW w:w="78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w:t>
            </w:r>
          </w:p>
        </w:tc>
        <w:tc>
          <w:tcPr>
            <w:tcW w:w="60" w:type="dxa"/>
            <w:vAlign w:val="bottom"/>
          </w:tcPr>
          <w:p>
            <w:pPr>
              <w:spacing w:after="0"/>
              <w:rPr>
                <w:sz w:val="17"/>
                <w:szCs w:val="17"/>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220"/>
          </w:cols>
          <w:pgMar w:left="320" w:top="544" w:right="339" w:bottom="1440" w:gutter="0" w:footer="0" w:header="0"/>
          <w:type w:val="continuous"/>
        </w:sectPr>
      </w:pPr>
    </w:p>
    <w:p>
      <w:pPr>
        <w:spacing w:after="0" w:line="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accrued potential penalties and interest on the unrecognized tax benefits of $3.4 million and $0.3 million during 2021 and 2020, respectively, and have recorded a total liability for potential penalties and interest, including penalties and interest related to unrecognized tax benefits, of $32.8 million and $29.9 million at December 31, 2021 and 2020, respectively. Our unrecognized tax benefits increased from 2020 to 2021 due to increases in current and prior year tax positions, offset partially by a decrease due to a lapse in the statute of limitations for certain domestic filings. Our unrecognized tax benefits decreased from 2019 to 2020 due to a lapse in the statute of limitations for certain domestic tax filings, settlements with state tax authorities and decreases in prior year tax positions, offset partially by an increase in current year tax positions. Our unrecognized tax benefits as of December 31, 2021 relate to domestic and foreign taxing jurisdictions and are recorded in other long-term liabilities on our Consolidated Balance Sheet at December 31, 2021.</w:t>
      </w:r>
    </w:p>
    <w:p>
      <w:pPr>
        <w:spacing w:after="0" w:line="163"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We are subject to examination by tax authorities throughout the world, including such major jurisdictions as the U.S., United Kingdom, India, California, Massachusetts, Missouri, New Jersey and New York. In these major jurisdictions, we are no longer subject to examination by tax authorities prior to tax years ending 2017, 2020, 2013, 2007, 2018, 2018, 2017 and 2015, respectively. Our U.S. federal income tax returns are currently under audit for the tax periods ended December 31, 2017 through December 31, 2019. Our India income tax returns are currently under audit or in appeals for tax periods ending March 31, 2013, March 31, 2014, March 31, 2016, March 31, 2017, March 31, 2018, and March 31, 2019. Our California income tax returns are currently under audit or in appeals for the tax periods ended December 31, 2007 through 2016, December 31, 2018, and December 31, 2019. Our New York income tax returns are currently under audit for the tax periods ended December 31, 2015 through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cash obligations for our committed purchase obligations as of December 31, 2021 are as follows (in millions):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16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65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w:t>
            </w:r>
          </w:p>
        </w:tc>
        <w:tc>
          <w:tcPr>
            <w:tcW w:w="100" w:type="dxa"/>
            <w:vAlign w:val="bottom"/>
            <w:shd w:val="clear" w:color="auto" w:fill="CFF0FC"/>
          </w:tcPr>
          <w:p>
            <w:pPr>
              <w:spacing w:after="0"/>
              <w:rPr>
                <w:sz w:val="17"/>
                <w:szCs w:val="17"/>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100" w:type="dxa"/>
            <w:vAlign w:val="bottom"/>
          </w:tcPr>
          <w:p>
            <w:pPr>
              <w:spacing w:after="0"/>
              <w:rPr>
                <w:sz w:val="17"/>
                <w:szCs w:val="17"/>
                <w:color w:val="auto"/>
              </w:rPr>
            </w:pPr>
          </w:p>
        </w:tc>
      </w:tr>
      <w:tr>
        <w:trPr>
          <w:trHeight w:val="203"/>
        </w:trPr>
        <w:tc>
          <w:tcPr>
            <w:tcW w:w="1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5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7"/>
                <w:szCs w:val="17"/>
                <w:color w:val="auto"/>
              </w:rPr>
            </w:pPr>
          </w:p>
        </w:tc>
      </w:tr>
      <w:tr>
        <w:trPr>
          <w:trHeight w:val="203"/>
        </w:trPr>
        <w:tc>
          <w:tcPr>
            <w:tcW w:w="82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7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8220" w:type="dxa"/>
            <w:vAlign w:val="bottom"/>
            <w:tcBorders>
              <w:top w:val="single" w:sz="8" w:color="CFF0FC"/>
            </w:tcBorders>
            <w:gridSpan w:val="2"/>
          </w:tcPr>
          <w:p>
            <w:pPr>
              <w:ind w:left="100"/>
              <w:spacing w:after="0" w:line="182" w:lineRule="exact"/>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122.4</w:t>
            </w:r>
          </w:p>
        </w:tc>
        <w:tc>
          <w:tcPr>
            <w:tcW w:w="100" w:type="dxa"/>
            <w:vAlign w:val="bottom"/>
            <w:tcBorders>
              <w:top w:val="single" w:sz="8" w:color="CFF0FC"/>
            </w:tcBorders>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85" w:name="page86"/>
    <w:bookmarkEnd w:id="85"/>
    <w:p>
      <w:pPr>
        <w:jc w:val="both"/>
        <w:ind w:right="140" w:firstLine="554"/>
        <w:spacing w:after="0" w:line="262" w:lineRule="auto"/>
        <w:rPr>
          <w:sz w:val="20"/>
          <w:szCs w:val="20"/>
          <w:color w:val="auto"/>
        </w:rPr>
      </w:pPr>
      <w:r>
        <w:rPr>
          <w:rFonts w:ascii="Arial" w:cs="Arial" w:eastAsia="Arial" w:hAnsi="Arial"/>
          <w:sz w:val="17"/>
          <w:szCs w:val="17"/>
          <w:color w:val="auto"/>
        </w:rPr>
        <w:t>During the third quarter of 2021, in connection with the ongoing DST ERISA matters and associated legal proceedings described below, including the arbitration awards discussed below, we recorded an accrued liability and expense of $43.4 million to Other (expense) income, net on the Consolidated Statements of Comprehensive Income. Due to the inherent uncertainties associated with the resolution of this litigation, including the arbitration matters, the ultimate resolution of and any additional potential exposure related to these matters is uncertain at this time.</w:t>
      </w:r>
    </w:p>
    <w:p>
      <w:pPr>
        <w:spacing w:after="0" w:line="172"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Both DST and Ruane have filed answers denying the crossclaims asserted against them.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which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Rule 23(f) petitions remain pending before the Second Circuit.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37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The show-cause order was fully briefed on January 10, 2022.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which the DST Defendants opposed on February 14, 2022. On February 8, 2022, Arbitration Claimants noticed an appeal of the Court’s February 3, 2022 order.</w:t>
      </w:r>
    </w:p>
    <w:p>
      <w:pPr>
        <w:spacing w:after="0" w:line="186" w:lineRule="exact"/>
        <w:rPr>
          <w:sz w:val="20"/>
          <w:szCs w:val="20"/>
          <w:color w:val="auto"/>
        </w:rPr>
      </w:pPr>
    </w:p>
    <w:p>
      <w:pPr>
        <w:ind w:firstLine="509"/>
        <w:spacing w:after="0" w:line="206" w:lineRule="exact"/>
        <w:rPr>
          <w:sz w:val="20"/>
          <w:szCs w:val="20"/>
          <w:color w:val="auto"/>
        </w:rPr>
      </w:pPr>
      <w:r>
        <w:rPr>
          <w:rFonts w:ascii="Arial" w:cs="Arial" w:eastAsia="Arial" w:hAnsi="Arial"/>
          <w:sz w:val="17"/>
          <w:szCs w:val="17"/>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7"/>
          <w:szCs w:val="17"/>
          <w:color w:val="auto"/>
        </w:rPr>
        <w:t>‑</w:t>
      </w:r>
      <w:r>
        <w:rPr>
          <w:rFonts w:ascii="Arial" w:cs="Arial" w:eastAsia="Arial" w:hAnsi="Arial"/>
          <w:sz w:val="17"/>
          <w:szCs w:val="17"/>
          <w:color w:val="auto"/>
        </w:rPr>
        <w:t>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 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ind w:firstLine="509"/>
        <w:spacing w:after="0" w:line="252" w:lineRule="auto"/>
        <w:rPr>
          <w:sz w:val="20"/>
          <w:szCs w:val="20"/>
          <w:color w:val="auto"/>
        </w:rPr>
      </w:pPr>
      <w:r>
        <w:rPr>
          <w:rFonts w:ascii="Arial" w:cs="Arial" w:eastAsia="Arial" w:hAnsi="Arial"/>
          <w:sz w:val="17"/>
          <w:szCs w:val="17"/>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the Court’s November 19, 2021 orders dismissing their respective actions to the Second Circuit. That appeal remains pending.</w:t>
      </w:r>
    </w:p>
    <w:p>
      <w:pPr>
        <w:spacing w:after="0" w:line="18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All defendants’ motions to dismiss remain pending.</w:t>
      </w:r>
    </w:p>
    <w:p>
      <w:pPr>
        <w:spacing w:after="0" w:line="181"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DST, the Advisory Committee of the Plan, and the Compensation Committee of DST’s Board of Directors have been named in 579 substantially similar individual demands for arbitration through January 27, 2021,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has appealed those judgments to the Eighth Circuit. On November 20, 2021, DST requested that the Eighth Circuit stay the pending appeals in light of the preliminary injunction entered in Ferguson. On December 3, 2021, the Eighth Circuit ordered the parties to brief DST’s stay request. On December 17, 2021, Arbitration Claimants and DST filed with the Eighth Circuit their respective briefs addressing the DST’s stay request. On January 3, 2022, the Eighth Circuit declined to stay the briefing schedule on the pending appeals and consolidated those appeals. DST’s opening brief in the Eighth Circuit is due March 24, and the Eighth Circuit has placed the matter on the court's oral argument calendar for the week of June 13-17, 2022. On November 9, 2021, counsel for Arbitration Claimants filed in the Western District of Missouri a petition to compel arbitration captioned Addison v. DST Systems, Inc. (the “Addison Petition”) on behalf of 155 Arbitration Claimants, which DST opposed. On February 14, 2022, the Western District of Missouri stayed the Addison Petition pending resolution of DST's appeals of the confirmation of the 166 arbitration awards to the Eighth Circuit.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vigorously defend these matters.</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September 17, 2021, the remaining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right="40"/>
        <w:spacing w:after="0" w:line="284" w:lineRule="auto"/>
        <w:rPr>
          <w:sz w:val="20"/>
          <w:szCs w:val="20"/>
          <w:color w:val="auto"/>
        </w:rPr>
      </w:pPr>
      <w:r>
        <w:rPr>
          <w:rFonts w:ascii="Arial" w:cs="Arial" w:eastAsia="Arial" w:hAnsi="Arial"/>
          <w:sz w:val="16"/>
          <w:szCs w:val="16"/>
          <w:color w:val="auto"/>
        </w:rPr>
        <w:t>defendants filed a pre-motion letter requesting permission to file a motion to dismiss the complaint. On September 22, 2021, the DST plaintiffs responded to the remaining defendants’ pre-motion letter. On November 5, 2021, the Court denied the remaining defendants’ request for a pre-motion conference and granted the remaining defendants leave to file a motion to dismiss. On December 17, 2021, the remaining defendants filed a motion to dismiss the DST plaintiffs’ complaint. The DST plaintiffs’ opposition brief is due on March 11, 2022, and the motion is scheduled to be fully briefed by April 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and Geographic Information</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operate in one operating segment. Our geographic regions consist of the (a) United States, (b) Europe, Middle East and Africa, (c) Asia Pacific and Japan, (d) Canada and (e) the Americas, excluding the United States and Canada.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Long-lived assets as of December 31, were (in millions):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740" w:type="dxa"/>
            <w:vAlign w:val="bottom"/>
            <w:tcBorders>
              <w:top w:val="single" w:sz="8" w:color="auto"/>
            </w:tcBorders>
            <w:shd w:val="clear" w:color="auto" w:fill="CFF0FC"/>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285.7</w:t>
            </w:r>
          </w:p>
        </w:tc>
        <w:tc>
          <w:tcPr>
            <w:tcW w:w="18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307.1</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350.2</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7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Asia-Pacific and Japan</w:t>
            </w:r>
          </w:p>
        </w:tc>
        <w:tc>
          <w:tcPr>
            <w:tcW w:w="7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7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Americas, excluding United States and Canada</w:t>
            </w:r>
          </w:p>
        </w:tc>
        <w:tc>
          <w:tcPr>
            <w:tcW w:w="7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ind w:left="100"/>
              <w:spacing w:after="0" w:line="182" w:lineRule="exact"/>
              <w:rPr>
                <w:sz w:val="20"/>
                <w:szCs w:val="20"/>
                <w:color w:val="auto"/>
              </w:rPr>
            </w:pPr>
            <w:r>
              <w:rPr>
                <w:rFonts w:ascii="Arial" w:cs="Arial" w:eastAsia="Arial" w:hAnsi="Arial"/>
                <w:sz w:val="18"/>
                <w:szCs w:val="18"/>
                <w:color w:val="auto"/>
              </w:rPr>
              <w:t>Total</w:t>
            </w:r>
          </w:p>
        </w:tc>
        <w:tc>
          <w:tcPr>
            <w:tcW w:w="740" w:type="dxa"/>
            <w:vAlign w:val="bottom"/>
          </w:tcPr>
          <w:p>
            <w:pPr>
              <w:jc w:val="right"/>
              <w:ind w:right="55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w w:val="88"/>
              </w:rPr>
              <w:t>392.4</w:t>
            </w:r>
          </w:p>
        </w:tc>
        <w:tc>
          <w:tcPr>
            <w:tcW w:w="900" w:type="dxa"/>
            <w:vAlign w:val="bottom"/>
            <w:gridSpan w:val="2"/>
          </w:tcPr>
          <w:p>
            <w:pPr>
              <w:jc w:val="right"/>
              <w:ind w:right="530"/>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w w:val="84"/>
              </w:rPr>
              <w:t>424.5</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478.0</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-159385</wp:posOffset>
            </wp:positionV>
            <wp:extent cx="5143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431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Declared</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On February 17, 2022, our Board of Directors declared a quarterly cash dividend of $0.20 per share of common stock payable on March 15, 2022 to stockholders of record as of the close of business on March 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 December 1, 2021, we issued an announcement disclosing that our Board of Directors along with the Board of Directors of Blue Prism Group plc (“Blue Prism”) had reached an agreement on the terms of our recommended acquisition of Blue Prism. Under the terms of the acquisition, we will acquire Blue Prism for a value of approximately $1.7 billion. The closing, which is expected to occur in the first or second quarter of 2022, remains subject to a number of conditions. We plan to fund the acquisition with a combination of cash on hand and debt.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2021.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ind w:right="40"/>
        <w:spacing w:after="0" w:line="243" w:lineRule="auto"/>
        <w:rPr>
          <w:sz w:val="20"/>
          <w:szCs w:val="20"/>
          <w:color w:val="auto"/>
        </w:rPr>
      </w:pPr>
      <w:r>
        <w:rPr>
          <w:rFonts w:ascii="Arial" w:cs="Arial" w:eastAsia="Arial" w:hAnsi="Arial"/>
          <w:sz w:val="18"/>
          <w:szCs w:val="18"/>
          <w:color w:val="auto"/>
        </w:rPr>
        <w:t>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Management on Internal Control Over Financial Reporting</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a process designed to provide reasonable assurance regarding the reliability of our financial reporting and the preparation of financial statements for external purposes in accordance with generally accepted accounting principles. Internal control over financial reporting includes policies and procedures that: 1) pertain to maintaining records that in reasonable detail accurately and fairly reflect our transactions and dispositions of assets; 2) provide reasonable assurance that transactions are recorded as necessary to permit preparation of our financial statements in accordance with generally accepted accounting principles and that receipts and expenditures are made in accordance with management and board of director authorization; and 3) provide reasonable assurance regarding the prevention or timely detection of unauthorized acquisition, use or disposition of company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Committee of Sponsoring Organizations of the Treadway Commission.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2021.</w:t>
      </w:r>
    </w:p>
    <w:p>
      <w:pPr>
        <w:spacing w:after="0" w:line="182"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report, which is included herein.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December 31, 2021,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Incorporated by reference from the information in our proxy statement for the 2022 annual meeting of stockholders, which we intend to file within 120 days after the end of the fiscal year to which this annual report on Form 10-K relates.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Incorporated by reference from the information in our proxy statement for the 2022 annual meeting of stockholders, which we intend to file within 120 days after the end of the fiscal year to which this annual report on Form 10-K relates.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Incorporated by reference from the information in our proxy statement for the 2022 annual meeting of stockholders, which we intend to file within 120 days after the end of the fiscal year to which this annual report on Form 10-K relates.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Incorporated by reference from the information in our proxy statement for the 2022 annual meeting of stockholders, which we intend to file within 120 days after the end of the fiscal year to which this annual report on Form 10-K relates.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Incorporated by reference from the information in our proxy statement for the 2022 annual meeting of stockholders, which we intend to file within 120 days after the end of the fiscal year to which this annual report on Form 10-K relates.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16" w:lineRule="exact"/>
        <w:rPr>
          <w:sz w:val="20"/>
          <w:szCs w:val="20"/>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1220" w:hanging="374"/>
        <w:spacing w:after="0"/>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Financial Statements — See Index to Financial Statements in Item 8 of this Report.</w:t>
      </w:r>
    </w:p>
    <w:p>
      <w:pPr>
        <w:spacing w:after="0" w:line="211" w:lineRule="exact"/>
        <w:rPr>
          <w:rFonts w:ascii="Arial" w:cs="Arial" w:eastAsia="Arial" w:hAnsi="Arial"/>
          <w:sz w:val="18"/>
          <w:szCs w:val="18"/>
          <w:color w:val="auto"/>
        </w:rPr>
      </w:pPr>
    </w:p>
    <w:p>
      <w:pPr>
        <w:ind w:left="1220" w:right="120" w:hanging="374"/>
        <w:spacing w:after="0" w:line="261"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are not submitted because they are not applicable, not required or the information is included in our Consolidated Financial Statements.</w:t>
      </w:r>
    </w:p>
    <w:p>
      <w:pPr>
        <w:spacing w:after="0" w:line="170" w:lineRule="exact"/>
        <w:rPr>
          <w:rFonts w:ascii="Arial" w:cs="Arial" w:eastAsia="Arial" w:hAnsi="Arial"/>
          <w:sz w:val="18"/>
          <w:szCs w:val="18"/>
          <w:color w:val="auto"/>
        </w:rPr>
      </w:pPr>
    </w:p>
    <w:p>
      <w:pPr>
        <w:ind w:left="1220" w:hanging="374"/>
        <w:spacing w:after="0"/>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Exhibits — See the Exhibit listing below.</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8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p>
      <w:pPr>
        <w:ind w:left="20"/>
        <w:spacing w:after="0"/>
        <w:rPr>
          <w:sz w:val="20"/>
          <w:szCs w:val="20"/>
          <w:color w:val="auto"/>
        </w:rPr>
      </w:pPr>
      <w:r>
        <w:rPr>
          <w:rFonts w:ascii="Arial" w:cs="Arial" w:eastAsia="Arial" w:hAnsi="Arial"/>
          <w:sz w:val="15"/>
          <w:szCs w:val="15"/>
          <w:color w:val="auto"/>
        </w:rPr>
        <w:t>3.1</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4.1</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4.2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br w:type="column"/>
      </w:r>
    </w:p>
    <w:p>
      <w:pPr>
        <w:ind w:right="460"/>
        <w:spacing w:after="0" w:line="227" w:lineRule="auto"/>
        <w:rPr>
          <w:rFonts w:ascii="Arial" w:cs="Arial" w:eastAsia="Arial" w:hAnsi="Arial"/>
          <w:sz w:val="18"/>
          <w:szCs w:val="18"/>
          <w:u w:val="single" w:color="auto"/>
          <w:color w:val="0000FF"/>
        </w:rPr>
      </w:pPr>
      <w:hyperlink r:id="rId430">
        <w:r>
          <w:rPr>
            <w:rFonts w:ascii="Arial" w:cs="Arial" w:eastAsia="Arial" w:hAnsi="Arial"/>
            <w:sz w:val="18"/>
            <w:szCs w:val="18"/>
            <w:u w:val="single" w:color="auto"/>
            <w:color w:val="0000FF"/>
          </w:rPr>
          <w:t>Restated Certificate of Incorporation of the Registrant is incorporated herein by reference to Exhibit 3.1 to the Company’s Quarterly</w:t>
        </w:r>
      </w:hyperlink>
      <w:r>
        <w:rPr>
          <w:rFonts w:ascii="Arial" w:cs="Arial" w:eastAsia="Arial" w:hAnsi="Arial"/>
          <w:sz w:val="18"/>
          <w:szCs w:val="18"/>
          <w:u w:val="single" w:color="auto"/>
          <w:color w:val="0000FF"/>
        </w:rPr>
        <w:t xml:space="preserve"> </w:t>
      </w:r>
      <w:hyperlink r:id="rId430">
        <w:r>
          <w:rPr>
            <w:rFonts w:ascii="Arial" w:cs="Arial" w:eastAsia="Arial" w:hAnsi="Arial"/>
            <w:sz w:val="18"/>
            <w:szCs w:val="18"/>
            <w:u w:val="single" w:color="auto"/>
            <w:color w:val="0000FF"/>
          </w:rPr>
          <w:t>Report on Form 10-Q, filed on August 5, 2016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0725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6072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31356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3135630" cy="8255"/>
                    </a:xfrm>
                    <a:prstGeom prst="rect">
                      <a:avLst/>
                    </a:prstGeom>
                    <a:noFill/>
                  </pic:spPr>
                </pic:pic>
              </a:graphicData>
            </a:graphic>
          </wp:anchor>
        </w:drawing>
      </w:r>
    </w:p>
    <w:p>
      <w:pPr>
        <w:spacing w:after="0" w:line="219" w:lineRule="auto"/>
        <w:rPr>
          <w:rFonts w:ascii="Arial" w:cs="Arial" w:eastAsia="Arial" w:hAnsi="Arial"/>
          <w:sz w:val="18"/>
          <w:szCs w:val="18"/>
          <w:u w:val="single" w:color="auto"/>
          <w:color w:val="0000FF"/>
        </w:rPr>
      </w:pPr>
      <w:hyperlink r:id="rId433">
        <w:r>
          <w:rPr>
            <w:rFonts w:ascii="Arial" w:cs="Arial" w:eastAsia="Arial" w:hAnsi="Arial"/>
            <w:sz w:val="18"/>
            <w:szCs w:val="18"/>
            <w:u w:val="single" w:color="auto"/>
            <w:color w:val="0000FF"/>
          </w:rPr>
          <w:t>Amended and Restated Bylaws of the Registrant are incorporated herein by reference to Exhibit 3.4 to the Form S-1, as amended (File No.</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333-164043) (the “2010 Form S-1”)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3436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6560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ind w:right="220"/>
        <w:spacing w:after="0" w:line="213" w:lineRule="auto"/>
        <w:rPr>
          <w:rFonts w:ascii="Arial" w:cs="Arial" w:eastAsia="Arial" w:hAnsi="Arial"/>
          <w:sz w:val="18"/>
          <w:szCs w:val="18"/>
          <w:u w:val="single" w:color="auto"/>
          <w:color w:val="0000FF"/>
        </w:rPr>
      </w:pPr>
      <w:hyperlink r:id="rId436">
        <w:r>
          <w:rPr>
            <w:rFonts w:ascii="Arial" w:cs="Arial" w:eastAsia="Arial" w:hAnsi="Arial"/>
            <w:sz w:val="18"/>
            <w:szCs w:val="18"/>
            <w:u w:val="single" w:color="auto"/>
            <w:color w:val="0000FF"/>
          </w:rPr>
          <w:t>Indenture, dated as of March 28, 2019, among SS&amp;C Technologies, Inc., SS&amp;C Technologies Holdings, Inc., the other guarantors party</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thereto and Wilmington Trust, National Association, as trustee is incorporated by reference to Exhibit 4.1 to the Registrant’s Current</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Report on Form 8-K, filed on March 28, 2019 (File No. 001-34675)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-238760</wp:posOffset>
            </wp:positionV>
            <wp:extent cx="62287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62287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60833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60833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31032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right="80"/>
        <w:spacing w:after="0" w:line="219" w:lineRule="auto"/>
        <w:rPr>
          <w:rFonts w:ascii="Arial" w:cs="Arial" w:eastAsia="Arial" w:hAnsi="Arial"/>
          <w:sz w:val="18"/>
          <w:szCs w:val="18"/>
          <w:u w:val="single" w:color="auto"/>
          <w:color w:val="0000FF"/>
        </w:rPr>
      </w:pPr>
      <w:hyperlink r:id="rId436">
        <w:r>
          <w:rPr>
            <w:rFonts w:ascii="Arial" w:cs="Arial" w:eastAsia="Arial" w:hAnsi="Arial"/>
            <w:sz w:val="18"/>
            <w:szCs w:val="18"/>
            <w:u w:val="single" w:color="auto"/>
            <w:color w:val="0000FF"/>
          </w:rPr>
          <w:t>Form of 5.500 % Senior Notes due 2027 is incorporated by reference to Exhibit 4.2 to the Registrant’s Current Report on Form 8-K, filed</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on March 28, 2019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3112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63112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8719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1871980" cy="8890"/>
                    </a:xfrm>
                    <a:prstGeom prst="rect">
                      <a:avLst/>
                    </a:prstGeom>
                    <a:noFill/>
                  </pic:spPr>
                </pic:pic>
              </a:graphicData>
            </a:graphic>
          </wp:anchor>
        </w:drawing>
      </w:r>
    </w:p>
    <w:p>
      <w:pPr>
        <w:ind w:right="80"/>
        <w:spacing w:after="0" w:line="226" w:lineRule="auto"/>
        <w:rPr>
          <w:rFonts w:ascii="Arial" w:cs="Arial" w:eastAsia="Arial" w:hAnsi="Arial"/>
          <w:sz w:val="18"/>
          <w:szCs w:val="18"/>
          <w:u w:val="single" w:color="auto"/>
          <w:color w:val="0000FF"/>
        </w:rPr>
      </w:pPr>
      <w:hyperlink r:id="rId442">
        <w:r>
          <w:rPr>
            <w:rFonts w:ascii="Arial" w:cs="Arial" w:eastAsia="Arial" w:hAnsi="Arial"/>
            <w:sz w:val="18"/>
            <w:szCs w:val="18"/>
            <w:u w:val="single" w:color="auto"/>
            <w:color w:val="0000FF"/>
          </w:rPr>
          <w:t>Description of Securities Registered Pursuant to Section 12 of the Securities Exchange Act of 1934 in incorporated herein by reference to</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Exhibit 4.3 to the Company’s Annual Report on Form 10-K, filed on February 28, 2020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3169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6316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501078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501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 w:space="720"/>
            <w:col w:w="9980"/>
          </w:cols>
          <w:pgMar w:left="320" w:top="324" w:right="359" w:bottom="1440" w:gutter="0" w:footer="0" w:header="0"/>
          <w:type w:val="continuous"/>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10100" w:type="dxa"/>
            <w:vAlign w:val="bottom"/>
            <w:gridSpan w:val="45"/>
          </w:tcPr>
          <w:p>
            <w:pPr>
              <w:spacing w:after="0"/>
              <w:rPr>
                <w:rFonts w:ascii="Arial" w:cs="Arial" w:eastAsia="Arial" w:hAnsi="Arial"/>
                <w:sz w:val="18"/>
                <w:szCs w:val="18"/>
                <w:color w:val="0000FF"/>
                <w:w w:val="91"/>
              </w:rPr>
            </w:pPr>
            <w:hyperlink r:id="rId446">
              <w:r>
                <w:rPr>
                  <w:rFonts w:ascii="Arial" w:cs="Arial" w:eastAsia="Arial" w:hAnsi="Arial"/>
                  <w:sz w:val="18"/>
                  <w:szCs w:val="18"/>
                  <w:color w:val="0000FF"/>
                  <w:w w:val="91"/>
                </w:rPr>
                <w:t>Credit Agreement, dated as of July 8, 2015, by and among SS&amp;C Technologies Holdings, Inc., SS&amp;C Technologies, Inc., SS&amp;C European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43"/>
          </w:tcPr>
          <w:p>
            <w:pPr>
              <w:spacing w:after="0" w:line="156" w:lineRule="exact"/>
              <w:rPr>
                <w:rFonts w:ascii="Arial" w:cs="Arial" w:eastAsia="Arial" w:hAnsi="Arial"/>
                <w:sz w:val="18"/>
                <w:szCs w:val="18"/>
                <w:color w:val="0000FF"/>
                <w:w w:val="93"/>
              </w:rPr>
            </w:pPr>
            <w:hyperlink r:id="rId446">
              <w:r>
                <w:rPr>
                  <w:rFonts w:ascii="Arial" w:cs="Arial" w:eastAsia="Arial" w:hAnsi="Arial"/>
                  <w:sz w:val="18"/>
                  <w:szCs w:val="18"/>
                  <w:color w:val="0000FF"/>
                  <w:w w:val="93"/>
                </w:rPr>
                <w:t>Holdings S.a R.L, SS&amp;C Technologies Holdings Europe S.a R.L., certain of SS&amp;C’s subsidiaries, Deutsche Bank AG New York Branch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0"/>
              </w:rPr>
            </w:pPr>
            <w:hyperlink r:id="rId446">
              <w:r>
                <w:rPr>
                  <w:rFonts w:ascii="Arial" w:cs="Arial" w:eastAsia="Arial" w:hAnsi="Arial"/>
                  <w:sz w:val="18"/>
                  <w:szCs w:val="18"/>
                  <w:color w:val="0000FF"/>
                  <w:w w:val="90"/>
                </w:rPr>
                <w:t>and certain Lenders and L/C Issuers party thereto is incorporated herein by reference to Exhibit 10.2 of the Registrants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3"/>
                <w:szCs w:val="13"/>
                <w:color w:val="auto"/>
              </w:rPr>
            </w:pPr>
          </w:p>
        </w:tc>
        <w:tc>
          <w:tcPr>
            <w:tcW w:w="9960" w:type="dxa"/>
            <w:vAlign w:val="bottom"/>
            <w:gridSpan w:val="38"/>
          </w:tcPr>
          <w:p>
            <w:pPr>
              <w:spacing w:after="0" w:line="156" w:lineRule="exact"/>
              <w:rPr>
                <w:rFonts w:ascii="Arial" w:cs="Arial" w:eastAsia="Arial" w:hAnsi="Arial"/>
                <w:sz w:val="18"/>
                <w:szCs w:val="18"/>
                <w:color w:val="0000FF"/>
              </w:rPr>
            </w:pPr>
            <w:hyperlink r:id="rId446">
              <w:r>
                <w:rPr>
                  <w:rFonts w:ascii="Arial" w:cs="Arial" w:eastAsia="Arial" w:hAnsi="Arial"/>
                  <w:sz w:val="18"/>
                  <w:szCs w:val="18"/>
                  <w:color w:val="0000FF"/>
                </w:rPr>
                <w:t>Form 8-K, filed on July 8, 2015 (File No. 001-34675)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6220" w:type="dxa"/>
            <w:vAlign w:val="bottom"/>
            <w:gridSpan w:val="36"/>
            <w:vMerge w:val="restart"/>
          </w:tcPr>
          <w:p>
            <w:pPr>
              <w:spacing w:after="0" w:line="202" w:lineRule="exact"/>
              <w:rPr>
                <w:rFonts w:ascii="Arial" w:cs="Arial" w:eastAsia="Arial" w:hAnsi="Arial"/>
                <w:sz w:val="18"/>
                <w:szCs w:val="18"/>
                <w:color w:val="0000FF"/>
              </w:rPr>
            </w:pPr>
            <w:hyperlink r:id="rId447">
              <w:r>
                <w:rPr>
                  <w:rFonts w:ascii="Arial" w:cs="Arial" w:eastAsia="Arial" w:hAnsi="Arial"/>
                  <w:sz w:val="18"/>
                  <w:szCs w:val="18"/>
                  <w:color w:val="0000FF"/>
                </w:rPr>
                <w:t>of March 2, 2017, by and among SS&amp;C Technologies Holdings, Inc., SS&amp;C</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3880" w:type="dxa"/>
            <w:vAlign w:val="bottom"/>
            <w:gridSpan w:val="9"/>
          </w:tcPr>
          <w:p>
            <w:pPr>
              <w:spacing w:after="0" w:line="182" w:lineRule="exact"/>
              <w:rPr>
                <w:rFonts w:ascii="Arial" w:cs="Arial" w:eastAsia="Arial" w:hAnsi="Arial"/>
                <w:sz w:val="18"/>
                <w:szCs w:val="18"/>
                <w:color w:val="0000FF"/>
                <w:w w:val="91"/>
              </w:rPr>
            </w:pPr>
            <w:hyperlink r:id="rId447">
              <w:r>
                <w:rPr>
                  <w:rFonts w:ascii="Arial" w:cs="Arial" w:eastAsia="Arial" w:hAnsi="Arial"/>
                  <w:sz w:val="18"/>
                  <w:szCs w:val="18"/>
                  <w:color w:val="0000FF"/>
                  <w:w w:val="91"/>
                </w:rPr>
                <w:t>Amendment No. 1 to the Credit Agreement, dated as</w:t>
              </w:r>
            </w:hyperlink>
          </w:p>
        </w:tc>
        <w:tc>
          <w:tcPr>
            <w:tcW w:w="6220" w:type="dxa"/>
            <w:vAlign w:val="bottom"/>
            <w:gridSpan w:val="3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80" w:type="dxa"/>
            <w:vAlign w:val="bottom"/>
            <w:gridSpan w:val="44"/>
          </w:tcPr>
          <w:p>
            <w:pPr>
              <w:spacing w:after="0" w:line="156" w:lineRule="exact"/>
              <w:rPr>
                <w:rFonts w:ascii="Arial" w:cs="Arial" w:eastAsia="Arial" w:hAnsi="Arial"/>
                <w:sz w:val="18"/>
                <w:szCs w:val="18"/>
                <w:color w:val="0000FF"/>
                <w:w w:val="94"/>
              </w:rPr>
            </w:pPr>
            <w:hyperlink r:id="rId447">
              <w:r>
                <w:rPr>
                  <w:rFonts w:ascii="Arial" w:cs="Arial" w:eastAsia="Arial" w:hAnsi="Arial"/>
                  <w:sz w:val="18"/>
                  <w:szCs w:val="18"/>
                  <w:color w:val="0000FF"/>
                  <w:w w:val="94"/>
                </w:rPr>
                <w:t>Technologies, Inc., SS&amp;C European Holdings S.a R.L, SS&amp;C Technologies Holdings Europe S.a R.L., certain of SS&amp;C’s subsidiaries,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447">
              <w:r>
                <w:rPr>
                  <w:rFonts w:ascii="Arial" w:cs="Arial" w:eastAsia="Arial" w:hAnsi="Arial"/>
                  <w:sz w:val="18"/>
                  <w:szCs w:val="18"/>
                  <w:color w:val="0000FF"/>
                  <w:w w:val="91"/>
                </w:rPr>
                <w:t>Deutsche Bank AG New York Branch and certain Lenders and L/C Issuers party thereto is incorporated herein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4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on March 6, 2017 (File No. 001-34675)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gridSpan w:val="31"/>
            <w:vMerge w:val="restart"/>
          </w:tcPr>
          <w:p>
            <w:pPr>
              <w:spacing w:after="0" w:line="202" w:lineRule="exact"/>
              <w:rPr>
                <w:rFonts w:ascii="Arial" w:cs="Arial" w:eastAsia="Arial" w:hAnsi="Arial"/>
                <w:sz w:val="18"/>
                <w:szCs w:val="18"/>
                <w:color w:val="0000FF"/>
              </w:rPr>
            </w:pPr>
            <w:hyperlink r:id="rId448">
              <w:r>
                <w:rPr>
                  <w:rFonts w:ascii="Arial" w:cs="Arial" w:eastAsia="Arial" w:hAnsi="Arial"/>
                  <w:sz w:val="18"/>
                  <w:szCs w:val="18"/>
                  <w:color w:val="0000FF"/>
                </w:rPr>
                <w:t>Holdings, Inc., SS&amp;C Technologies,</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7120" w:type="dxa"/>
            <w:vAlign w:val="bottom"/>
            <w:gridSpan w:val="14"/>
          </w:tcPr>
          <w:p>
            <w:pPr>
              <w:spacing w:after="0" w:line="182"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Second Amendment to Credit Agreement, dated as of March 9, 2018, among SS&amp;C Technologies</w:t>
              </w:r>
            </w:hyperlink>
          </w:p>
        </w:tc>
        <w:tc>
          <w:tcPr>
            <w:tcW w:w="2980" w:type="dxa"/>
            <w:vAlign w:val="bottom"/>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Inc., SS&amp;C European Holdings S.a R.L, SS&amp;C Technologies Holdings Europe S.a R.L., the Company’s other subsidiaries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gridSpan w:val="31"/>
          </w:tcPr>
          <w:p>
            <w:pPr>
              <w:spacing w:after="0" w:line="156" w:lineRule="exact"/>
              <w:rPr>
                <w:rFonts w:ascii="Arial" w:cs="Arial" w:eastAsia="Arial" w:hAnsi="Arial"/>
                <w:sz w:val="18"/>
                <w:szCs w:val="18"/>
                <w:color w:val="0000FF"/>
                <w:w w:val="91"/>
              </w:rPr>
            </w:pPr>
            <w:hyperlink r:id="rId448">
              <w:r>
                <w:rPr>
                  <w:rFonts w:ascii="Arial" w:cs="Arial" w:eastAsia="Arial" w:hAnsi="Arial"/>
                  <w:sz w:val="18"/>
                  <w:szCs w:val="18"/>
                  <w:color w:val="0000FF"/>
                  <w:w w:val="91"/>
                </w:rPr>
                <w:t>Credit Suisse AG, Cayman Islands Branch, as administrative agent, and the lenders and L/C issuers party thereto (Exhibit A thereto is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6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1"/>
              </w:rPr>
            </w:pPr>
            <w:hyperlink r:id="rId448">
              <w:r>
                <w:rPr>
                  <w:rFonts w:ascii="Arial" w:cs="Arial" w:eastAsia="Arial" w:hAnsi="Arial"/>
                  <w:sz w:val="18"/>
                  <w:szCs w:val="18"/>
                  <w:color w:val="0000FF"/>
                  <w:w w:val="91"/>
                </w:rPr>
                <w:t>incorporated herein by reference to Exhibit 10.1 to the Registrant’s Current Report on Form 8-K, filed on April 16, 2018 (File No. 001</w:t>
              </w:r>
            </w:hyperlink>
          </w:p>
        </w:tc>
        <w:tc>
          <w:tcPr>
            <w:tcW w:w="100" w:type="dxa"/>
            <w:vAlign w:val="bottom"/>
            <w:tcBorders>
              <w:bottom w:val="single" w:sz="8" w:color="0000FF"/>
            </w:tcBorders>
            <w:gridSpan w:val="5"/>
          </w:tcPr>
          <w:p>
            <w:pPr>
              <w:jc w:val="right"/>
              <w:ind w:right="60"/>
              <w:spacing w:after="0"/>
              <w:rPr>
                <w:rFonts w:ascii="Arial" w:cs="Arial" w:eastAsia="Arial" w:hAnsi="Arial"/>
                <w:sz w:val="8"/>
                <w:szCs w:val="8"/>
                <w:color w:val="0000FF"/>
                <w:w w:val="73"/>
              </w:rPr>
            </w:pPr>
            <w:hyperlink r:id="rId448">
              <w:r>
                <w:rPr>
                  <w:rFonts w:ascii="Arial" w:cs="Arial" w:eastAsia="Arial" w:hAnsi="Arial"/>
                  <w:sz w:val="8"/>
                  <w:szCs w:val="8"/>
                  <w:color w:val="0000FF"/>
                  <w:w w:val="73"/>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580" w:type="dxa"/>
            <w:vAlign w:val="bottom"/>
            <w:gridSpan w:val="2"/>
          </w:tcPr>
          <w:p>
            <w:pPr>
              <w:spacing w:after="0" w:line="156" w:lineRule="exact"/>
              <w:rPr>
                <w:rFonts w:ascii="Arial" w:cs="Arial" w:eastAsia="Arial" w:hAnsi="Arial"/>
                <w:sz w:val="18"/>
                <w:szCs w:val="18"/>
                <w:color w:val="0000FF"/>
                <w:w w:val="86"/>
              </w:rPr>
            </w:pPr>
            <w:hyperlink r:id="rId448">
              <w:r>
                <w:rPr>
                  <w:rFonts w:ascii="Arial" w:cs="Arial" w:eastAsia="Arial" w:hAnsi="Arial"/>
                  <w:sz w:val="18"/>
                  <w:szCs w:val="18"/>
                  <w:color w:val="0000FF"/>
                  <w:w w:val="86"/>
                </w:rPr>
                <w:t>34675)</w:t>
              </w:r>
              <w:r>
                <w:rPr>
                  <w:rFonts w:ascii="Arial" w:cs="Arial" w:eastAsia="Arial" w:hAnsi="Arial"/>
                  <w:sz w:val="18"/>
                  <w:szCs w:val="18"/>
                  <w:u w:val="single" w:color="auto"/>
                  <w:color w:val="0000FF"/>
                  <w:w w:val="86"/>
                </w:rPr>
                <w:t>)</w:t>
              </w:r>
            </w:hyperlink>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100" w:type="dxa"/>
            <w:vAlign w:val="bottom"/>
            <w:gridSpan w:val="45"/>
          </w:tcPr>
          <w:p>
            <w:pPr>
              <w:spacing w:after="0" w:line="182" w:lineRule="exact"/>
              <w:rPr>
                <w:rFonts w:ascii="Arial" w:cs="Arial" w:eastAsia="Arial" w:hAnsi="Arial"/>
                <w:sz w:val="18"/>
                <w:szCs w:val="18"/>
                <w:color w:val="0000FF"/>
                <w:w w:val="91"/>
              </w:rPr>
            </w:pPr>
            <w:hyperlink r:id="rId449">
              <w:r>
                <w:rPr>
                  <w:rFonts w:ascii="Arial" w:cs="Arial" w:eastAsia="Arial" w:hAnsi="Arial"/>
                  <w:sz w:val="18"/>
                  <w:szCs w:val="18"/>
                  <w:color w:val="0000FF"/>
                  <w:w w:val="91"/>
                </w:rPr>
                <w:t>Commitment Increase Amendment, dated as of October 1, 2018, among SS&amp;C Technologies Holdings, Inc., certain of its subsidiaries and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43"/>
          </w:tcPr>
          <w:p>
            <w:pPr>
              <w:spacing w:after="0" w:line="156" w:lineRule="exact"/>
              <w:rPr>
                <w:rFonts w:ascii="Arial" w:cs="Arial" w:eastAsia="Arial" w:hAnsi="Arial"/>
                <w:sz w:val="18"/>
                <w:szCs w:val="18"/>
                <w:color w:val="0000FF"/>
                <w:w w:val="98"/>
              </w:rPr>
            </w:pPr>
            <w:hyperlink r:id="rId449">
              <w:r>
                <w:rPr>
                  <w:rFonts w:ascii="Arial" w:cs="Arial" w:eastAsia="Arial" w:hAnsi="Arial"/>
                  <w:sz w:val="18"/>
                  <w:szCs w:val="18"/>
                  <w:color w:val="0000FF"/>
                  <w:w w:val="98"/>
                </w:rPr>
                <w:t>Credit Suisse AG, Cayman Islands Branch, as administrative agent and lender is incorporated by reference to Exhibit 10.1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0000FF"/>
            </w:tcBorders>
          </w:tcPr>
          <w:p>
            <w:pPr>
              <w:spacing w:after="0"/>
              <w:rPr>
                <w:sz w:val="13"/>
                <w:szCs w:val="13"/>
                <w:color w:val="auto"/>
              </w:rPr>
            </w:pPr>
          </w:p>
        </w:tc>
        <w:tc>
          <w:tcPr>
            <w:tcW w:w="6420" w:type="dxa"/>
            <w:vAlign w:val="bottom"/>
            <w:tcBorders>
              <w:top w:val="single" w:sz="8" w:color="0000FF"/>
              <w:bottom w:val="single" w:sz="8" w:color="0000EE"/>
            </w:tcBorders>
            <w:gridSpan w:val="12"/>
          </w:tcPr>
          <w:p>
            <w:pPr>
              <w:spacing w:after="0" w:line="156" w:lineRule="exact"/>
              <w:rPr>
                <w:rFonts w:ascii="Arial" w:cs="Arial" w:eastAsia="Arial" w:hAnsi="Arial"/>
                <w:sz w:val="18"/>
                <w:szCs w:val="18"/>
                <w:color w:val="0000FF"/>
                <w:w w:val="91"/>
              </w:rPr>
            </w:pPr>
            <w:hyperlink r:id="rId449">
              <w:r>
                <w:rPr>
                  <w:rFonts w:ascii="Arial" w:cs="Arial" w:eastAsia="Arial" w:hAnsi="Arial"/>
                  <w:sz w:val="18"/>
                  <w:szCs w:val="18"/>
                  <w:color w:val="0000FF"/>
                  <w:w w:val="91"/>
                </w:rPr>
                <w:t>Registrant’s Current Report on Form 8-K, filed on October 5, 2018 (File No. 001-34675)</w:t>
              </w:r>
            </w:hyperlink>
          </w:p>
        </w:tc>
        <w:tc>
          <w:tcPr>
            <w:tcW w:w="284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100" w:type="dxa"/>
            <w:vAlign w:val="bottom"/>
            <w:gridSpan w:val="45"/>
          </w:tcPr>
          <w:p>
            <w:pPr>
              <w:spacing w:after="0" w:line="182" w:lineRule="exact"/>
              <w:rPr>
                <w:rFonts w:ascii="Arial" w:cs="Arial" w:eastAsia="Arial" w:hAnsi="Arial"/>
                <w:sz w:val="18"/>
                <w:szCs w:val="18"/>
                <w:color w:val="0000FF"/>
                <w:w w:val="92"/>
              </w:rPr>
            </w:pPr>
            <w:hyperlink r:id="rId450">
              <w:r>
                <w:rPr>
                  <w:rFonts w:ascii="Arial" w:cs="Arial" w:eastAsia="Arial" w:hAnsi="Arial"/>
                  <w:sz w:val="18"/>
                  <w:szCs w:val="18"/>
                  <w:color w:val="0000FF"/>
                  <w:w w:val="92"/>
                </w:rPr>
                <w:t>Commitment Increase Amendment dated as of November 16, 2018, among SS&amp;C Technologies Holdings, Inc., certain of its subsidiaries,</w:t>
              </w:r>
            </w:hyperlink>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3"/>
                <w:szCs w:val="13"/>
                <w:color w:val="auto"/>
              </w:rPr>
            </w:pPr>
          </w:p>
        </w:tc>
        <w:tc>
          <w:tcPr>
            <w:tcW w:w="99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50">
              <w:r>
                <w:rPr>
                  <w:rFonts w:ascii="Arial" w:cs="Arial" w:eastAsia="Arial" w:hAnsi="Arial"/>
                  <w:sz w:val="18"/>
                  <w:szCs w:val="18"/>
                  <w:color w:val="0000FF"/>
                </w:rPr>
                <w:t>Credit Suisse AG, Cayman Islands Branch, as administrative agent, and Deutsche Bank AG New York Branch, as lender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gridSpan w:val="27"/>
            <w:vMerge w:val="restart"/>
          </w:tcPr>
          <w:p>
            <w:pPr>
              <w:ind w:left="40"/>
              <w:spacing w:after="0" w:line="202" w:lineRule="exact"/>
              <w:rPr>
                <w:rFonts w:ascii="Arial" w:cs="Arial" w:eastAsia="Arial" w:hAnsi="Arial"/>
                <w:sz w:val="18"/>
                <w:szCs w:val="18"/>
                <w:color w:val="0000FF"/>
              </w:rPr>
            </w:pPr>
            <w:hyperlink r:id="rId451">
              <w:r>
                <w:rPr>
                  <w:rFonts w:ascii="Arial" w:cs="Arial" w:eastAsia="Arial" w:hAnsi="Arial"/>
                  <w:sz w:val="18"/>
                  <w:szCs w:val="18"/>
                  <w:color w:val="0000FF"/>
                </w:rPr>
                <w:t>Coinvestment,</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8680" w:type="dxa"/>
            <w:vAlign w:val="bottom"/>
            <w:gridSpan w:val="18"/>
          </w:tcPr>
          <w:p>
            <w:pPr>
              <w:spacing w:after="0" w:line="182" w:lineRule="exact"/>
              <w:rPr>
                <w:rFonts w:ascii="Arial" w:cs="Arial" w:eastAsia="Arial" w:hAnsi="Arial"/>
                <w:sz w:val="18"/>
                <w:szCs w:val="18"/>
                <w:color w:val="0000FF"/>
                <w:w w:val="90"/>
              </w:rPr>
            </w:pPr>
            <w:hyperlink r:id="rId451">
              <w:r>
                <w:rPr>
                  <w:rFonts w:ascii="Arial" w:cs="Arial" w:eastAsia="Arial" w:hAnsi="Arial"/>
                  <w:sz w:val="18"/>
                  <w:szCs w:val="18"/>
                  <w:color w:val="0000FF"/>
                  <w:w w:val="90"/>
                </w:rPr>
                <w:t>Stockholders Agreement, dated as of November 23, 2005, by and among the Registrant, Carlyle Partners IV, L.P., CP IV</w:t>
              </w:r>
            </w:hyperlink>
          </w:p>
        </w:tc>
        <w:tc>
          <w:tcPr>
            <w:tcW w:w="142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80" w:type="dxa"/>
            <w:vAlign w:val="bottom"/>
            <w:gridSpan w:val="44"/>
          </w:tcPr>
          <w:p>
            <w:pPr>
              <w:spacing w:after="0" w:line="156" w:lineRule="exact"/>
              <w:rPr>
                <w:rFonts w:ascii="Arial" w:cs="Arial" w:eastAsia="Arial" w:hAnsi="Arial"/>
                <w:sz w:val="18"/>
                <w:szCs w:val="18"/>
                <w:color w:val="0000FF"/>
                <w:w w:val="92"/>
              </w:rPr>
            </w:pPr>
            <w:hyperlink r:id="rId451">
              <w:r>
                <w:rPr>
                  <w:rFonts w:ascii="Arial" w:cs="Arial" w:eastAsia="Arial" w:hAnsi="Arial"/>
                  <w:sz w:val="18"/>
                  <w:szCs w:val="18"/>
                  <w:color w:val="0000FF"/>
                  <w:w w:val="92"/>
                </w:rPr>
                <w:t>L.P., William C. Stone and Other Executive Stockholders (as defined therein) is incorporated herein by reference to Exhibit 10.5 to SS&amp;C</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0000EE"/>
            </w:tcBorders>
          </w:tcPr>
          <w:p>
            <w:pPr>
              <w:spacing w:after="0"/>
              <w:rPr>
                <w:sz w:val="13"/>
                <w:szCs w:val="13"/>
                <w:color w:val="auto"/>
              </w:rPr>
            </w:pPr>
          </w:p>
        </w:tc>
        <w:tc>
          <w:tcPr>
            <w:tcW w:w="83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451">
              <w:r>
                <w:rPr>
                  <w:rFonts w:ascii="Arial" w:cs="Arial" w:eastAsia="Arial" w:hAnsi="Arial"/>
                  <w:sz w:val="18"/>
                  <w:szCs w:val="18"/>
                  <w:color w:val="0000FF"/>
                  <w:w w:val="90"/>
                </w:rPr>
                <w:t>Technologies, Inc’s Registration Statement on Form S-4, as amended (File No. 333-135139) (the “2006 Form S-4”)</w:t>
              </w:r>
            </w:hyperlink>
          </w:p>
        </w:tc>
        <w:tc>
          <w:tcPr>
            <w:tcW w:w="20" w:type="dxa"/>
            <w:vAlign w:val="bottom"/>
            <w:tcBorders>
              <w:top w:val="single" w:sz="8" w:color="0000FF"/>
              <w:bottom w:val="single" w:sz="8" w:color="0000EE"/>
            </w:tcBorders>
          </w:tcPr>
          <w:p>
            <w:pPr>
              <w:spacing w:after="0"/>
              <w:rPr>
                <w:sz w:val="13"/>
                <w:szCs w:val="13"/>
                <w:color w:val="auto"/>
              </w:rPr>
            </w:pPr>
          </w:p>
        </w:tc>
        <w:tc>
          <w:tcPr>
            <w:tcW w:w="16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100" w:type="dxa"/>
            <w:vAlign w:val="bottom"/>
            <w:gridSpan w:val="45"/>
          </w:tcPr>
          <w:p>
            <w:pPr>
              <w:spacing w:after="0" w:line="182" w:lineRule="exact"/>
              <w:rPr>
                <w:rFonts w:ascii="Arial" w:cs="Arial" w:eastAsia="Arial" w:hAnsi="Arial"/>
                <w:sz w:val="18"/>
                <w:szCs w:val="18"/>
                <w:color w:val="0000FF"/>
                <w:w w:val="93"/>
              </w:rPr>
            </w:pPr>
            <w:hyperlink r:id="rId452">
              <w:r>
                <w:rPr>
                  <w:rFonts w:ascii="Arial" w:cs="Arial" w:eastAsia="Arial" w:hAnsi="Arial"/>
                  <w:sz w:val="18"/>
                  <w:szCs w:val="18"/>
                  <w:color w:val="0000FF"/>
                  <w:w w:val="93"/>
                </w:rPr>
                <w:t>Amendment No. 1, dated April 22, 2008, to the Stockholders Agreement dated as of November 23, 2005, by and among the Registrant,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452">
              <w:r>
                <w:rPr>
                  <w:rFonts w:ascii="Arial" w:cs="Arial" w:eastAsia="Arial" w:hAnsi="Arial"/>
                  <w:sz w:val="18"/>
                  <w:szCs w:val="18"/>
                  <w:color w:val="0000FF"/>
                  <w:w w:val="93"/>
                </w:rPr>
                <w:t>Carlyle Partners IV, L.P., CP IV Coinvestment, L.P. and William C. Stone is incorporated herein by reference to Exhibit 10.28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3"/>
                <w:szCs w:val="13"/>
                <w:color w:val="auto"/>
              </w:rPr>
            </w:pPr>
          </w:p>
        </w:tc>
        <w:tc>
          <w:tcPr>
            <w:tcW w:w="95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452">
              <w:r>
                <w:rPr>
                  <w:rFonts w:ascii="Arial" w:cs="Arial" w:eastAsia="Arial" w:hAnsi="Arial"/>
                  <w:sz w:val="18"/>
                  <w:szCs w:val="18"/>
                  <w:color w:val="0000FF"/>
                </w:rPr>
                <w:t>Registrant’s Registration Statement on Form S-1, as amended (File No. 333-143719) (the “2008 Form S-1”)</w:t>
              </w:r>
            </w:hyperlink>
          </w:p>
        </w:tc>
        <w:tc>
          <w:tcPr>
            <w:tcW w:w="1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2320" w:type="dxa"/>
            <w:vAlign w:val="bottom"/>
            <w:gridSpan w:val="30"/>
            <w:vMerge w:val="restart"/>
          </w:tcPr>
          <w:p>
            <w:pPr>
              <w:jc w:val="right"/>
              <w:ind w:right="160"/>
              <w:spacing w:after="0" w:line="202" w:lineRule="exact"/>
              <w:rPr>
                <w:rFonts w:ascii="Arial" w:cs="Arial" w:eastAsia="Arial" w:hAnsi="Arial"/>
                <w:sz w:val="18"/>
                <w:szCs w:val="18"/>
                <w:color w:val="0000FF"/>
                <w:w w:val="91"/>
              </w:rPr>
            </w:pPr>
            <w:hyperlink r:id="rId453">
              <w:r>
                <w:rPr>
                  <w:rFonts w:ascii="Arial" w:cs="Arial" w:eastAsia="Arial" w:hAnsi="Arial"/>
                  <w:sz w:val="18"/>
                  <w:szCs w:val="18"/>
                  <w:color w:val="0000FF"/>
                  <w:w w:val="91"/>
                </w:rPr>
                <w:t>amended by Amendment No.</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7780" w:type="dxa"/>
            <w:vAlign w:val="bottom"/>
            <w:gridSpan w:val="15"/>
          </w:tcPr>
          <w:p>
            <w:pPr>
              <w:spacing w:after="0" w:line="182" w:lineRule="exact"/>
              <w:rPr>
                <w:rFonts w:ascii="Arial" w:cs="Arial" w:eastAsia="Arial" w:hAnsi="Arial"/>
                <w:sz w:val="18"/>
                <w:szCs w:val="18"/>
                <w:color w:val="0000FF"/>
                <w:w w:val="89"/>
              </w:rPr>
            </w:pPr>
            <w:hyperlink r:id="rId453">
              <w:r>
                <w:rPr>
                  <w:rFonts w:ascii="Arial" w:cs="Arial" w:eastAsia="Arial" w:hAnsi="Arial"/>
                  <w:sz w:val="18"/>
                  <w:szCs w:val="18"/>
                  <w:color w:val="0000FF"/>
                  <w:w w:val="89"/>
                </w:rPr>
                <w:t>Amendment No. 2, dated March 2, 2010, to the Stockholders Agreement dated as of November 23, 2005, as</w:t>
              </w:r>
            </w:hyperlink>
          </w:p>
        </w:tc>
        <w:tc>
          <w:tcPr>
            <w:tcW w:w="232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42"/>
          </w:tcPr>
          <w:p>
            <w:pPr>
              <w:spacing w:after="0" w:line="156" w:lineRule="exact"/>
              <w:rPr>
                <w:rFonts w:ascii="Arial" w:cs="Arial" w:eastAsia="Arial" w:hAnsi="Arial"/>
                <w:sz w:val="18"/>
                <w:szCs w:val="18"/>
                <w:color w:val="0000FF"/>
                <w:w w:val="92"/>
              </w:rPr>
            </w:pPr>
            <w:hyperlink r:id="rId453">
              <w:r>
                <w:rPr>
                  <w:rFonts w:ascii="Arial" w:cs="Arial" w:eastAsia="Arial" w:hAnsi="Arial"/>
                  <w:sz w:val="18"/>
                  <w:szCs w:val="18"/>
                  <w:color w:val="0000FF"/>
                  <w:w w:val="92"/>
                </w:rPr>
                <w:t>1 to the Stockholders Agreement dated April 22, 2008, by and among the Registrant, Carlyle Partners IV, L.P., CP IV Coinvestment, L.P.</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1"/>
              </w:rPr>
            </w:pPr>
            <w:hyperlink r:id="rId453">
              <w:r>
                <w:rPr>
                  <w:rFonts w:ascii="Arial" w:cs="Arial" w:eastAsia="Arial" w:hAnsi="Arial"/>
                  <w:sz w:val="18"/>
                  <w:szCs w:val="18"/>
                  <w:color w:val="0000FF"/>
                  <w:w w:val="91"/>
                </w:rPr>
                <w:t>and William C. Stone is incorporated herein by reference to Exhibit 10.1 to SS&amp;C Technologies, Inc.’s Current Report on Form 8-K, filed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3"/>
                <w:szCs w:val="13"/>
                <w:color w:val="auto"/>
              </w:rPr>
            </w:pPr>
          </w:p>
        </w:tc>
        <w:tc>
          <w:tcPr>
            <w:tcW w:w="10020" w:type="dxa"/>
            <w:vAlign w:val="bottom"/>
            <w:gridSpan w:val="41"/>
          </w:tcPr>
          <w:p>
            <w:pPr>
              <w:spacing w:after="0" w:line="156" w:lineRule="exact"/>
              <w:rPr>
                <w:rFonts w:ascii="Arial" w:cs="Arial" w:eastAsia="Arial" w:hAnsi="Arial"/>
                <w:sz w:val="18"/>
                <w:szCs w:val="18"/>
                <w:color w:val="0000FF"/>
              </w:rPr>
            </w:pPr>
            <w:hyperlink r:id="rId453">
              <w:r>
                <w:rPr>
                  <w:rFonts w:ascii="Arial" w:cs="Arial" w:eastAsia="Arial" w:hAnsi="Arial"/>
                  <w:sz w:val="18"/>
                  <w:szCs w:val="18"/>
                  <w:color w:val="0000FF"/>
                </w:rPr>
                <w:t>on March 2, 2010 (File No. 000-28430) (the “March 2, 2010 8-K”)</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100" w:type="dxa"/>
            <w:vAlign w:val="bottom"/>
            <w:gridSpan w:val="45"/>
          </w:tcPr>
          <w:p>
            <w:pPr>
              <w:spacing w:after="0" w:line="182" w:lineRule="exact"/>
              <w:rPr>
                <w:rFonts w:ascii="Arial" w:cs="Arial" w:eastAsia="Arial" w:hAnsi="Arial"/>
                <w:sz w:val="18"/>
                <w:szCs w:val="18"/>
                <w:color w:val="0000FF"/>
                <w:w w:val="93"/>
              </w:rPr>
            </w:pPr>
            <w:hyperlink r:id="rId454">
              <w:r>
                <w:rPr>
                  <w:rFonts w:ascii="Arial" w:cs="Arial" w:eastAsia="Arial" w:hAnsi="Arial"/>
                  <w:sz w:val="18"/>
                  <w:szCs w:val="18"/>
                  <w:color w:val="0000FF"/>
                  <w:w w:val="93"/>
                </w:rPr>
                <w:t>Amendment No. 3, dated March 10, 2011, to the Stockholders Agreement dated as of November 23, 2005, as amended by Amendment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0"/>
              </w:rPr>
            </w:pPr>
            <w:hyperlink r:id="rId454">
              <w:r>
                <w:rPr>
                  <w:rFonts w:ascii="Arial" w:cs="Arial" w:eastAsia="Arial" w:hAnsi="Arial"/>
                  <w:sz w:val="18"/>
                  <w:szCs w:val="18"/>
                  <w:color w:val="0000FF"/>
                  <w:w w:val="90"/>
                </w:rPr>
                <w:t>No. 1 to the Stockholders Agreement dated April 22, 2008, and Amendment No. 2 to the Stockholders Agreement dated March 2, 2010,</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bottom w:val="single" w:sz="8" w:color="0000FF"/>
            </w:tcBorders>
            <w:gridSpan w:val="20"/>
          </w:tcPr>
          <w:p>
            <w:pPr>
              <w:spacing w:after="0" w:line="156" w:lineRule="exact"/>
              <w:rPr>
                <w:rFonts w:ascii="Arial" w:cs="Arial" w:eastAsia="Arial" w:hAnsi="Arial"/>
                <w:sz w:val="18"/>
                <w:szCs w:val="18"/>
                <w:color w:val="0000FF"/>
                <w:w w:val="90"/>
              </w:rPr>
            </w:pPr>
            <w:hyperlink r:id="rId454">
              <w:r>
                <w:rPr>
                  <w:rFonts w:ascii="Arial" w:cs="Arial" w:eastAsia="Arial" w:hAnsi="Arial"/>
                  <w:sz w:val="18"/>
                  <w:szCs w:val="18"/>
                  <w:color w:val="0000FF"/>
                  <w:w w:val="90"/>
                </w:rPr>
                <w:t>by and among the Registrant, Carlyle Partners IV, L.P., CP IV Coinvestment, L.P. and William C. Stone is incorporated herein by</w:t>
              </w:r>
            </w:hyperlink>
          </w:p>
        </w:tc>
        <w:tc>
          <w:tcPr>
            <w:tcW w:w="50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4"/>
          </w:tcPr>
          <w:p>
            <w:pPr>
              <w:spacing w:after="0" w:line="156" w:lineRule="exact"/>
              <w:rPr>
                <w:rFonts w:ascii="Arial" w:cs="Arial" w:eastAsia="Arial" w:hAnsi="Arial"/>
                <w:sz w:val="18"/>
                <w:szCs w:val="18"/>
                <w:color w:val="0000FF"/>
                <w:w w:val="94"/>
              </w:rPr>
            </w:pPr>
            <w:hyperlink r:id="rId454">
              <w:r>
                <w:rPr>
                  <w:rFonts w:ascii="Arial" w:cs="Arial" w:eastAsia="Arial" w:hAnsi="Arial"/>
                  <w:sz w:val="18"/>
                  <w:szCs w:val="18"/>
                  <w:color w:val="0000FF"/>
                  <w:w w:val="94"/>
                </w:rPr>
                <w:t>reference to Exhibit 10.35 to SS&amp;C Technologies, Inc.’s Annual Report on Form 10-K for the year ended December 31, 2010 (File No.</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10.10</w:t>
            </w:r>
          </w:p>
        </w:tc>
        <w:tc>
          <w:tcPr>
            <w:tcW w:w="20" w:type="dxa"/>
            <w:vAlign w:val="bottom"/>
            <w:tcBorders>
              <w:bottom w:val="single" w:sz="8" w:color="0000EE"/>
            </w:tcBorders>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454">
              <w:r>
                <w:rPr>
                  <w:rFonts w:ascii="Arial" w:cs="Arial" w:eastAsia="Arial" w:hAnsi="Arial"/>
                  <w:sz w:val="18"/>
                  <w:szCs w:val="18"/>
                  <w:color w:val="0000FF"/>
                  <w:w w:val="86"/>
                </w:rPr>
                <w:t>000-28430)</w:t>
              </w:r>
            </w:hyperlink>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840" w:type="dxa"/>
            <w:vAlign w:val="bottom"/>
            <w:gridSpan w:val="3"/>
          </w:tcPr>
          <w:p>
            <w:pPr>
              <w:spacing w:after="0" w:line="182" w:lineRule="exact"/>
              <w:rPr>
                <w:rFonts w:ascii="Arial" w:cs="Arial" w:eastAsia="Arial" w:hAnsi="Arial"/>
                <w:sz w:val="18"/>
                <w:szCs w:val="18"/>
                <w:color w:val="0000FF"/>
                <w:w w:val="85"/>
              </w:rPr>
            </w:pPr>
            <w:hyperlink r:id="rId455">
              <w:r>
                <w:rPr>
                  <w:rFonts w:ascii="Arial" w:cs="Arial" w:eastAsia="Arial" w:hAnsi="Arial"/>
                  <w:sz w:val="18"/>
                  <w:szCs w:val="18"/>
                  <w:color w:val="0000FF"/>
                  <w:w w:val="85"/>
                </w:rPr>
                <w:t>Registration</w:t>
              </w:r>
            </w:hyperlink>
          </w:p>
        </w:tc>
        <w:tc>
          <w:tcPr>
            <w:tcW w:w="9260" w:type="dxa"/>
            <w:vAlign w:val="bottom"/>
            <w:gridSpan w:val="42"/>
          </w:tcPr>
          <w:p>
            <w:pPr>
              <w:ind w:left="80"/>
              <w:spacing w:after="0" w:line="182" w:lineRule="exact"/>
              <w:rPr>
                <w:rFonts w:ascii="Arial" w:cs="Arial" w:eastAsia="Arial" w:hAnsi="Arial"/>
                <w:sz w:val="18"/>
                <w:szCs w:val="18"/>
                <w:color w:val="0000FF"/>
              </w:rPr>
            </w:pPr>
            <w:hyperlink r:id="rId455">
              <w:r>
                <w:rPr>
                  <w:rFonts w:ascii="Arial" w:cs="Arial" w:eastAsia="Arial" w:hAnsi="Arial"/>
                  <w:sz w:val="18"/>
                  <w:szCs w:val="18"/>
                  <w:color w:val="0000FF"/>
                </w:rPr>
                <w:t>Rights Agreement, dated as of November 23, 2005, by and among the Registrant, Carlyle Partners IV, L.P., CP IV</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455">
              <w:r>
                <w:rPr>
                  <w:rFonts w:ascii="Arial" w:cs="Arial" w:eastAsia="Arial" w:hAnsi="Arial"/>
                  <w:sz w:val="18"/>
                  <w:szCs w:val="18"/>
                  <w:color w:val="0000FF"/>
                  <w:w w:val="90"/>
                </w:rPr>
                <w:t>Coinvestment, L.P., William C. Stone and Other Executive Investors (as defined therein) is incorporated herein by reference to</w:t>
              </w:r>
            </w:hyperlink>
          </w:p>
        </w:tc>
        <w:tc>
          <w:tcPr>
            <w:tcW w:w="940" w:type="dxa"/>
            <w:vAlign w:val="bottom"/>
            <w:gridSpan w:val="26"/>
          </w:tcPr>
          <w:p>
            <w:pPr>
              <w:spacing w:after="0" w:line="156" w:lineRule="exact"/>
              <w:rPr>
                <w:rFonts w:ascii="Arial" w:cs="Arial" w:eastAsia="Arial" w:hAnsi="Arial"/>
                <w:sz w:val="18"/>
                <w:szCs w:val="18"/>
                <w:color w:val="0000FF"/>
              </w:rPr>
            </w:pPr>
            <w:hyperlink r:id="rId455">
              <w:r>
                <w:rPr>
                  <w:rFonts w:ascii="Arial" w:cs="Arial" w:eastAsia="Arial" w:hAnsi="Arial"/>
                  <w:sz w:val="18"/>
                  <w:szCs w:val="18"/>
                  <w:color w:val="0000FF"/>
                </w:rPr>
                <w:t>Exhibit</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20" w:type="dxa"/>
            <w:vAlign w:val="bottom"/>
            <w:tcBorders>
              <w:bottom w:val="single" w:sz="8" w:color="0000EE"/>
            </w:tcBorders>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4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6</w:t>
              </w:r>
              <w:r>
                <w:rPr>
                  <w:rFonts w:ascii="Arial" w:cs="Arial" w:eastAsia="Arial" w:hAnsi="Arial"/>
                  <w:sz w:val="18"/>
                  <w:szCs w:val="18"/>
                  <w:color w:val="0000FF"/>
                  <w:w w:val="88"/>
                </w:rPr>
                <w:t xml:space="preserve"> to the 2006 Form S-4</w:t>
              </w:r>
            </w:hyperlink>
          </w:p>
        </w:tc>
        <w:tc>
          <w:tcPr>
            <w:tcW w:w="20" w:type="dxa"/>
            <w:vAlign w:val="bottom"/>
            <w:tcBorders>
              <w:top w:val="single" w:sz="8" w:color="0000FF"/>
              <w:bottom w:val="single" w:sz="8" w:color="0000EE"/>
            </w:tcBorders>
          </w:tcPr>
          <w:p>
            <w:pPr>
              <w:spacing w:after="0"/>
              <w:rPr>
                <w:sz w:val="13"/>
                <w:szCs w:val="13"/>
                <w:color w:val="auto"/>
              </w:rPr>
            </w:pPr>
          </w:p>
        </w:tc>
        <w:tc>
          <w:tcPr>
            <w:tcW w:w="784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0100" w:type="dxa"/>
            <w:vAlign w:val="bottom"/>
            <w:gridSpan w:val="45"/>
          </w:tcPr>
          <w:p>
            <w:pPr>
              <w:spacing w:after="0" w:line="182" w:lineRule="exact"/>
              <w:rPr>
                <w:rFonts w:ascii="Arial" w:cs="Arial" w:eastAsia="Arial" w:hAnsi="Arial"/>
                <w:sz w:val="18"/>
                <w:szCs w:val="18"/>
                <w:color w:val="0000FF"/>
                <w:w w:val="93"/>
              </w:rPr>
            </w:pPr>
            <w:hyperlink r:id="rId456">
              <w:r>
                <w:rPr>
                  <w:rFonts w:ascii="Arial" w:cs="Arial" w:eastAsia="Arial" w:hAnsi="Arial"/>
                  <w:sz w:val="18"/>
                  <w:szCs w:val="18"/>
                  <w:color w:val="0000FF"/>
                  <w:w w:val="93"/>
                </w:rPr>
                <w:t>Registration Rights Agreement, dated November 16, 2018, by and between the Impala Private Holdings I, LLC and SS&amp;C Technologies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1"/>
              </w:rPr>
            </w:pPr>
            <w:hyperlink r:id="rId456">
              <w:r>
                <w:rPr>
                  <w:rFonts w:ascii="Arial" w:cs="Arial" w:eastAsia="Arial" w:hAnsi="Arial"/>
                  <w:sz w:val="18"/>
                  <w:szCs w:val="18"/>
                  <w:color w:val="0000FF"/>
                  <w:w w:val="91"/>
                </w:rPr>
                <w:t>Holdings, Inc. is incorporated herein by reference to Exhibit 10.1 to the Registrant’s Current Report on Form 8-K filed on November 16,</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20" w:type="dxa"/>
            <w:vAlign w:val="bottom"/>
            <w:tcBorders>
              <w:bottom w:val="single" w:sz="8" w:color="0000EE"/>
            </w:tcBorders>
          </w:tcPr>
          <w:p>
            <w:pPr>
              <w:spacing w:after="0"/>
              <w:rPr>
                <w:sz w:val="13"/>
                <w:szCs w:val="13"/>
                <w:color w:val="auto"/>
              </w:rPr>
            </w:pPr>
          </w:p>
        </w:tc>
        <w:tc>
          <w:tcPr>
            <w:tcW w:w="192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456">
              <w:r>
                <w:rPr>
                  <w:rFonts w:ascii="Arial" w:cs="Arial" w:eastAsia="Arial" w:hAnsi="Arial"/>
                  <w:sz w:val="18"/>
                  <w:szCs w:val="18"/>
                  <w:color w:val="0000FF"/>
                  <w:w w:val="90"/>
                </w:rPr>
                <w:t>2018 (File No. 001-34675)</w:t>
              </w:r>
            </w:hyperlink>
          </w:p>
        </w:tc>
        <w:tc>
          <w:tcPr>
            <w:tcW w:w="20" w:type="dxa"/>
            <w:vAlign w:val="bottom"/>
            <w:tcBorders>
              <w:bottom w:val="single" w:sz="8" w:color="0000EE"/>
            </w:tcBorders>
          </w:tcPr>
          <w:p>
            <w:pPr>
              <w:spacing w:after="0"/>
              <w:rPr>
                <w:sz w:val="13"/>
                <w:szCs w:val="13"/>
                <w:color w:val="auto"/>
              </w:rPr>
            </w:pPr>
          </w:p>
        </w:tc>
        <w:tc>
          <w:tcPr>
            <w:tcW w:w="796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960" w:type="dxa"/>
            <w:vAlign w:val="bottom"/>
            <w:gridSpan w:val="7"/>
          </w:tcPr>
          <w:p>
            <w:pPr>
              <w:spacing w:after="0" w:line="182" w:lineRule="exact"/>
              <w:rPr>
                <w:rFonts w:ascii="Arial" w:cs="Arial" w:eastAsia="Arial" w:hAnsi="Arial"/>
                <w:sz w:val="18"/>
                <w:szCs w:val="18"/>
                <w:color w:val="0000FF"/>
                <w:w w:val="97"/>
              </w:rPr>
            </w:pPr>
            <w:hyperlink r:id="rId457">
              <w:r>
                <w:rPr>
                  <w:rFonts w:ascii="Arial" w:cs="Arial" w:eastAsia="Arial" w:hAnsi="Arial"/>
                  <w:sz w:val="18"/>
                  <w:szCs w:val="18"/>
                  <w:color w:val="0000FF"/>
                  <w:w w:val="97"/>
                </w:rPr>
                <w:t>Employment Agreement,</w:t>
              </w:r>
            </w:hyperlink>
          </w:p>
        </w:tc>
        <w:tc>
          <w:tcPr>
            <w:tcW w:w="8140" w:type="dxa"/>
            <w:vAlign w:val="bottom"/>
            <w:gridSpan w:val="38"/>
          </w:tcPr>
          <w:p>
            <w:pPr>
              <w:spacing w:after="0" w:line="182" w:lineRule="exact"/>
              <w:rPr>
                <w:rFonts w:ascii="Arial" w:cs="Arial" w:eastAsia="Arial" w:hAnsi="Arial"/>
                <w:sz w:val="18"/>
                <w:szCs w:val="18"/>
                <w:color w:val="0000FF"/>
                <w:w w:val="94"/>
              </w:rPr>
            </w:pPr>
            <w:hyperlink r:id="rId457">
              <w:r>
                <w:rPr>
                  <w:rFonts w:ascii="Arial" w:cs="Arial" w:eastAsia="Arial" w:hAnsi="Arial"/>
                  <w:sz w:val="18"/>
                  <w:szCs w:val="18"/>
                  <w:color w:val="0000FF"/>
                  <w:w w:val="94"/>
                </w:rPr>
                <w:t>dated as of March 11, 2010, by and among William C. Stone, the Registrant and SS&amp;C Technologies, Inc. is</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20" w:type="dxa"/>
            <w:vAlign w:val="bottom"/>
            <w:tcBorders>
              <w:bottom w:val="single" w:sz="8" w:color="0000EE"/>
            </w:tcBorders>
          </w:tcPr>
          <w:p>
            <w:pPr>
              <w:spacing w:after="0"/>
              <w:rPr>
                <w:sz w:val="13"/>
                <w:szCs w:val="13"/>
                <w:color w:val="auto"/>
              </w:rPr>
            </w:pPr>
          </w:p>
        </w:tc>
        <w:tc>
          <w:tcPr>
            <w:tcW w:w="5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457">
              <w:r>
                <w:rPr>
                  <w:rFonts w:ascii="Arial" w:cs="Arial" w:eastAsia="Arial" w:hAnsi="Arial"/>
                  <w:sz w:val="18"/>
                  <w:szCs w:val="18"/>
                  <w:color w:val="0000FF"/>
                  <w:w w:val="90"/>
                </w:rPr>
                <w:t>incorporated herein by reference to Exhibit 10.27 to the 2010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4580" w:type="dxa"/>
            <w:vAlign w:val="bottom"/>
            <w:tcBorders>
              <w:top w:val="single" w:sz="8" w:color="0000FF"/>
            </w:tcBorders>
            <w:gridSpan w:val="15"/>
          </w:tcPr>
          <w:p>
            <w:pPr>
              <w:spacing w:after="0"/>
              <w:rPr>
                <w:sz w:val="13"/>
                <w:szCs w:val="13"/>
                <w:color w:val="auto"/>
              </w:rPr>
            </w:pPr>
          </w:p>
        </w:tc>
        <w:tc>
          <w:tcPr>
            <w:tcW w:w="200" w:type="dxa"/>
            <w:vAlign w:val="bottom"/>
            <w:gridSpan w:val="10"/>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5160" w:type="dxa"/>
            <w:vAlign w:val="bottom"/>
            <w:gridSpan w:val="12"/>
          </w:tcPr>
          <w:p>
            <w:pPr>
              <w:spacing w:after="0" w:line="182" w:lineRule="exact"/>
              <w:rPr>
                <w:rFonts w:ascii="Arial" w:cs="Arial" w:eastAsia="Arial" w:hAnsi="Arial"/>
                <w:sz w:val="18"/>
                <w:szCs w:val="18"/>
                <w:color w:val="0000FF"/>
                <w:w w:val="88"/>
              </w:rPr>
            </w:pPr>
            <w:hyperlink r:id="rId458">
              <w:r>
                <w:rPr>
                  <w:rFonts w:ascii="Arial" w:cs="Arial" w:eastAsia="Arial" w:hAnsi="Arial"/>
                  <w:sz w:val="18"/>
                  <w:szCs w:val="18"/>
                  <w:color w:val="0000FF"/>
                  <w:w w:val="88"/>
                </w:rPr>
                <w:t>First Amended and Restated Employment Agreement, dated as of March</w:t>
              </w:r>
            </w:hyperlink>
          </w:p>
        </w:tc>
        <w:tc>
          <w:tcPr>
            <w:tcW w:w="4940" w:type="dxa"/>
            <w:vAlign w:val="bottom"/>
            <w:gridSpan w:val="33"/>
          </w:tcPr>
          <w:p>
            <w:pPr>
              <w:ind w:left="120"/>
              <w:spacing w:after="0" w:line="182" w:lineRule="exact"/>
              <w:rPr>
                <w:rFonts w:ascii="Arial" w:cs="Arial" w:eastAsia="Arial" w:hAnsi="Arial"/>
                <w:sz w:val="18"/>
                <w:szCs w:val="18"/>
                <w:color w:val="0000FF"/>
              </w:rPr>
            </w:pPr>
            <w:hyperlink r:id="rId458">
              <w:r>
                <w:rPr>
                  <w:rFonts w:ascii="Arial" w:cs="Arial" w:eastAsia="Arial" w:hAnsi="Arial"/>
                  <w:sz w:val="18"/>
                  <w:szCs w:val="18"/>
                  <w:color w:val="0000FF"/>
                </w:rPr>
                <w:t>31, 2015, between SS&amp;C Technologies Holdings, Inc.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7340" w:type="dxa"/>
            <w:vAlign w:val="bottom"/>
            <w:gridSpan w:val="1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80" w:type="dxa"/>
            <w:vAlign w:val="bottom"/>
            <w:gridSpan w:val="44"/>
          </w:tcPr>
          <w:p>
            <w:pPr>
              <w:spacing w:after="0" w:line="156" w:lineRule="exact"/>
              <w:rPr>
                <w:rFonts w:ascii="Arial" w:cs="Arial" w:eastAsia="Arial" w:hAnsi="Arial"/>
                <w:sz w:val="18"/>
                <w:szCs w:val="18"/>
                <w:color w:val="0000FF"/>
                <w:w w:val="96"/>
              </w:rPr>
            </w:pPr>
            <w:hyperlink r:id="rId458">
              <w:r>
                <w:rPr>
                  <w:rFonts w:ascii="Arial" w:cs="Arial" w:eastAsia="Arial" w:hAnsi="Arial"/>
                  <w:sz w:val="18"/>
                  <w:szCs w:val="18"/>
                  <w:color w:val="0000FF"/>
                  <w:w w:val="96"/>
                </w:rPr>
                <w:t>William C. Stone is incorporated herein by reference to Exhibit 99.1 to the Registrant’s Current Report on Form 8-K, filed on April 1,</w:t>
              </w:r>
            </w:hyperlink>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20" w:type="dxa"/>
            <w:vAlign w:val="bottom"/>
            <w:tcBorders>
              <w:bottom w:val="single" w:sz="8" w:color="0000EE"/>
            </w:tcBorders>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458">
              <w:r>
                <w:rPr>
                  <w:rFonts w:ascii="Arial" w:cs="Arial" w:eastAsia="Arial" w:hAnsi="Arial"/>
                  <w:sz w:val="18"/>
                  <w:szCs w:val="18"/>
                  <w:color w:val="0000FF"/>
                  <w:w w:val="90"/>
                </w:rPr>
                <w:t>2015 (File No. 001-34675)</w:t>
              </w:r>
            </w:hyperlink>
          </w:p>
        </w:tc>
        <w:tc>
          <w:tcPr>
            <w:tcW w:w="20" w:type="dxa"/>
            <w:vAlign w:val="bottom"/>
            <w:tcBorders>
              <w:top w:val="single" w:sz="8" w:color="0000FF"/>
              <w:bottom w:val="single" w:sz="8" w:color="0000EE"/>
            </w:tcBorders>
          </w:tcPr>
          <w:p>
            <w:pPr>
              <w:spacing w:after="0"/>
              <w:rPr>
                <w:sz w:val="13"/>
                <w:szCs w:val="13"/>
                <w:color w:val="auto"/>
              </w:rPr>
            </w:pPr>
          </w:p>
        </w:tc>
        <w:tc>
          <w:tcPr>
            <w:tcW w:w="7720" w:type="dxa"/>
            <w:vAlign w:val="bottom"/>
            <w:tcBorders>
              <w:top w:val="single" w:sz="8" w:color="0000FF"/>
            </w:tcBorders>
            <w:gridSpan w:val="17"/>
          </w:tcPr>
          <w:p>
            <w:pPr>
              <w:spacing w:after="0"/>
              <w:rPr>
                <w:sz w:val="13"/>
                <w:szCs w:val="13"/>
                <w:color w:val="auto"/>
              </w:rPr>
            </w:pPr>
          </w:p>
        </w:tc>
        <w:tc>
          <w:tcPr>
            <w:tcW w:w="260" w:type="dxa"/>
            <w:vAlign w:val="bottom"/>
            <w:gridSpan w:val="13"/>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1960" w:type="dxa"/>
            <w:vAlign w:val="bottom"/>
            <w:gridSpan w:val="7"/>
          </w:tcPr>
          <w:p>
            <w:pPr>
              <w:spacing w:after="0" w:line="182" w:lineRule="exact"/>
              <w:rPr>
                <w:rFonts w:ascii="Arial" w:cs="Arial" w:eastAsia="Arial" w:hAnsi="Arial"/>
                <w:sz w:val="18"/>
                <w:szCs w:val="18"/>
                <w:color w:val="0000FF"/>
                <w:w w:val="97"/>
              </w:rPr>
            </w:pPr>
            <w:hyperlink r:id="rId459">
              <w:r>
                <w:rPr>
                  <w:rFonts w:ascii="Arial" w:cs="Arial" w:eastAsia="Arial" w:hAnsi="Arial"/>
                  <w:sz w:val="18"/>
                  <w:szCs w:val="18"/>
                  <w:color w:val="0000FF"/>
                  <w:w w:val="97"/>
                </w:rPr>
                <w:t>Employment Agreement,</w:t>
              </w:r>
            </w:hyperlink>
          </w:p>
        </w:tc>
        <w:tc>
          <w:tcPr>
            <w:tcW w:w="8140" w:type="dxa"/>
            <w:vAlign w:val="bottom"/>
            <w:gridSpan w:val="38"/>
          </w:tcPr>
          <w:p>
            <w:pPr>
              <w:jc w:val="right"/>
              <w:ind w:right="160"/>
              <w:spacing w:after="0" w:line="182" w:lineRule="exact"/>
              <w:rPr>
                <w:rFonts w:ascii="Arial" w:cs="Arial" w:eastAsia="Arial" w:hAnsi="Arial"/>
                <w:sz w:val="18"/>
                <w:szCs w:val="18"/>
                <w:color w:val="0000FF"/>
                <w:w w:val="88"/>
              </w:rPr>
            </w:pPr>
            <w:hyperlink r:id="rId459">
              <w:r>
                <w:rPr>
                  <w:rFonts w:ascii="Arial" w:cs="Arial" w:eastAsia="Arial" w:hAnsi="Arial"/>
                  <w:sz w:val="18"/>
                  <w:szCs w:val="18"/>
                  <w:color w:val="0000FF"/>
                  <w:w w:val="88"/>
                </w:rPr>
                <w:t>dated as of February 8, 2018, among SS&amp;C Technologies Holdings, Inc, SS&amp;C Technologies, Inc. and Joseph J.</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43"/>
          </w:tcPr>
          <w:p>
            <w:pPr>
              <w:spacing w:after="0" w:line="156" w:lineRule="exact"/>
              <w:rPr>
                <w:rFonts w:ascii="Arial" w:cs="Arial" w:eastAsia="Arial" w:hAnsi="Arial"/>
                <w:sz w:val="18"/>
                <w:szCs w:val="18"/>
                <w:color w:val="0000FF"/>
                <w:w w:val="92"/>
              </w:rPr>
            </w:pPr>
            <w:hyperlink r:id="rId459">
              <w:r>
                <w:rPr>
                  <w:rFonts w:ascii="Arial" w:cs="Arial" w:eastAsia="Arial" w:hAnsi="Arial"/>
                  <w:sz w:val="18"/>
                  <w:szCs w:val="18"/>
                  <w:color w:val="0000FF"/>
                  <w:w w:val="92"/>
                </w:rPr>
                <w:t>Frank is incorporated herein by reference to Exhibit 10.2 to the Registrant’s Quarterly Report on Form 10-Q for the quarter ended March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459">
              <w:r>
                <w:rPr>
                  <w:rFonts w:ascii="Arial" w:cs="Arial" w:eastAsia="Arial" w:hAnsi="Arial"/>
                  <w:sz w:val="18"/>
                  <w:szCs w:val="18"/>
                  <w:color w:val="0000FF"/>
                </w:rPr>
                <w:t>31, 2018 (File No. 001-34675)</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top w:val="single" w:sz="8" w:color="0000FF"/>
            </w:tcBorders>
            <w:gridSpan w:val="7"/>
          </w:tcPr>
          <w:p>
            <w:pPr>
              <w:spacing w:after="0"/>
              <w:rPr>
                <w:sz w:val="24"/>
                <w:szCs w:val="24"/>
                <w:color w:val="auto"/>
              </w:rPr>
            </w:pPr>
          </w:p>
        </w:tc>
        <w:tc>
          <w:tcPr>
            <w:tcW w:w="2640" w:type="dxa"/>
            <w:vAlign w:val="bottom"/>
            <w:gridSpan w:val="2"/>
          </w:tcPr>
          <w:p>
            <w:pPr>
              <w:jc w:val="right"/>
              <w:ind w:right="27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10000" w:type="dxa"/>
            <w:vAlign w:val="bottom"/>
            <w:gridSpan w:val="34"/>
          </w:tcPr>
          <w:p>
            <w:pPr>
              <w:spacing w:after="0"/>
              <w:rPr>
                <w:rFonts w:ascii="Arial" w:cs="Arial" w:eastAsia="Arial" w:hAnsi="Arial"/>
                <w:sz w:val="18"/>
                <w:szCs w:val="18"/>
                <w:color w:val="0000FF"/>
              </w:rPr>
            </w:pPr>
            <w:hyperlink r:id="rId462">
              <w:r>
                <w:rPr>
                  <w:rFonts w:ascii="Arial" w:cs="Arial" w:eastAsia="Arial" w:hAnsi="Arial"/>
                  <w:sz w:val="18"/>
                  <w:szCs w:val="18"/>
                  <w:color w:val="0000FF"/>
                </w:rPr>
                <w:t>Form of Director Indemnification Agreement is incorporated herein by reference to Exhibit 10.35 to the 2010 Form S-1</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10.16*</w:t>
            </w: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1"/>
              </w:rPr>
            </w:pPr>
            <w:hyperlink r:id="rId463">
              <w:r>
                <w:rPr>
                  <w:rFonts w:ascii="Arial" w:cs="Arial" w:eastAsia="Arial" w:hAnsi="Arial"/>
                  <w:sz w:val="18"/>
                  <w:szCs w:val="18"/>
                  <w:color w:val="0000FF"/>
                  <w:w w:val="91"/>
                </w:rPr>
                <w:t>2006 Equity Incentive Plan is incorporated herein by reference to Exhibit 10.1 to SS&amp;C Technologies, Inc.’s Current Report on Form 8-K,</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0000EE"/>
            </w:tcBorders>
          </w:tcPr>
          <w:p>
            <w:pPr>
              <w:spacing w:after="0"/>
              <w:rPr>
                <w:sz w:val="13"/>
                <w:szCs w:val="13"/>
                <w:color w:val="auto"/>
              </w:rPr>
            </w:pPr>
          </w:p>
        </w:tc>
        <w:tc>
          <w:tcPr>
            <w:tcW w:w="54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463">
              <w:r>
                <w:rPr>
                  <w:rFonts w:ascii="Arial" w:cs="Arial" w:eastAsia="Arial" w:hAnsi="Arial"/>
                  <w:sz w:val="18"/>
                  <w:szCs w:val="18"/>
                  <w:color w:val="0000FF"/>
                  <w:w w:val="92"/>
                </w:rPr>
                <w:t>filed on August 15, 2006 (File No. 000-28430) (the “August 15, 2006 8-K”)</w:t>
              </w:r>
            </w:hyperlink>
          </w:p>
        </w:tc>
        <w:tc>
          <w:tcPr>
            <w:tcW w:w="20" w:type="dxa"/>
            <w:vAlign w:val="bottom"/>
            <w:tcBorders>
              <w:top w:val="single" w:sz="8" w:color="0000FF"/>
              <w:bottom w:val="single" w:sz="8" w:color="0000EE"/>
            </w:tcBorders>
          </w:tcPr>
          <w:p>
            <w:pPr>
              <w:spacing w:after="0"/>
              <w:rPr>
                <w:sz w:val="13"/>
                <w:szCs w:val="13"/>
                <w:color w:val="auto"/>
              </w:rPr>
            </w:pPr>
          </w:p>
        </w:tc>
        <w:tc>
          <w:tcPr>
            <w:tcW w:w="4500" w:type="dxa"/>
            <w:vAlign w:val="bottom"/>
            <w:tcBorders>
              <w:top w:val="single" w:sz="8" w:color="0000FF"/>
            </w:tcBorders>
            <w:gridSpan w:val="20"/>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5500" w:type="dxa"/>
            <w:vAlign w:val="bottom"/>
            <w:gridSpan w:val="14"/>
          </w:tcPr>
          <w:p>
            <w:pPr>
              <w:spacing w:after="0" w:line="182" w:lineRule="exact"/>
              <w:rPr>
                <w:rFonts w:ascii="Arial" w:cs="Arial" w:eastAsia="Arial" w:hAnsi="Arial"/>
                <w:sz w:val="18"/>
                <w:szCs w:val="18"/>
                <w:color w:val="0000FF"/>
                <w:w w:val="92"/>
              </w:rPr>
            </w:pPr>
            <w:hyperlink r:id="rId464">
              <w:r>
                <w:rPr>
                  <w:rFonts w:ascii="Arial" w:cs="Arial" w:eastAsia="Arial" w:hAnsi="Arial"/>
                  <w:sz w:val="18"/>
                  <w:szCs w:val="18"/>
                  <w:color w:val="0000FF"/>
                  <w:w w:val="92"/>
                </w:rPr>
                <w:t>Forms of 2006 Equity Incentive Plan Amended and Restated Stock Option</w:t>
              </w:r>
            </w:hyperlink>
          </w:p>
        </w:tc>
        <w:tc>
          <w:tcPr>
            <w:tcW w:w="4500" w:type="dxa"/>
            <w:vAlign w:val="bottom"/>
            <w:gridSpan w:val="20"/>
          </w:tcPr>
          <w:p>
            <w:pPr>
              <w:spacing w:after="0" w:line="182" w:lineRule="exact"/>
              <w:rPr>
                <w:rFonts w:ascii="Arial" w:cs="Arial" w:eastAsia="Arial" w:hAnsi="Arial"/>
                <w:sz w:val="18"/>
                <w:szCs w:val="18"/>
                <w:color w:val="0000FF"/>
              </w:rPr>
            </w:pPr>
            <w:hyperlink r:id="rId464">
              <w:r>
                <w:rPr>
                  <w:rFonts w:ascii="Arial" w:cs="Arial" w:eastAsia="Arial" w:hAnsi="Arial"/>
                  <w:sz w:val="18"/>
                  <w:szCs w:val="18"/>
                  <w:color w:val="0000FF"/>
                </w:rPr>
                <w:t>Grant Notice and Amended and Restated Stock Option</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64">
              <w:r>
                <w:rPr>
                  <w:rFonts w:ascii="Arial" w:cs="Arial" w:eastAsia="Arial" w:hAnsi="Arial"/>
                  <w:sz w:val="18"/>
                  <w:szCs w:val="18"/>
                  <w:color w:val="0000FF"/>
                </w:rPr>
                <w:t>Agreement are incorporated herein by reference to Exhibit 10.2 to the March 2, 2010 8-K</w:t>
              </w:r>
            </w:hyperlink>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rPr>
            </w:pPr>
            <w:hyperlink r:id="rId465">
              <w:r>
                <w:rPr>
                  <w:rFonts w:ascii="Arial" w:cs="Arial" w:eastAsia="Arial" w:hAnsi="Arial"/>
                  <w:sz w:val="18"/>
                  <w:szCs w:val="18"/>
                  <w:color w:val="0000FF"/>
                </w:rPr>
                <w:t>Form of Stock Award Agreement is incorporated herein by reference to Exhibit 10.4 to the August 15, 2006 8-K</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10.19*</w:t>
            </w: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60" w:type="dxa"/>
            <w:vAlign w:val="bottom"/>
            <w:gridSpan w:val="2"/>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8080" w:type="dxa"/>
            <w:vAlign w:val="bottom"/>
            <w:gridSpan w:val="19"/>
          </w:tcPr>
          <w:p>
            <w:pPr>
              <w:spacing w:after="0" w:line="182" w:lineRule="exact"/>
              <w:rPr>
                <w:rFonts w:ascii="Arial" w:cs="Arial" w:eastAsia="Arial" w:hAnsi="Arial"/>
                <w:sz w:val="18"/>
                <w:szCs w:val="18"/>
                <w:color w:val="0000FF"/>
              </w:rPr>
            </w:pPr>
            <w:hyperlink r:id="rId466">
              <w:r>
                <w:rPr>
                  <w:rFonts w:ascii="Arial" w:cs="Arial" w:eastAsia="Arial" w:hAnsi="Arial"/>
                  <w:sz w:val="18"/>
                  <w:szCs w:val="18"/>
                  <w:color w:val="0000FF"/>
                </w:rPr>
                <w:t>2008 Stock Incentive Plan is incorporated herein by reference to Exhibit 10.26 to the 2008 Form S-1</w:t>
              </w:r>
            </w:hyperlink>
          </w:p>
        </w:tc>
        <w:tc>
          <w:tcPr>
            <w:tcW w:w="3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10.20*</w:t>
            </w: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1"/>
              </w:rPr>
            </w:pPr>
            <w:hyperlink r:id="rId467">
              <w:r>
                <w:rPr>
                  <w:rFonts w:ascii="Arial" w:cs="Arial" w:eastAsia="Arial" w:hAnsi="Arial"/>
                  <w:sz w:val="18"/>
                  <w:szCs w:val="18"/>
                  <w:color w:val="0000FF"/>
                  <w:w w:val="91"/>
                </w:rPr>
                <w:t>Form of 2008 Stock Incentive Plan Stock Option Grant Notice and Stock Option Agreement is incorporated herein by reference to Exhibit</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3"/>
                <w:szCs w:val="13"/>
                <w:color w:val="auto"/>
              </w:rPr>
            </w:pPr>
          </w:p>
        </w:tc>
        <w:tc>
          <w:tcPr>
            <w:tcW w:w="99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67">
              <w:r>
                <w:rPr>
                  <w:rFonts w:ascii="Arial" w:cs="Arial" w:eastAsia="Arial" w:hAnsi="Arial"/>
                  <w:sz w:val="18"/>
                  <w:szCs w:val="18"/>
                  <w:color w:val="0000FF"/>
                </w:rPr>
                <w:t>10.</w:t>
              </w:r>
              <w:r>
                <w:rPr>
                  <w:rFonts w:ascii="Arial" w:cs="Arial" w:eastAsia="Arial" w:hAnsi="Arial"/>
                  <w:sz w:val="18"/>
                  <w:szCs w:val="18"/>
                  <w:u w:val="single" w:color="auto"/>
                  <w:color w:val="0000FF"/>
                </w:rPr>
                <w:t>26</w:t>
              </w:r>
              <w:r>
                <w:rPr>
                  <w:rFonts w:ascii="Arial" w:cs="Arial" w:eastAsia="Arial" w:hAnsi="Arial"/>
                  <w:sz w:val="18"/>
                  <w:szCs w:val="18"/>
                  <w:color w:val="0000FF"/>
                </w:rPr>
                <w:t xml:space="preserve"> to the 2010 Form S-1</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3"/>
              </w:rPr>
            </w:pPr>
            <w:hyperlink r:id="rId468">
              <w:r>
                <w:rPr>
                  <w:rFonts w:ascii="Arial" w:cs="Arial" w:eastAsia="Arial" w:hAnsi="Arial"/>
                  <w:sz w:val="18"/>
                  <w:szCs w:val="18"/>
                  <w:color w:val="0000FF"/>
                  <w:w w:val="93"/>
                </w:rPr>
                <w:t>Form of Restricted Stock Award Agreement under 2006 Equity Incentive Plan is incorporated herein by reference to Exhibit 10.2 to the</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0000EE"/>
            </w:tcBorders>
          </w:tcPr>
          <w:p>
            <w:pPr>
              <w:spacing w:after="0"/>
              <w:rPr>
                <w:sz w:val="13"/>
                <w:szCs w:val="13"/>
                <w:color w:val="auto"/>
              </w:rPr>
            </w:pPr>
          </w:p>
        </w:tc>
        <w:tc>
          <w:tcPr>
            <w:tcW w:w="74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468">
              <w:r>
                <w:rPr>
                  <w:rFonts w:ascii="Arial" w:cs="Arial" w:eastAsia="Arial" w:hAnsi="Arial"/>
                  <w:sz w:val="18"/>
                  <w:szCs w:val="18"/>
                  <w:color w:val="0000FF"/>
                  <w:w w:val="90"/>
                </w:rPr>
                <w:t>Registrant’s Quarterly Report on Form 10-Q for the Quarter ended June 30, 2013 (File No. 001-34675)</w:t>
              </w:r>
            </w:hyperlink>
          </w:p>
        </w:tc>
        <w:tc>
          <w:tcPr>
            <w:tcW w:w="2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7420" w:type="dxa"/>
            <w:vAlign w:val="bottom"/>
            <w:gridSpan w:val="18"/>
          </w:tcPr>
          <w:p>
            <w:pPr>
              <w:spacing w:after="0" w:line="182" w:lineRule="exact"/>
              <w:rPr>
                <w:rFonts w:ascii="Arial" w:cs="Arial" w:eastAsia="Arial" w:hAnsi="Arial"/>
                <w:sz w:val="18"/>
                <w:szCs w:val="18"/>
                <w:color w:val="0000FF"/>
                <w:w w:val="89"/>
              </w:rPr>
            </w:pPr>
            <w:hyperlink r:id="rId469">
              <w:r>
                <w:rPr>
                  <w:rFonts w:ascii="Arial" w:cs="Arial" w:eastAsia="Arial" w:hAnsi="Arial"/>
                  <w:sz w:val="18"/>
                  <w:szCs w:val="18"/>
                  <w:color w:val="0000FF"/>
                  <w:w w:val="89"/>
                </w:rPr>
                <w:t>SS&amp;C Technologies Holdings, Inc. Second Amended and Restated 2014 Stock Incentive Plan, adopted</w:t>
              </w:r>
            </w:hyperlink>
          </w:p>
        </w:tc>
        <w:tc>
          <w:tcPr>
            <w:tcW w:w="2580" w:type="dxa"/>
            <w:vAlign w:val="bottom"/>
            <w:gridSpan w:val="16"/>
          </w:tcPr>
          <w:p>
            <w:pPr>
              <w:ind w:left="40"/>
              <w:spacing w:after="0" w:line="182" w:lineRule="exact"/>
              <w:rPr>
                <w:rFonts w:ascii="Arial" w:cs="Arial" w:eastAsia="Arial" w:hAnsi="Arial"/>
                <w:sz w:val="18"/>
                <w:szCs w:val="18"/>
                <w:color w:val="0000FF"/>
              </w:rPr>
            </w:pPr>
            <w:hyperlink r:id="rId469">
              <w:r>
                <w:rPr>
                  <w:rFonts w:ascii="Arial" w:cs="Arial" w:eastAsia="Arial" w:hAnsi="Arial"/>
                  <w:sz w:val="18"/>
                  <w:szCs w:val="18"/>
                  <w:color w:val="0000FF"/>
                </w:rPr>
                <w:t>effective May 15, 2019, is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6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80" w:type="dxa"/>
            <w:vAlign w:val="bottom"/>
            <w:tcBorders>
              <w:bottom w:val="single" w:sz="8" w:color="0000FF"/>
            </w:tcBorders>
            <w:gridSpan w:val="33"/>
          </w:tcPr>
          <w:p>
            <w:pPr>
              <w:spacing w:after="0" w:line="15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incorporated herein by reference to Exhibit 99.1 to the Registrant’s Registration Statement on Form S-8, filed on August 2, 2019 (File No.</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20" w:type="dxa"/>
            <w:vAlign w:val="bottom"/>
            <w:tcBorders>
              <w:bottom w:val="single" w:sz="8" w:color="0000EE"/>
            </w:tcBorders>
          </w:tcPr>
          <w:p>
            <w:pPr>
              <w:spacing w:after="0"/>
              <w:rPr>
                <w:sz w:val="13"/>
                <w:szCs w:val="13"/>
                <w:color w:val="auto"/>
              </w:rPr>
            </w:pPr>
          </w:p>
        </w:tc>
        <w:tc>
          <w:tcPr>
            <w:tcW w:w="8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469">
              <w:r>
                <w:rPr>
                  <w:rFonts w:ascii="Arial" w:cs="Arial" w:eastAsia="Arial" w:hAnsi="Arial"/>
                  <w:sz w:val="18"/>
                  <w:szCs w:val="18"/>
                  <w:color w:val="0000FF"/>
                  <w:w w:val="86"/>
                </w:rPr>
                <w:t>001-34675)</w:t>
              </w:r>
            </w:hyperlink>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2"/>
              </w:rPr>
            </w:pPr>
            <w:hyperlink r:id="rId470">
              <w:r>
                <w:rPr>
                  <w:rFonts w:ascii="Arial" w:cs="Arial" w:eastAsia="Arial" w:hAnsi="Arial"/>
                  <w:sz w:val="18"/>
                  <w:szCs w:val="18"/>
                  <w:color w:val="0000FF"/>
                  <w:w w:val="92"/>
                </w:rPr>
                <w:t>SS&amp;C Technologies Holdings, Inc. Executive Bonus Plan is incorporated herein by reference to Appendix B to the Company’s definitive</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20" w:type="dxa"/>
            <w:vAlign w:val="bottom"/>
            <w:tcBorders>
              <w:bottom w:val="single" w:sz="8" w:color="0000EE"/>
            </w:tcBorders>
          </w:tcPr>
          <w:p>
            <w:pPr>
              <w:spacing w:after="0"/>
              <w:rPr>
                <w:sz w:val="13"/>
                <w:szCs w:val="13"/>
                <w:color w:val="auto"/>
              </w:rPr>
            </w:pPr>
          </w:p>
        </w:tc>
        <w:tc>
          <w:tcPr>
            <w:tcW w:w="5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70">
              <w:r>
                <w:rPr>
                  <w:rFonts w:ascii="Arial" w:cs="Arial" w:eastAsia="Arial" w:hAnsi="Arial"/>
                  <w:sz w:val="18"/>
                  <w:szCs w:val="18"/>
                  <w:color w:val="0000FF"/>
                  <w:w w:val="91"/>
                </w:rPr>
                <w:t>proxy statement on Schedule 14A, filed on April 16, 2014 (File No. 001-34675)</w:t>
              </w:r>
            </w:hyperlink>
          </w:p>
        </w:tc>
        <w:tc>
          <w:tcPr>
            <w:tcW w:w="4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5760" w:type="dxa"/>
            <w:vAlign w:val="bottom"/>
            <w:gridSpan w:val="15"/>
          </w:tcPr>
          <w:p>
            <w:pPr>
              <w:spacing w:after="0" w:line="182" w:lineRule="exact"/>
              <w:rPr>
                <w:rFonts w:ascii="Arial" w:cs="Arial" w:eastAsia="Arial" w:hAnsi="Arial"/>
                <w:sz w:val="18"/>
                <w:szCs w:val="18"/>
                <w:color w:val="0000FF"/>
                <w:w w:val="91"/>
              </w:rPr>
            </w:pPr>
            <w:hyperlink r:id="rId471">
              <w:r>
                <w:rPr>
                  <w:rFonts w:ascii="Arial" w:cs="Arial" w:eastAsia="Arial" w:hAnsi="Arial"/>
                  <w:sz w:val="18"/>
                  <w:szCs w:val="18"/>
                  <w:color w:val="0000FF"/>
                  <w:w w:val="91"/>
                </w:rPr>
                <w:t>Form of Stock Option Agreement under the SS&amp;C Technologies Holdings, Inc.</w:t>
              </w:r>
            </w:hyperlink>
          </w:p>
        </w:tc>
        <w:tc>
          <w:tcPr>
            <w:tcW w:w="4240" w:type="dxa"/>
            <w:vAlign w:val="bottom"/>
            <w:gridSpan w:val="19"/>
          </w:tcPr>
          <w:p>
            <w:pPr>
              <w:spacing w:after="0" w:line="182" w:lineRule="exact"/>
              <w:rPr>
                <w:rFonts w:ascii="Arial" w:cs="Arial" w:eastAsia="Arial" w:hAnsi="Arial"/>
                <w:sz w:val="18"/>
                <w:szCs w:val="18"/>
                <w:color w:val="0000FF"/>
                <w:w w:val="90"/>
              </w:rPr>
            </w:pPr>
            <w:hyperlink r:id="rId471">
              <w:r>
                <w:rPr>
                  <w:rFonts w:ascii="Arial" w:cs="Arial" w:eastAsia="Arial" w:hAnsi="Arial"/>
                  <w:sz w:val="18"/>
                  <w:szCs w:val="18"/>
                  <w:color w:val="0000FF"/>
                  <w:w w:val="90"/>
                </w:rPr>
                <w:t>Second Amended and Restated 2014 Stock Incentive Plan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3"/>
          </w:tcPr>
          <w:p>
            <w:pPr>
              <w:spacing w:after="0" w:line="156" w:lineRule="exact"/>
              <w:rPr>
                <w:rFonts w:ascii="Arial" w:cs="Arial" w:eastAsia="Arial" w:hAnsi="Arial"/>
                <w:sz w:val="18"/>
                <w:szCs w:val="18"/>
                <w:color w:val="0000FF"/>
                <w:w w:val="90"/>
              </w:rPr>
            </w:pPr>
            <w:hyperlink r:id="rId471">
              <w:r>
                <w:rPr>
                  <w:rFonts w:ascii="Arial" w:cs="Arial" w:eastAsia="Arial" w:hAnsi="Arial"/>
                  <w:sz w:val="18"/>
                  <w:szCs w:val="18"/>
                  <w:color w:val="0000FF"/>
                  <w:w w:val="90"/>
                </w:rPr>
                <w:t>is incorporated herein by reference to Exhibit 10.2 to the Registrant’s Quarterly Report on Form 10-Q for the quarter ended June 30, 2019</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10.25*</w:t>
            </w:r>
          </w:p>
        </w:tc>
        <w:tc>
          <w:tcPr>
            <w:tcW w:w="20" w:type="dxa"/>
            <w:vAlign w:val="bottom"/>
            <w:tcBorders>
              <w:bottom w:val="single" w:sz="8" w:color="0000EE"/>
            </w:tcBorders>
          </w:tcPr>
          <w:p>
            <w:pPr>
              <w:spacing w:after="0"/>
              <w:rPr>
                <w:sz w:val="13"/>
                <w:szCs w:val="13"/>
                <w:color w:val="auto"/>
              </w:rPr>
            </w:pPr>
          </w:p>
        </w:tc>
        <w:tc>
          <w:tcPr>
            <w:tcW w:w="1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471">
              <w:r>
                <w:rPr>
                  <w:rFonts w:ascii="Arial" w:cs="Arial" w:eastAsia="Arial" w:hAnsi="Arial"/>
                  <w:sz w:val="18"/>
                  <w:szCs w:val="18"/>
                  <w:color w:val="0000FF"/>
                  <w:w w:val="90"/>
                </w:rPr>
                <w:t>(File No. 001-34675)</w:t>
              </w:r>
            </w:hyperlink>
          </w:p>
        </w:tc>
        <w:tc>
          <w:tcPr>
            <w:tcW w:w="20" w:type="dxa"/>
            <w:vAlign w:val="bottom"/>
            <w:tcBorders>
              <w:top w:val="single" w:sz="8" w:color="0000FF"/>
              <w:bottom w:val="single" w:sz="8" w:color="0000EE"/>
            </w:tcBorders>
          </w:tcPr>
          <w:p>
            <w:pPr>
              <w:spacing w:after="0"/>
              <w:rPr>
                <w:sz w:val="13"/>
                <w:szCs w:val="13"/>
                <w:color w:val="auto"/>
              </w:rPr>
            </w:pPr>
          </w:p>
        </w:tc>
        <w:tc>
          <w:tcPr>
            <w:tcW w:w="84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0"/>
              </w:rPr>
            </w:pPr>
            <w:hyperlink r:id="rId472">
              <w:r>
                <w:rPr>
                  <w:rFonts w:ascii="Arial" w:cs="Arial" w:eastAsia="Arial" w:hAnsi="Arial"/>
                  <w:sz w:val="18"/>
                  <w:szCs w:val="18"/>
                  <w:color w:val="0000FF"/>
                  <w:w w:val="90"/>
                </w:rPr>
                <w:t>Form of Restricted Stock Unit Award Agreement under the SS&amp;C Technologies Holdings, Inc. Second Amended and Restated 2014 Stock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1"/>
              </w:rPr>
            </w:pPr>
            <w:hyperlink r:id="rId472">
              <w:r>
                <w:rPr>
                  <w:rFonts w:ascii="Arial" w:cs="Arial" w:eastAsia="Arial" w:hAnsi="Arial"/>
                  <w:sz w:val="18"/>
                  <w:szCs w:val="18"/>
                  <w:color w:val="0000FF"/>
                  <w:w w:val="91"/>
                </w:rPr>
                <w:t>Incentive Plan is incorporated herein by reference to Exhibit 10.3 to the Registrant’s Quarterly Report on Form 10-Q for the quarter ended</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3"/>
                <w:szCs w:val="13"/>
                <w:color w:val="auto"/>
              </w:rPr>
            </w:pPr>
          </w:p>
        </w:tc>
        <w:tc>
          <w:tcPr>
            <w:tcW w:w="9980" w:type="dxa"/>
            <w:vAlign w:val="bottom"/>
            <w:gridSpan w:val="33"/>
          </w:tcPr>
          <w:p>
            <w:pPr>
              <w:spacing w:after="0" w:line="156" w:lineRule="exact"/>
              <w:rPr>
                <w:rFonts w:ascii="Arial" w:cs="Arial" w:eastAsia="Arial" w:hAnsi="Arial"/>
                <w:sz w:val="18"/>
                <w:szCs w:val="18"/>
                <w:color w:val="0000FF"/>
              </w:rPr>
            </w:pPr>
            <w:hyperlink r:id="rId472">
              <w:r>
                <w:rPr>
                  <w:rFonts w:ascii="Arial" w:cs="Arial" w:eastAsia="Arial" w:hAnsi="Arial"/>
                  <w:sz w:val="18"/>
                  <w:szCs w:val="18"/>
                  <w:color w:val="0000FF"/>
                </w:rPr>
                <w:t>June 30, 2019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3"/>
              </w:rPr>
            </w:pPr>
            <w:hyperlink r:id="rId473">
              <w:r>
                <w:rPr>
                  <w:rFonts w:ascii="Arial" w:cs="Arial" w:eastAsia="Arial" w:hAnsi="Arial"/>
                  <w:sz w:val="18"/>
                  <w:szCs w:val="18"/>
                  <w:color w:val="0000FF"/>
                  <w:w w:val="93"/>
                </w:rPr>
                <w:t>Restricted Stock Unit Award Agreement, dated as of March 9, 2018, among SS&amp;C Technologies Holdings, Inc and Joseph J. Frank is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38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80" w:type="dxa"/>
            <w:vAlign w:val="bottom"/>
            <w:gridSpan w:val="33"/>
          </w:tcPr>
          <w:p>
            <w:pPr>
              <w:spacing w:after="0" w:line="156" w:lineRule="exact"/>
              <w:rPr>
                <w:rFonts w:ascii="Arial" w:cs="Arial" w:eastAsia="Arial" w:hAnsi="Arial"/>
                <w:sz w:val="18"/>
                <w:szCs w:val="18"/>
                <w:color w:val="0000FF"/>
                <w:w w:val="91"/>
              </w:rPr>
            </w:pPr>
            <w:hyperlink r:id="rId473">
              <w:r>
                <w:rPr>
                  <w:rFonts w:ascii="Arial" w:cs="Arial" w:eastAsia="Arial" w:hAnsi="Arial"/>
                  <w:sz w:val="18"/>
                  <w:szCs w:val="18"/>
                  <w:color w:val="0000FF"/>
                  <w:w w:val="91"/>
                </w:rPr>
                <w:t>incorporated herein by reference to Exhibit 10.4 to the Registrant’s Quarterly Report on Form 10-Q for the quarter ended March 31, 2018</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60" w:type="dxa"/>
            <w:vAlign w:val="bottom"/>
            <w:tcBorders>
              <w:top w:val="single" w:sz="8" w:color="0000FF"/>
              <w:bottom w:val="single" w:sz="8" w:color="0000EE"/>
            </w:tcBorders>
            <w:gridSpan w:val="4"/>
          </w:tcPr>
          <w:p>
            <w:pPr>
              <w:spacing w:after="0" w:line="156" w:lineRule="exact"/>
              <w:rPr>
                <w:rFonts w:ascii="Arial" w:cs="Arial" w:eastAsia="Arial" w:hAnsi="Arial"/>
                <w:sz w:val="18"/>
                <w:szCs w:val="18"/>
                <w:color w:val="0000FF"/>
                <w:w w:val="93"/>
              </w:rPr>
            </w:pPr>
            <w:hyperlink r:id="rId473">
              <w:r>
                <w:rPr>
                  <w:rFonts w:ascii="Arial" w:cs="Arial" w:eastAsia="Arial" w:hAnsi="Arial"/>
                  <w:sz w:val="18"/>
                  <w:szCs w:val="18"/>
                  <w:color w:val="0000FF"/>
                  <w:w w:val="93"/>
                </w:rPr>
                <w:t>(File No. 001-34675)</w:t>
              </w:r>
            </w:hyperlink>
          </w:p>
        </w:tc>
        <w:tc>
          <w:tcPr>
            <w:tcW w:w="83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w w:val="94"/>
              </w:rPr>
            </w:pPr>
            <w:hyperlink r:id="rId474">
              <w:r>
                <w:rPr>
                  <w:rFonts w:ascii="Arial" w:cs="Arial" w:eastAsia="Arial" w:hAnsi="Arial"/>
                  <w:sz w:val="18"/>
                  <w:szCs w:val="18"/>
                  <w:color w:val="0000FF"/>
                  <w:w w:val="94"/>
                </w:rPr>
                <w:t>First Repricing Amendment to the Credit Agreement, dated as of January 31, 2020, among SS&amp;C Technologies Holdings, Inc., SS&amp;C</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9"/>
              </w:rPr>
            </w:pPr>
            <w:hyperlink r:id="rId474">
              <w:r>
                <w:rPr>
                  <w:rFonts w:ascii="Arial" w:cs="Arial" w:eastAsia="Arial" w:hAnsi="Arial"/>
                  <w:sz w:val="18"/>
                  <w:szCs w:val="18"/>
                  <w:color w:val="0000FF"/>
                  <w:w w:val="89"/>
                </w:rPr>
                <w:t>European Holdings S.a r.l., SS&amp;C Technologies Holdings Europe S.a r.l., SS&amp;C Financing LLC, Credit Suisse AG and Cayman Islands</w:t>
              </w:r>
            </w:hyperlink>
          </w:p>
        </w:tc>
        <w:tc>
          <w:tcPr>
            <w:tcW w:w="12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20" w:type="dxa"/>
            <w:vAlign w:val="bottom"/>
            <w:vMerge w:val="continue"/>
          </w:tcPr>
          <w:p>
            <w:pPr>
              <w:spacing w:after="0"/>
              <w:rPr>
                <w:sz w:val="8"/>
                <w:szCs w:val="8"/>
                <w:color w:val="auto"/>
              </w:rPr>
            </w:pPr>
          </w:p>
        </w:tc>
        <w:tc>
          <w:tcPr>
            <w:tcW w:w="10000" w:type="dxa"/>
            <w:vAlign w:val="bottom"/>
            <w:gridSpan w:val="34"/>
            <w:vMerge w:val="restart"/>
          </w:tcPr>
          <w:p>
            <w:pPr>
              <w:spacing w:after="0" w:line="156" w:lineRule="exact"/>
              <w:rPr>
                <w:rFonts w:ascii="Arial" w:cs="Arial" w:eastAsia="Arial" w:hAnsi="Arial"/>
                <w:sz w:val="18"/>
                <w:szCs w:val="18"/>
                <w:color w:val="0000FF"/>
                <w:w w:val="91"/>
              </w:rPr>
            </w:pPr>
            <w:hyperlink r:id="rId474">
              <w:r>
                <w:rPr>
                  <w:rFonts w:ascii="Arial" w:cs="Arial" w:eastAsia="Arial" w:hAnsi="Arial"/>
                  <w:sz w:val="18"/>
                  <w:szCs w:val="18"/>
                  <w:color w:val="0000FF"/>
                  <w:w w:val="91"/>
                </w:rPr>
                <w:t>Branch is incorporated herein by reference to Exhibit 10.1 to the Registrant’s Quarterly Report on Form 10-Q for the quarter ended March</w:t>
              </w:r>
            </w:hyperlink>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0000" w:type="dxa"/>
            <w:vAlign w:val="bottom"/>
            <w:gridSpan w:val="3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220" w:type="dxa"/>
            <w:vAlign w:val="bottom"/>
            <w:vMerge w:val="restart"/>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3"/>
                <w:szCs w:val="13"/>
                <w:color w:val="auto"/>
              </w:rPr>
            </w:pPr>
          </w:p>
        </w:tc>
        <w:tc>
          <w:tcPr>
            <w:tcW w:w="99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74">
              <w:r>
                <w:rPr>
                  <w:rFonts w:ascii="Arial" w:cs="Arial" w:eastAsia="Arial" w:hAnsi="Arial"/>
                  <w:sz w:val="18"/>
                  <w:szCs w:val="18"/>
                  <w:color w:val="0000FF"/>
                </w:rPr>
                <w:t>31, 2020 (File No. 001-34675)</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380" w:type="dxa"/>
            <w:vAlign w:val="bottom"/>
            <w:gridSpan w:val="8"/>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40" w:type="dxa"/>
            <w:vAlign w:val="bottom"/>
            <w:gridSpan w:val="4"/>
            <w:vMerge w:val="restart"/>
          </w:tcPr>
          <w:p>
            <w:pPr>
              <w:spacing w:after="0" w:line="20" w:lineRule="exact"/>
              <w:rPr>
                <w:sz w:val="1"/>
                <w:szCs w:val="1"/>
                <w:color w:val="auto"/>
              </w:rPr>
            </w:pPr>
          </w:p>
        </w:tc>
        <w:tc>
          <w:tcPr>
            <w:tcW w:w="400" w:type="dxa"/>
            <w:vAlign w:val="bottom"/>
            <w:gridSpan w:val="7"/>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2200" w:type="dxa"/>
            <w:vAlign w:val="bottom"/>
            <w:gridSpan w:val="8"/>
          </w:tcPr>
          <w:p>
            <w:pPr>
              <w:spacing w:after="0" w:line="182" w:lineRule="exact"/>
              <w:rPr>
                <w:rFonts w:ascii="Arial" w:cs="Arial" w:eastAsia="Arial" w:hAnsi="Arial"/>
                <w:sz w:val="18"/>
                <w:szCs w:val="18"/>
                <w:color w:val="0000FF"/>
                <w:w w:val="92"/>
              </w:rPr>
            </w:pPr>
            <w:hyperlink w:anchor="page95">
              <w:r>
                <w:rPr>
                  <w:rFonts w:ascii="Arial" w:cs="Arial" w:eastAsia="Arial" w:hAnsi="Arial"/>
                  <w:sz w:val="18"/>
                  <w:szCs w:val="18"/>
                  <w:color w:val="0000FF"/>
                  <w:w w:val="92"/>
                </w:rPr>
                <w:t>Subsidiaries of the Registrant</w:t>
              </w:r>
            </w:hyperlink>
          </w:p>
        </w:tc>
        <w:tc>
          <w:tcPr>
            <w:tcW w:w="4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380" w:type="dxa"/>
            <w:vAlign w:val="bottom"/>
            <w:gridSpan w:val="8"/>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00" w:type="dxa"/>
            <w:vAlign w:val="bottom"/>
            <w:gridSpan w:val="7"/>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23.1**</w:t>
            </w: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00" w:type="dxa"/>
            <w:vAlign w:val="bottom"/>
            <w:gridSpan w:val="34"/>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Consent of PricewaterhouseCoopers LLP</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000" w:type="dxa"/>
            <w:vAlign w:val="bottom"/>
            <w:gridSpan w:val="22"/>
            <w:vMerge w:val="restart"/>
          </w:tcPr>
          <w:p>
            <w:pPr>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Executive Officer pursuant to Section 302 of the Sarbanes-Oxley Act of 2002</w:t>
              </w:r>
            </w:hyperlink>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3000" w:type="dxa"/>
            <w:vAlign w:val="bottom"/>
            <w:gridSpan w:val="12"/>
          </w:tcPr>
          <w:p>
            <w:pPr>
              <w:spacing w:after="0" w:line="182" w:lineRule="exact"/>
              <w:rPr>
                <w:rFonts w:ascii="Arial" w:cs="Arial" w:eastAsia="Arial" w:hAnsi="Arial"/>
                <w:sz w:val="18"/>
                <w:szCs w:val="18"/>
                <w:color w:val="0000FF"/>
                <w:w w:val="98"/>
              </w:rPr>
            </w:pPr>
            <w:hyperlink w:anchor="page99">
              <w:r>
                <w:rPr>
                  <w:rFonts w:ascii="Arial" w:cs="Arial" w:eastAsia="Arial" w:hAnsi="Arial"/>
                  <w:sz w:val="18"/>
                  <w:szCs w:val="18"/>
                  <w:color w:val="0000FF"/>
                  <w:w w:val="98"/>
                </w:rPr>
                <w:t>Certifications of the Registrant’s Chief</w:t>
              </w:r>
            </w:hyperlink>
          </w:p>
        </w:tc>
        <w:tc>
          <w:tcPr>
            <w:tcW w:w="700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31.2**</w:t>
            </w:r>
          </w:p>
        </w:tc>
        <w:tc>
          <w:tcPr>
            <w:tcW w:w="2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4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4"/>
            <w:vMerge w:val="restart"/>
          </w:tcPr>
          <w:p>
            <w:pPr>
              <w:spacing w:after="0" w:line="20" w:lineRule="exact"/>
              <w:rPr>
                <w:sz w:val="1"/>
                <w:szCs w:val="1"/>
                <w:color w:val="auto"/>
              </w:rPr>
            </w:pPr>
          </w:p>
        </w:tc>
        <w:tc>
          <w:tcPr>
            <w:tcW w:w="400" w:type="dxa"/>
            <w:vAlign w:val="bottom"/>
            <w:gridSpan w:val="7"/>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8420" w:type="dxa"/>
            <w:vAlign w:val="bottom"/>
            <w:gridSpan w:val="21"/>
          </w:tcPr>
          <w:p>
            <w:pPr>
              <w:spacing w:after="0" w:line="182" w:lineRule="exact"/>
              <w:rPr>
                <w:rFonts w:ascii="Arial" w:cs="Arial" w:eastAsia="Arial" w:hAnsi="Arial"/>
                <w:sz w:val="18"/>
                <w:szCs w:val="18"/>
                <w:color w:val="0000FF"/>
                <w:w w:val="92"/>
              </w:rPr>
            </w:pPr>
            <w:hyperlink w:anchor="page100">
              <w:r>
                <w:rPr>
                  <w:rFonts w:ascii="Arial" w:cs="Arial" w:eastAsia="Arial" w:hAnsi="Arial"/>
                  <w:sz w:val="18"/>
                  <w:szCs w:val="18"/>
                  <w:color w:val="0000FF"/>
                  <w:w w:val="92"/>
                </w:rPr>
                <w:t>Certifications of the Registrant’s Chief Financial Officer pursuant to Section 302 of the Sarbanes-Oxley Act of 2002</w:t>
              </w:r>
            </w:hyperlink>
          </w:p>
        </w:tc>
        <w:tc>
          <w:tcPr>
            <w:tcW w:w="1140" w:type="dxa"/>
            <w:vAlign w:val="bottom"/>
            <w:gridSpan w:val="4"/>
            <w:vMerge w:val="continue"/>
          </w:tcPr>
          <w:p>
            <w:pPr>
              <w:spacing w:after="0"/>
              <w:rPr>
                <w:sz w:val="15"/>
                <w:szCs w:val="15"/>
                <w:color w:val="auto"/>
              </w:rPr>
            </w:pPr>
          </w:p>
        </w:tc>
        <w:tc>
          <w:tcPr>
            <w:tcW w:w="400" w:type="dxa"/>
            <w:vAlign w:val="bottom"/>
            <w:gridSpan w:val="7"/>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2" w:lineRule="exact"/>
              <w:rPr>
                <w:sz w:val="20"/>
                <w:szCs w:val="20"/>
                <w:color w:val="auto"/>
              </w:rPr>
            </w:pPr>
            <w:r>
              <w:rPr>
                <w:rFonts w:ascii="Arial" w:cs="Arial" w:eastAsia="Arial" w:hAnsi="Arial"/>
                <w:sz w:val="18"/>
                <w:szCs w:val="18"/>
                <w:color w:val="auto"/>
              </w:rPr>
              <w:t>32**</w:t>
            </w:r>
          </w:p>
        </w:tc>
        <w:tc>
          <w:tcPr>
            <w:tcW w:w="2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40" w:type="dxa"/>
            <w:vAlign w:val="bottom"/>
            <w:tcBorders>
              <w:right w:val="single" w:sz="8" w:color="0000EE"/>
            </w:tcBorders>
            <w:gridSpan w:val="9"/>
            <w:shd w:val="clear" w:color="auto" w:fill="0000FF"/>
          </w:tcPr>
          <w:p>
            <w:pPr>
              <w:spacing w:after="0" w:line="20" w:lineRule="exact"/>
              <w:rPr>
                <w:sz w:val="1"/>
                <w:szCs w:val="1"/>
                <w:color w:val="auto"/>
              </w:rPr>
            </w:pPr>
          </w:p>
        </w:tc>
        <w:tc>
          <w:tcPr>
            <w:tcW w:w="1620" w:type="dxa"/>
            <w:vAlign w:val="bottom"/>
            <w:gridSpan w:val="14"/>
            <w:vMerge w:val="restart"/>
          </w:tcPr>
          <w:p>
            <w:pPr>
              <w:spacing w:after="0" w:line="202" w:lineRule="exact"/>
              <w:rPr>
                <w:rFonts w:ascii="Arial" w:cs="Arial" w:eastAsia="Arial" w:hAnsi="Arial"/>
                <w:sz w:val="18"/>
                <w:szCs w:val="18"/>
                <w:color w:val="0000FF"/>
              </w:rPr>
            </w:pPr>
            <w:hyperlink w:anchor="page101">
              <w:r>
                <w:rPr>
                  <w:rFonts w:ascii="Arial" w:cs="Arial" w:eastAsia="Arial" w:hAnsi="Arial"/>
                  <w:sz w:val="18"/>
                  <w:szCs w:val="18"/>
                  <w:color w:val="0000FF"/>
                </w:rPr>
                <w:t>1351, as adopted</w:t>
              </w:r>
            </w:hyperlink>
          </w:p>
        </w:tc>
        <w:tc>
          <w:tcPr>
            <w:tcW w:w="0" w:type="dxa"/>
            <w:vAlign w:val="bottom"/>
          </w:tcPr>
          <w:p>
            <w:pPr>
              <w:spacing w:after="0" w:line="20" w:lineRule="exact"/>
              <w:rPr>
                <w:sz w:val="1"/>
                <w:szCs w:val="1"/>
                <w:color w:val="auto"/>
              </w:rPr>
            </w:pPr>
          </w:p>
        </w:tc>
      </w:tr>
      <w:tr>
        <w:trPr>
          <w:trHeight w:val="182"/>
        </w:trPr>
        <w:tc>
          <w:tcPr>
            <w:tcW w:w="1220" w:type="dxa"/>
            <w:vAlign w:val="bottom"/>
            <w:vMerge w:val="continue"/>
          </w:tcPr>
          <w:p>
            <w:pPr>
              <w:spacing w:after="0"/>
              <w:rPr>
                <w:sz w:val="15"/>
                <w:szCs w:val="15"/>
                <w:color w:val="auto"/>
              </w:rPr>
            </w:pPr>
          </w:p>
        </w:tc>
        <w:tc>
          <w:tcPr>
            <w:tcW w:w="8380" w:type="dxa"/>
            <w:vAlign w:val="bottom"/>
            <w:gridSpan w:val="20"/>
          </w:tcPr>
          <w:p>
            <w:pPr>
              <w:spacing w:after="0" w:line="182" w:lineRule="exact"/>
              <w:rPr>
                <w:rFonts w:ascii="Arial" w:cs="Arial" w:eastAsia="Arial" w:hAnsi="Arial"/>
                <w:sz w:val="18"/>
                <w:szCs w:val="18"/>
                <w:color w:val="0000FF"/>
                <w:w w:val="93"/>
              </w:rPr>
            </w:pPr>
            <w:hyperlink w:anchor="page101">
              <w:r>
                <w:rPr>
                  <w:rFonts w:ascii="Arial" w:cs="Arial" w:eastAsia="Arial" w:hAnsi="Arial"/>
                  <w:sz w:val="18"/>
                  <w:szCs w:val="18"/>
                  <w:color w:val="0000FF"/>
                  <w:w w:val="93"/>
                </w:rPr>
                <w:t>Certification of the Registrant’s Chief Executive Officer and Chief Financial Officer pursuant to 18 U.S.C. Section</w:t>
              </w:r>
            </w:hyperlink>
          </w:p>
        </w:tc>
        <w:tc>
          <w:tcPr>
            <w:tcW w:w="162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4"/>
          </w:tcPr>
          <w:p>
            <w:pPr>
              <w:spacing w:after="0" w:line="15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pursuant to Section 906 of the Sarbanes-Oxley Act of 2002 (furnished and not filed for purposes of sections 11 or 12 of the Securities</w:t>
              </w:r>
            </w:hyperlink>
          </w:p>
        </w:tc>
        <w:tc>
          <w:tcPr>
            <w:tcW w:w="440" w:type="dxa"/>
            <w:vAlign w:val="bottom"/>
            <w:gridSpan w:val="9"/>
          </w:tcPr>
          <w:p>
            <w:pPr>
              <w:ind w:left="100"/>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Act</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0" w:type="dxa"/>
            <w:vAlign w:val="bottom"/>
            <w:tcBorders>
              <w:bottom w:val="single" w:sz="8" w:color="0000EE"/>
            </w:tcBorders>
          </w:tcPr>
          <w:p>
            <w:pPr>
              <w:spacing w:after="0"/>
              <w:rPr>
                <w:sz w:val="13"/>
                <w:szCs w:val="13"/>
                <w:color w:val="auto"/>
              </w:rPr>
            </w:pPr>
          </w:p>
        </w:tc>
        <w:tc>
          <w:tcPr>
            <w:tcW w:w="26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and section 18 of the Exchange Act)</w:t>
              </w:r>
            </w:hyperlink>
          </w:p>
        </w:tc>
        <w:tc>
          <w:tcPr>
            <w:tcW w:w="20" w:type="dxa"/>
            <w:vAlign w:val="bottom"/>
            <w:tcBorders>
              <w:top w:val="single" w:sz="8" w:color="0000FF"/>
              <w:bottom w:val="single" w:sz="8" w:color="0000EE"/>
            </w:tcBorders>
          </w:tcPr>
          <w:p>
            <w:pPr>
              <w:spacing w:after="0"/>
              <w:rPr>
                <w:sz w:val="13"/>
                <w:szCs w:val="13"/>
                <w:color w:val="auto"/>
              </w:rPr>
            </w:pPr>
          </w:p>
        </w:tc>
        <w:tc>
          <w:tcPr>
            <w:tcW w:w="73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2640" w:type="dxa"/>
            <w:vAlign w:val="bottom"/>
            <w:gridSpan w:val="11"/>
          </w:tcPr>
          <w:p>
            <w:pPr>
              <w:spacing w:after="0" w:line="169" w:lineRule="exact"/>
              <w:rPr>
                <w:sz w:val="20"/>
                <w:szCs w:val="20"/>
                <w:color w:val="auto"/>
              </w:rPr>
            </w:pPr>
            <w:r>
              <w:rPr>
                <w:rFonts w:ascii="Arial" w:cs="Arial" w:eastAsia="Arial" w:hAnsi="Arial"/>
                <w:sz w:val="18"/>
                <w:szCs w:val="18"/>
                <w:color w:val="auto"/>
                <w:w w:val="96"/>
              </w:rPr>
              <w:t>Inline XBRL Instance Document –</w:t>
            </w:r>
          </w:p>
        </w:tc>
        <w:tc>
          <w:tcPr>
            <w:tcW w:w="7360" w:type="dxa"/>
            <w:vAlign w:val="bottom"/>
            <w:gridSpan w:val="23"/>
          </w:tcPr>
          <w:p>
            <w:pPr>
              <w:spacing w:after="0" w:line="169" w:lineRule="exact"/>
              <w:rPr>
                <w:sz w:val="20"/>
                <w:szCs w:val="20"/>
                <w:color w:val="auto"/>
              </w:rPr>
            </w:pPr>
            <w:r>
              <w:rPr>
                <w:rFonts w:ascii="Arial" w:cs="Arial" w:eastAsia="Arial" w:hAnsi="Arial"/>
                <w:sz w:val="18"/>
                <w:szCs w:val="18"/>
                <w:color w:val="auto"/>
                <w:w w:val="98"/>
              </w:rPr>
              <w:t>the instance document does not appear in the Interactive Data File because its XBRL tags are</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00" w:type="dxa"/>
            <w:vAlign w:val="bottom"/>
            <w:gridSpan w:val="34"/>
          </w:tcPr>
          <w:p>
            <w:pPr>
              <w:spacing w:after="0" w:line="201"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101.REF**</w:t>
            </w:r>
          </w:p>
        </w:tc>
        <w:tc>
          <w:tcPr>
            <w:tcW w:w="10000" w:type="dxa"/>
            <w:vAlign w:val="bottom"/>
            <w:gridSpan w:val="34"/>
          </w:tcPr>
          <w:p>
            <w:pPr>
              <w:spacing w:after="0" w:line="202" w:lineRule="exact"/>
              <w:rPr>
                <w:sz w:val="20"/>
                <w:szCs w:val="20"/>
                <w:color w:val="auto"/>
              </w:rPr>
            </w:pPr>
            <w:r>
              <w:rPr>
                <w:rFonts w:ascii="Arial" w:cs="Arial" w:eastAsia="Arial" w:hAnsi="Arial"/>
                <w:sz w:val="18"/>
                <w:szCs w:val="18"/>
                <w:color w:val="auto"/>
              </w:rPr>
              <w:t>XBRL Taxonomy Reference Linkbase.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3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40" w:hanging="132"/>
        <w:spacing w:after="0"/>
        <w:tabs>
          <w:tab w:leader="none" w:pos="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herewith in response to Item 15(a)(3) of the Instructions to the Annual Report on Form</w:t>
      </w:r>
    </w:p>
    <w:p>
      <w:pPr>
        <w:spacing w:after="0" w:line="34" w:lineRule="exact"/>
        <w:rPr>
          <w:rFonts w:ascii="Arial" w:cs="Arial" w:eastAsia="Arial" w:hAnsi="Arial"/>
          <w:sz w:val="16"/>
          <w:szCs w:val="16"/>
          <w:color w:val="auto"/>
        </w:rPr>
      </w:pPr>
    </w:p>
    <w:p>
      <w:pPr>
        <w:spacing w:after="0" w:line="234" w:lineRule="auto"/>
        <w:rPr>
          <w:rFonts w:ascii="Arial" w:cs="Arial" w:eastAsia="Arial" w:hAnsi="Arial"/>
          <w:sz w:val="16"/>
          <w:szCs w:val="16"/>
          <w:color w:val="auto"/>
        </w:rPr>
      </w:pPr>
      <w:r>
        <w:rPr>
          <w:rFonts w:ascii="Arial" w:cs="Arial" w:eastAsia="Arial" w:hAnsi="Arial"/>
          <w:sz w:val="18"/>
          <w:szCs w:val="18"/>
          <w:color w:val="auto"/>
        </w:rPr>
        <w:t>10-K.</w:t>
      </w:r>
    </w:p>
    <w:p>
      <w:pPr>
        <w:spacing w:after="0"/>
        <w:rPr>
          <w:rFonts w:ascii="Arial" w:cs="Arial" w:eastAsia="Arial" w:hAnsi="Arial"/>
          <w:sz w:val="16"/>
          <w:szCs w:val="16"/>
          <w:color w:val="auto"/>
        </w:rPr>
      </w:pPr>
      <w:r>
        <w:rPr>
          <w:rFonts w:ascii="Arial" w:cs="Arial" w:eastAsia="Arial" w:hAnsi="Arial"/>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11912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sectPr>
      </w:pPr>
    </w:p>
    <w:bookmarkStart w:id="92" w:name="page93"/>
    <w:bookmarkEnd w:id="92"/>
    <w:p>
      <w:pPr>
        <w:jc w:val="both"/>
        <w:ind w:firstLine="509"/>
        <w:spacing w:after="0" w:line="274"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Balance Sheets at December 31, 2021 and 2020, (ii) Consolidated Statements of Comprehensive Income for the years ended December 31, 2021, 2020 and 2019,</w:t>
      </w:r>
    </w:p>
    <w:p>
      <w:pPr>
        <w:spacing w:after="0" w:line="1" w:lineRule="exact"/>
        <w:rPr>
          <w:sz w:val="20"/>
          <w:szCs w:val="20"/>
          <w:color w:val="auto"/>
        </w:rPr>
      </w:pPr>
    </w:p>
    <w:p>
      <w:pPr>
        <w:ind w:right="540" w:firstLine="8"/>
        <w:spacing w:after="0" w:line="303" w:lineRule="auto"/>
        <w:tabs>
          <w:tab w:leader="none" w:pos="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2021, 2020 and 2019, (iv) Consolidated Statements of Changes in Stockholders’ Equity for the years ended December 31, 2021, 2020 and 2019 and (v) Notes to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44" w:right="5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SS&amp;C TECHNOLOGIES HOLDINGS, INC.</w:t>
      </w:r>
    </w:p>
    <w:p>
      <w:pPr>
        <w:spacing w:after="0" w:line="239" w:lineRule="exact"/>
        <w:rPr>
          <w:sz w:val="20"/>
          <w:szCs w:val="20"/>
          <w:color w:val="auto"/>
        </w:rPr>
      </w:pPr>
    </w:p>
    <w:p>
      <w:pPr>
        <w:ind w:left="6780"/>
        <w:spacing w:after="0"/>
        <w:tabs>
          <w:tab w:leader="none" w:pos="7280" w:val="left"/>
        </w:tabs>
        <w:rPr>
          <w:sz w:val="20"/>
          <w:szCs w:val="20"/>
          <w:color w:val="auto"/>
        </w:rPr>
      </w:pPr>
      <w:r>
        <w:rPr>
          <w:rFonts w:ascii="Arial" w:cs="Arial" w:eastAsia="Arial" w:hAnsi="Arial"/>
          <w:sz w:val="18"/>
          <w:szCs w:val="18"/>
          <w:color w:val="auto"/>
        </w:rPr>
        <w:t>By:</w:t>
        <w:tab/>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6350</wp:posOffset>
            </wp:positionV>
            <wp:extent cx="25114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William C. Stone</w:t>
      </w:r>
    </w:p>
    <w:p>
      <w:pPr>
        <w:ind w:left="7300"/>
        <w:spacing w:after="0"/>
        <w:rPr>
          <w:sz w:val="20"/>
          <w:szCs w:val="20"/>
          <w:color w:val="auto"/>
        </w:rPr>
      </w:pPr>
      <w:r>
        <w:rPr>
          <w:rFonts w:ascii="Arial" w:cs="Arial" w:eastAsia="Arial" w:hAnsi="Arial"/>
          <w:sz w:val="17"/>
          <w:szCs w:val="17"/>
          <w:color w:val="auto"/>
        </w:rPr>
        <w:t>Chairman of the Board and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25, 2022</w:t>
      </w:r>
    </w:p>
    <w:p>
      <w:pPr>
        <w:spacing w:after="0" w:line="21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24" w:right="35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Signatures</w:t>
            </w:r>
          </w:p>
        </w:tc>
        <w:tc>
          <w:tcPr>
            <w:tcW w:w="16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45"/>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William C. Stone</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Chairman of the Board and Chief</w:t>
            </w:r>
          </w:p>
        </w:tc>
      </w:tr>
      <w:tr>
        <w:trPr>
          <w:trHeight w:val="182"/>
        </w:trPr>
        <w:tc>
          <w:tcPr>
            <w:tcW w:w="394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3"/>
              </w:rPr>
              <w:t>William C. Stone</w:t>
            </w:r>
          </w:p>
        </w:tc>
        <w:tc>
          <w:tcPr>
            <w:tcW w:w="2900" w:type="dxa"/>
            <w:vAlign w:val="bottom"/>
            <w:gridSpan w:val="3"/>
          </w:tcPr>
          <w:p>
            <w:pPr>
              <w:jc w:val="center"/>
              <w:ind w:left="410"/>
              <w:spacing w:after="0" w:line="182" w:lineRule="exact"/>
              <w:rPr>
                <w:sz w:val="20"/>
                <w:szCs w:val="20"/>
                <w:color w:val="auto"/>
              </w:rPr>
            </w:pPr>
            <w:r>
              <w:rPr>
                <w:rFonts w:ascii="Arial" w:cs="Arial" w:eastAsia="Arial" w:hAnsi="Arial"/>
                <w:sz w:val="18"/>
                <w:szCs w:val="18"/>
                <w:color w:val="auto"/>
                <w:w w:val="94"/>
              </w:rPr>
              <w:t>Executive Officer</w:t>
            </w:r>
          </w:p>
        </w:tc>
      </w:tr>
      <w:tr>
        <w:trPr>
          <w:trHeight w:val="230"/>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3"/>
              </w:rPr>
              <w:t>(Principal Executive Officer)</w:t>
            </w:r>
          </w:p>
        </w:tc>
      </w:tr>
      <w:tr>
        <w:trPr>
          <w:trHeight w:val="324"/>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Patrick J. Pedonti</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Senior Vice President and Chief</w:t>
            </w:r>
          </w:p>
        </w:tc>
      </w:tr>
      <w:tr>
        <w:trPr>
          <w:trHeight w:val="182"/>
        </w:trPr>
        <w:tc>
          <w:tcPr>
            <w:tcW w:w="394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1"/>
              </w:rPr>
              <w:t>Patrick J. Pedonti</w:t>
            </w:r>
          </w:p>
        </w:tc>
        <w:tc>
          <w:tcPr>
            <w:tcW w:w="2900" w:type="dxa"/>
            <w:vAlign w:val="bottom"/>
            <w:gridSpan w:val="3"/>
          </w:tcPr>
          <w:p>
            <w:pPr>
              <w:jc w:val="center"/>
              <w:ind w:left="410"/>
              <w:spacing w:after="0" w:line="182" w:lineRule="exact"/>
              <w:rPr>
                <w:sz w:val="20"/>
                <w:szCs w:val="20"/>
                <w:color w:val="auto"/>
              </w:rPr>
            </w:pPr>
            <w:r>
              <w:rPr>
                <w:rFonts w:ascii="Arial" w:cs="Arial" w:eastAsia="Arial" w:hAnsi="Arial"/>
                <w:sz w:val="18"/>
                <w:szCs w:val="18"/>
                <w:color w:val="auto"/>
                <w:w w:val="95"/>
              </w:rPr>
              <w:t>Financial Officer</w:t>
            </w:r>
          </w:p>
        </w:tc>
      </w:tr>
      <w:tr>
        <w:trPr>
          <w:trHeight w:val="176"/>
        </w:trPr>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900" w:type="dxa"/>
            <w:vAlign w:val="bottom"/>
            <w:gridSpan w:val="3"/>
          </w:tcPr>
          <w:p>
            <w:pPr>
              <w:jc w:val="center"/>
              <w:ind w:left="410"/>
              <w:spacing w:after="0" w:line="176" w:lineRule="exact"/>
              <w:rPr>
                <w:sz w:val="20"/>
                <w:szCs w:val="20"/>
                <w:color w:val="auto"/>
              </w:rPr>
            </w:pPr>
            <w:r>
              <w:rPr>
                <w:rFonts w:ascii="Arial" w:cs="Arial" w:eastAsia="Arial" w:hAnsi="Arial"/>
                <w:sz w:val="18"/>
                <w:szCs w:val="18"/>
                <w:color w:val="auto"/>
                <w:w w:val="91"/>
              </w:rPr>
              <w:t>(Principal Financial and</w:t>
            </w:r>
          </w:p>
        </w:tc>
      </w:tr>
      <w:tr>
        <w:trPr>
          <w:trHeight w:val="230"/>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00" w:type="dxa"/>
            <w:vAlign w:val="bottom"/>
            <w:gridSpan w:val="3"/>
          </w:tcPr>
          <w:p>
            <w:pPr>
              <w:jc w:val="center"/>
              <w:ind w:left="390"/>
              <w:spacing w:after="0"/>
              <w:rPr>
                <w:sz w:val="20"/>
                <w:szCs w:val="20"/>
                <w:color w:val="auto"/>
              </w:rPr>
            </w:pPr>
            <w:r>
              <w:rPr>
                <w:rFonts w:ascii="Arial" w:cs="Arial" w:eastAsia="Arial" w:hAnsi="Arial"/>
                <w:sz w:val="18"/>
                <w:szCs w:val="18"/>
                <w:color w:val="auto"/>
                <w:w w:val="95"/>
              </w:rPr>
              <w:t>Accounting Officer)</w:t>
            </w:r>
          </w:p>
        </w:tc>
      </w:tr>
      <w:tr>
        <w:trPr>
          <w:trHeight w:val="323"/>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Normand A. Boulanger</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1"/>
              </w:rPr>
              <w:t>Normand A. Boulanger</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Smita Conjeevaram</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1"/>
              </w:rPr>
              <w:t>Smita Conjeevaram</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E. Daniels</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3"/>
              </w:rPr>
              <w:t>Michael E. Daniels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Jonathan E. Michael</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0"/>
              </w:rPr>
              <w:t>Jonathan E. Michael</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A. Varsano</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1"/>
              </w:rPr>
              <w:t>David A. Varsano</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0"/>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J. Zamkow</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24"/>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3"/>
              </w:rPr>
              <w:t>Michael J. Zamkow</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pacing w:after="0" w:line="463" w:lineRule="exact"/>
        <w:rPr>
          <w:sz w:val="20"/>
          <w:szCs w:val="20"/>
          <w:color w:val="auto"/>
        </w:rPr>
      </w:pPr>
    </w:p>
    <w:p>
      <w:pPr>
        <w:sectPr>
          <w:pgSz w:w="11900" w:h="16838" w:orient="portrait"/>
          <w:cols w:equalWidth="0" w:num="2">
            <w:col w:w="7960" w:space="720"/>
            <w:col w:w="2540"/>
          </w:cols>
          <w:pgMar w:left="320" w:top="324" w:right="359" w:bottom="1440" w:gutter="0" w:footer="0" w:header="0"/>
          <w:type w:val="continuous"/>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780" w:type="dxa"/>
            <w:vAlign w:val="bottom"/>
          </w:tcPr>
          <w:p>
            <w:pPr>
              <w:ind w:left="3980"/>
              <w:spacing w:after="0"/>
              <w:rPr>
                <w:sz w:val="20"/>
                <w:szCs w:val="20"/>
                <w:color w:val="auto"/>
              </w:rPr>
            </w:pPr>
            <w:r>
              <w:rPr>
                <w:rFonts w:ascii="Arial" w:cs="Arial" w:eastAsia="Arial" w:hAnsi="Arial"/>
                <w:sz w:val="18"/>
                <w:szCs w:val="18"/>
                <w:b w:val="1"/>
                <w:bCs w:val="1"/>
                <w:color w:val="auto"/>
                <w:w w:val="91"/>
              </w:rPr>
              <w:t>Exhibit 21</w:t>
            </w:r>
          </w:p>
        </w:tc>
      </w:tr>
      <w:tr>
        <w:trPr>
          <w:trHeight w:val="203"/>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780" w:type="dxa"/>
            <w:vAlign w:val="bottom"/>
          </w:tcPr>
          <w:p>
            <w:pPr>
              <w:jc w:val="center"/>
              <w:ind w:left="1030"/>
              <w:spacing w:after="0"/>
              <w:rPr>
                <w:sz w:val="20"/>
                <w:szCs w:val="20"/>
                <w:color w:val="auto"/>
              </w:rPr>
            </w:pPr>
            <w:r>
              <w:rPr>
                <w:rFonts w:ascii="Arial" w:cs="Arial" w:eastAsia="Arial" w:hAnsi="Arial"/>
                <w:sz w:val="14"/>
                <w:szCs w:val="14"/>
                <w:b w:val="1"/>
                <w:bCs w:val="1"/>
                <w:color w:val="auto"/>
              </w:rPr>
              <w:t>JURISDICTION OF ORGANIZATION</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Financial Models Company Ltd.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4"/>
              </w:rPr>
              <w:t>New York</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Financial Services LLC</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Connecticut LLC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2"/>
              </w:rPr>
              <w:t>Connecticut</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Inc.</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Advent Software, Inc.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Hub Data, Inc.</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6"/>
              </w:rPr>
              <w:t>Massachusetts</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Second Street Securities, Inc.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Advent Software (Middle East) Limited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2"/>
              </w:rPr>
              <w:t>United Arab Emirates</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Advent Software (Asia) Ltd.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Advent Software (Beijing) Co. Ltd.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3"/>
              </w:rPr>
              <w:t>China</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Advent Software APS</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3"/>
              </w:rPr>
              <w:t>Denmark</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Advent Norway AS</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4"/>
              </w:rPr>
              <w:t>Norway</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Advent Sweden AB</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6"/>
              </w:rPr>
              <w:t>Sweden</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Advent Software Luxembourg S.a.r.l.</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1"/>
              </w:rPr>
              <w:t>Luxembourg</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Primatics Financial (Pvt) Ltd.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6"/>
              </w:rPr>
              <w:t>Pakistan</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Financial Models Corporation Limited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FMC Global Investments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8"/>
              </w:rPr>
              <w:t>Barbados</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Fund Services (Cayman) Ltd.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Cayman Islands</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GlobeOp Financial Services (India) Private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Financial Services (Ireland)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4"/>
              </w:rPr>
              <w:t>Ireland</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Financial Services Limited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GlobeOp Financial Services (Switzerland) GmbH</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2"/>
              </w:rPr>
              <w:t>Switzerland</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GlobeOp Financial Services Technologies (India) Private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GlobeOp Holding Company (Mauritius) Private Limited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5"/>
              </w:rPr>
              <w:t>Mauritius</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Depositary Services Limited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Fund Services (Bermuda) Ltd.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0"/>
              </w:rPr>
              <w:t>Bermuda</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Fund Administration Company</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0"/>
              </w:rPr>
              <w:t>Nova Scotia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European Holdings S.a.r.l.</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1"/>
              </w:rPr>
              <w:t>Luxembourg</w:t>
            </w:r>
          </w:p>
        </w:tc>
      </w:tr>
      <w:tr>
        <w:trPr>
          <w:trHeight w:val="202"/>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(s) Pte Ltd.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7"/>
              </w:rPr>
              <w:t>Singapore</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Australia Pty Ltd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B.V.</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0"/>
              </w:rPr>
              <w:t>Netherlands</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Canada Corp.</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0"/>
              </w:rPr>
              <w:t>Nova Scotia</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Holdings Europe S.a.r.l.</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1"/>
              </w:rPr>
              <w:t>Luxembourg</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Hong Kong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India Private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Ireland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4"/>
              </w:rPr>
              <w:t>Ireland</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Technologies Sdn. Bhd.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2"/>
              </w:rPr>
              <w:t>Malaysia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Luxembourg S.a.r.l.</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1"/>
              </w:rPr>
              <w:t>Luxembourg</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Global Solutions LLC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Global Solutions (Thailand)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2"/>
              </w:rPr>
              <w:t>Thailand</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Guernsey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7"/>
              </w:rPr>
              <w:t>Guernsey</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Solutions Limited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Solutions Pty Limited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Solutions Hong Kong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Solutions NZ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0"/>
              </w:rPr>
              <w:t>New Zealand</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Technologies Shanghai Limited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3"/>
              </w:rPr>
              <w:t>China</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PT DST Global Solutions Indonesia</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89"/>
              </w:rPr>
              <w:t>Indonesia</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 and C Technologies South Africa (Pty) Ltd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3"/>
              </w:rPr>
              <w:t>South Africa</w:t>
            </w:r>
          </w:p>
        </w:tc>
      </w:tr>
      <w:tr>
        <w:trPr>
          <w:trHeight w:val="202"/>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SSC Jersey Limited</w:t>
            </w:r>
          </w:p>
        </w:tc>
        <w:tc>
          <w:tcPr>
            <w:tcW w:w="4780" w:type="dxa"/>
            <w:vAlign w:val="bottom"/>
            <w:shd w:val="clear" w:color="auto" w:fill="CFF0FC"/>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Fund Services (UK) Limited</w:t>
            </w:r>
          </w:p>
        </w:tc>
        <w:tc>
          <w:tcPr>
            <w:tcW w:w="47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Fund Services (Asia)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Fund Services (Asia) Pte Ltd.</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7"/>
              </w:rPr>
              <w:t>Singapore</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(Canada) Limited</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94"/>
              </w:rPr>
              <w:t>New Brunswick</w:t>
            </w: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SS&amp;C Financing LLC</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Systems, Inc.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202"/>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DST Pershing Realty, Inc.</w:t>
            </w:r>
          </w:p>
        </w:tc>
        <w:tc>
          <w:tcPr>
            <w:tcW w:w="4780" w:type="dxa"/>
            <w:vAlign w:val="bottom"/>
          </w:tcPr>
          <w:p>
            <w:pPr>
              <w:jc w:val="center"/>
              <w:ind w:left="101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Healthcare Holdings, Inc.</w:t>
            </w:r>
          </w:p>
        </w:tc>
        <w:tc>
          <w:tcPr>
            <w:tcW w:w="4780" w:type="dxa"/>
            <w:vAlign w:val="bottom"/>
            <w:shd w:val="clear" w:color="auto" w:fill="CFF0FC"/>
          </w:tcPr>
          <w:p>
            <w:pPr>
              <w:jc w:val="center"/>
              <w:ind w:left="1010"/>
              <w:spacing w:after="0" w:line="202" w:lineRule="exact"/>
              <w:rPr>
                <w:sz w:val="20"/>
                <w:szCs w:val="20"/>
                <w:color w:val="auto"/>
              </w:rPr>
            </w:pPr>
            <w:r>
              <w:rPr>
                <w:rFonts w:ascii="Arial" w:cs="Arial" w:eastAsia="Arial" w:hAnsi="Arial"/>
                <w:sz w:val="18"/>
                <w:szCs w:val="18"/>
                <w:color w:val="auto"/>
                <w:w w:val="89"/>
              </w:rPr>
              <w:t>Delaware</w:t>
            </w:r>
          </w:p>
        </w:tc>
      </w:tr>
      <w:tr>
        <w:trPr>
          <w:trHeight w:val="736"/>
        </w:trPr>
        <w:tc>
          <w:tcPr>
            <w:tcW w:w="64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7"/>
        </w:trPr>
        <w:tc>
          <w:tcPr>
            <w:tcW w:w="7080" w:type="dxa"/>
            <w:vAlign w:val="bottom"/>
          </w:tcPr>
          <w:p>
            <w:pPr>
              <w:ind w:left="20"/>
              <w:spacing w:after="0"/>
              <w:rPr>
                <w:sz w:val="20"/>
                <w:szCs w:val="20"/>
                <w:color w:val="auto"/>
              </w:rPr>
            </w:pPr>
            <w:r>
              <w:rPr>
                <w:rFonts w:ascii="Arial" w:cs="Arial" w:eastAsia="Arial" w:hAnsi="Arial"/>
                <w:sz w:val="18"/>
                <w:szCs w:val="18"/>
                <w:color w:val="auto"/>
              </w:rPr>
              <w:t>DST Health Solutions, LLC</w:t>
            </w:r>
          </w:p>
        </w:tc>
        <w:tc>
          <w:tcPr>
            <w:tcW w:w="4160" w:type="dxa"/>
            <w:vAlign w:val="bottom"/>
          </w:tcPr>
          <w:p>
            <w:pPr>
              <w:jc w:val="center"/>
              <w:ind w:left="390"/>
              <w:spacing w:after="0"/>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Pharmacy Solutions,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Pacific Ventures (Mauritius)</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5"/>
              </w:rPr>
              <w:t>Mauritius</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Worldwide Services India Private Limited</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Output Summit Development Corporation</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ALPS Holdings,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ALPS Advisors,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Colorado</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ALPS Distributors,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3"/>
              </w:rPr>
              <w:t>Colorado</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ALPS Fund Services,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Colorado</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ALPS Portfolio Solutions Distributor,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3"/>
              </w:rPr>
              <w:t>Colorado</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Red Rocks Capital,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Colorado</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ALPS Alternative Investment Services, LLC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Vermont Western Assurance,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Technologies,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Brokerage Solutions,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Worldwide Services (Thailand) Limited</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2"/>
              </w:rPr>
              <w:t>Thailand</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Market Services, LLC</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4"/>
              </w:rPr>
              <w:t>New York</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IFDS GP,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Retirement Solutions,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Realty,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Broadway Development,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UK Realty, LLC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UK Leasing I,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UK Leasing II, LLC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Eleventh Street Corridor Development Corporation</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Hillside Properties Corporation</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Winchester Business Center,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5"/>
              </w:rPr>
              <w:t>Missouri</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DSTi US, LLC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2"/>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West Side Investment Management,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0"/>
              </w:rPr>
              <w:t>Nevada</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Asset Manager Solutions, Inc.</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86"/>
              </w:rPr>
              <w:t>Massachusetts</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Realty Masskan,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6"/>
              </w:rPr>
              <w:t>Massachusetts</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DST Holdings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DSTi Group LLP</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DSTi Holdings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Bluedoor Holdings Pty Ltd.</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Bluedoor Technologies Pty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Bluedoor Pty Limited</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Process Solutions (Australia) Pty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SS&amp;C Financial Services International Limited</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Custody Services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SS&amp;C Financial Services Europe Limited</w:t>
            </w:r>
          </w:p>
        </w:tc>
        <w:tc>
          <w:tcPr>
            <w:tcW w:w="416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SS&amp;C Wealth and Insurance Ireland Limited</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4"/>
              </w:rPr>
              <w:t>Ireland</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SS&amp;C International Managed Services Limited</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4"/>
              </w:rPr>
              <w:t>Ireland</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Process Solutions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Process Solutions SA (Pty) Ltd</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South Africa</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DST Global Solutions (Realty)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DST (Hong Kong) Limited</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Pensions and Actuarial Services Limited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Eze Castle Software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EzeSoftware India Private Limited (India)</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Eze Software Asia Pacific Limited (Hong Kong)</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Eze Software Group Pty Limited (Australia)</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4"/>
              </w:rPr>
              <w:t>Australia</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Eze Castle Transaction Services LLC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Eze Software EMEA Limited (United Kingdom)</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Intralinks, Inc.</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Intralinks Ltd. (England)</w:t>
            </w:r>
          </w:p>
        </w:tc>
        <w:tc>
          <w:tcPr>
            <w:tcW w:w="4160" w:type="dxa"/>
            <w:vAlign w:val="bottom"/>
            <w:shd w:val="clear" w:color="auto" w:fill="CFF0FC"/>
          </w:tcPr>
          <w:p>
            <w:pPr>
              <w:jc w:val="center"/>
              <w:ind w:left="410"/>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7080" w:type="dxa"/>
            <w:vAlign w:val="bottom"/>
          </w:tcPr>
          <w:p>
            <w:pPr>
              <w:ind w:left="20"/>
              <w:spacing w:after="0" w:line="202" w:lineRule="exact"/>
              <w:rPr>
                <w:sz w:val="20"/>
                <w:szCs w:val="20"/>
                <w:color w:val="auto"/>
              </w:rPr>
            </w:pPr>
            <w:r>
              <w:rPr>
                <w:rFonts w:ascii="Arial" w:cs="Arial" w:eastAsia="Arial" w:hAnsi="Arial"/>
                <w:sz w:val="18"/>
                <w:szCs w:val="18"/>
                <w:color w:val="auto"/>
              </w:rPr>
              <w:t>Intralinks Goudou Kaisha (Japan)</w:t>
            </w:r>
          </w:p>
        </w:tc>
        <w:tc>
          <w:tcPr>
            <w:tcW w:w="416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81"/>
              </w:rPr>
              <w:t>Japan</w:t>
            </w:r>
          </w:p>
        </w:tc>
      </w:tr>
      <w:tr>
        <w:trPr>
          <w:trHeight w:val="203"/>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Intralinks Servicios de Tecnologia de Mexico, S de R.L. de C.V. (Mexico)</w:t>
            </w:r>
          </w:p>
        </w:tc>
        <w:tc>
          <w:tcPr>
            <w:tcW w:w="4160" w:type="dxa"/>
            <w:vAlign w:val="bottom"/>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8"/>
              </w:rPr>
              <w:t>Mexico</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Intralinks Servicos de Informatica Ltda. (Brazil)</w:t>
            </w:r>
          </w:p>
        </w:tc>
        <w:tc>
          <w:tcPr>
            <w:tcW w:w="4160" w:type="dxa"/>
            <w:vAlign w:val="bottom"/>
          </w:tcPr>
          <w:p>
            <w:pPr>
              <w:jc w:val="center"/>
              <w:ind w:left="390"/>
              <w:spacing w:after="0"/>
              <w:rPr>
                <w:sz w:val="20"/>
                <w:szCs w:val="20"/>
                <w:color w:val="auto"/>
              </w:rPr>
            </w:pPr>
            <w:r>
              <w:rPr>
                <w:rFonts w:ascii="Arial" w:cs="Arial" w:eastAsia="Arial" w:hAnsi="Arial"/>
                <w:sz w:val="18"/>
                <w:szCs w:val="18"/>
                <w:color w:val="auto"/>
                <w:w w:val="97"/>
              </w:rPr>
              <w:t>Brazil</w:t>
            </w:r>
          </w:p>
        </w:tc>
      </w:tr>
      <w:tr>
        <w:trPr>
          <w:trHeight w:val="708"/>
        </w:trPr>
        <w:tc>
          <w:tcPr>
            <w:tcW w:w="70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Pty Limited (Australia)</w:t>
            </w:r>
          </w:p>
        </w:tc>
        <w:tc>
          <w:tcPr>
            <w:tcW w:w="432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94"/>
              </w:rPr>
              <w:t>Australia</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Intralinks EMEA Holdings B.V. (Netherlands)</w:t>
            </w:r>
          </w:p>
        </w:tc>
        <w:tc>
          <w:tcPr>
            <w:tcW w:w="432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90"/>
              </w:rPr>
              <w:t>Netherlands</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Intralinks SRL (Romania)</w:t>
            </w:r>
          </w:p>
        </w:tc>
        <w:tc>
          <w:tcPr>
            <w:tcW w:w="4320" w:type="dxa"/>
            <w:vAlign w:val="bottom"/>
            <w:shd w:val="clear" w:color="auto" w:fill="CFF0FC"/>
          </w:tcPr>
          <w:p>
            <w:pPr>
              <w:jc w:val="center"/>
              <w:ind w:left="550"/>
              <w:spacing w:after="0" w:line="202" w:lineRule="exact"/>
              <w:rPr>
                <w:sz w:val="20"/>
                <w:szCs w:val="20"/>
                <w:color w:val="auto"/>
              </w:rPr>
            </w:pPr>
            <w:r>
              <w:rPr>
                <w:rFonts w:ascii="Arial" w:cs="Arial" w:eastAsia="Arial" w:hAnsi="Arial"/>
                <w:sz w:val="18"/>
                <w:szCs w:val="18"/>
                <w:color w:val="auto"/>
                <w:w w:val="88"/>
              </w:rPr>
              <w:t>Romania</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Intralinks Asia Pacific Pte. Ltd. (Singapore)</w:t>
            </w:r>
          </w:p>
        </w:tc>
        <w:tc>
          <w:tcPr>
            <w:tcW w:w="432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87"/>
              </w:rPr>
              <w:t>Singapore</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Intralinks GmbH (Germany)</w:t>
            </w:r>
          </w:p>
        </w:tc>
        <w:tc>
          <w:tcPr>
            <w:tcW w:w="4320" w:type="dxa"/>
            <w:vAlign w:val="bottom"/>
            <w:shd w:val="clear" w:color="auto" w:fill="CFF0FC"/>
          </w:tcPr>
          <w:p>
            <w:pPr>
              <w:jc w:val="center"/>
              <w:ind w:left="550"/>
              <w:spacing w:after="0" w:line="202" w:lineRule="exact"/>
              <w:rPr>
                <w:sz w:val="20"/>
                <w:szCs w:val="20"/>
                <w:color w:val="auto"/>
              </w:rPr>
            </w:pPr>
            <w:r>
              <w:rPr>
                <w:rFonts w:ascii="Arial" w:cs="Arial" w:eastAsia="Arial" w:hAnsi="Arial"/>
                <w:sz w:val="18"/>
                <w:szCs w:val="18"/>
                <w:color w:val="auto"/>
                <w:w w:val="91"/>
              </w:rPr>
              <w:t>Germany</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Intralinks Spain SLU (Spain)</w:t>
            </w:r>
          </w:p>
        </w:tc>
        <w:tc>
          <w:tcPr>
            <w:tcW w:w="432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86"/>
              </w:rPr>
              <w:t>Spain</w:t>
            </w: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Intralinks EMEA France SARL (France)</w:t>
            </w:r>
          </w:p>
        </w:tc>
        <w:tc>
          <w:tcPr>
            <w:tcW w:w="4320" w:type="dxa"/>
            <w:vAlign w:val="bottom"/>
            <w:shd w:val="clear" w:color="auto" w:fill="CFF0FC"/>
          </w:tcPr>
          <w:p>
            <w:pPr>
              <w:jc w:val="center"/>
              <w:ind w:left="550"/>
              <w:spacing w:after="0" w:line="202" w:lineRule="exact"/>
              <w:rPr>
                <w:sz w:val="20"/>
                <w:szCs w:val="20"/>
                <w:color w:val="auto"/>
              </w:rPr>
            </w:pPr>
            <w:r>
              <w:rPr>
                <w:rFonts w:ascii="Arial" w:cs="Arial" w:eastAsia="Arial" w:hAnsi="Arial"/>
                <w:sz w:val="18"/>
                <w:szCs w:val="18"/>
                <w:color w:val="auto"/>
                <w:w w:val="85"/>
              </w:rPr>
              <w:t>France</w:t>
            </w: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Intralinks India Solutions Pvt. Limited (India)</w:t>
            </w:r>
          </w:p>
        </w:tc>
        <w:tc>
          <w:tcPr>
            <w:tcW w:w="432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92"/>
              </w:rPr>
              <w:t>India</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Israel (Process Solutions) Ltd.</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0"/>
              </w:rPr>
              <w:t>Israel</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SS&amp;C Technologies Austria GmbH</w:t>
            </w:r>
          </w:p>
        </w:tc>
        <w:tc>
          <w:tcPr>
            <w:tcW w:w="4320" w:type="dxa"/>
            <w:vAlign w:val="bottom"/>
          </w:tcPr>
          <w:p>
            <w:pPr>
              <w:jc w:val="center"/>
              <w:ind w:left="550"/>
              <w:spacing w:after="0"/>
              <w:rPr>
                <w:sz w:val="20"/>
                <w:szCs w:val="20"/>
                <w:color w:val="auto"/>
              </w:rPr>
            </w:pPr>
            <w:r>
              <w:rPr>
                <w:rFonts w:ascii="Arial" w:cs="Arial" w:eastAsia="Arial" w:hAnsi="Arial"/>
                <w:sz w:val="18"/>
                <w:szCs w:val="18"/>
                <w:color w:val="auto"/>
                <w:w w:val="92"/>
              </w:rPr>
              <w:t>Austria</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Italy S.r.l.</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6"/>
              </w:rPr>
              <w:t>Italy</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SS&amp;C Technologies Poland sp. z.o.o</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89"/>
              </w:rPr>
              <w:t>Poland</w:t>
            </w: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TURKEY YAZILIM TEKNOLOJILERI LIMITED SIRKETI</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4"/>
              </w:rPr>
              <w:t>Turkey</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SS&amp;C Software Taiwan Co., Ltd.</w:t>
            </w:r>
          </w:p>
        </w:tc>
        <w:tc>
          <w:tcPr>
            <w:tcW w:w="4320" w:type="dxa"/>
            <w:vAlign w:val="bottom"/>
          </w:tcPr>
          <w:p>
            <w:pPr>
              <w:jc w:val="center"/>
              <w:ind w:left="550"/>
              <w:spacing w:after="0"/>
              <w:rPr>
                <w:sz w:val="20"/>
                <w:szCs w:val="20"/>
                <w:color w:val="auto"/>
              </w:rPr>
            </w:pPr>
            <w:r>
              <w:rPr>
                <w:rFonts w:ascii="Arial" w:cs="Arial" w:eastAsia="Arial" w:hAnsi="Arial"/>
                <w:sz w:val="18"/>
                <w:szCs w:val="18"/>
                <w:color w:val="auto"/>
                <w:w w:val="89"/>
              </w:rPr>
              <w:t>Taiwan</w:t>
            </w: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Innovest Systems, LLC</w:t>
            </w:r>
          </w:p>
        </w:tc>
        <w:tc>
          <w:tcPr>
            <w:tcW w:w="432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94"/>
              </w:rPr>
              <w:t>New York</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Petro Data Business Systems, Inc.</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85"/>
              </w:rPr>
              <w:t>Texas</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Administrative Systems, LLC</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89"/>
              </w:rPr>
              <w:t>Delaware</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PDS Services, Inc.</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85"/>
              </w:rPr>
              <w:t>Texas</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PDS Tax Services, Inc.</w:t>
            </w:r>
          </w:p>
        </w:tc>
        <w:tc>
          <w:tcPr>
            <w:tcW w:w="432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5"/>
              </w:rPr>
              <w:t>Texas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The PDS Companies, Inc.</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85"/>
              </w:rPr>
              <w:t>Texas</w:t>
            </w: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Millennium Seminar Services, LLC</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3"/>
              </w:rPr>
              <w:t>North Carolina</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Millennium Consulting Services, LLC</w:t>
            </w:r>
          </w:p>
        </w:tc>
        <w:tc>
          <w:tcPr>
            <w:tcW w:w="4320" w:type="dxa"/>
            <w:vAlign w:val="bottom"/>
          </w:tcPr>
          <w:p>
            <w:pPr>
              <w:jc w:val="center"/>
              <w:ind w:left="550"/>
              <w:spacing w:after="0"/>
              <w:rPr>
                <w:sz w:val="20"/>
                <w:szCs w:val="20"/>
                <w:color w:val="auto"/>
              </w:rPr>
            </w:pPr>
            <w:r>
              <w:rPr>
                <w:rFonts w:ascii="Arial" w:cs="Arial" w:eastAsia="Arial" w:hAnsi="Arial"/>
                <w:sz w:val="18"/>
                <w:szCs w:val="18"/>
                <w:color w:val="auto"/>
                <w:w w:val="93"/>
              </w:rPr>
              <w:t>North Carolina</w:t>
            </w: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PDS Systems, Inc.</w:t>
            </w:r>
          </w:p>
        </w:tc>
        <w:tc>
          <w:tcPr>
            <w:tcW w:w="432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5"/>
              </w:rPr>
              <w:t>Texas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SS&amp;C Technologies Korea Limited</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89"/>
              </w:rPr>
              <w:t>South Korea</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Life and Pensions Services Limited</w:t>
            </w:r>
          </w:p>
        </w:tc>
        <w:tc>
          <w:tcPr>
            <w:tcW w:w="4320" w:type="dxa"/>
            <w:vAlign w:val="bottom"/>
            <w:shd w:val="clear" w:color="auto" w:fill="CFF0FC"/>
          </w:tcPr>
          <w:p>
            <w:pPr>
              <w:jc w:val="center"/>
              <w:ind w:left="550"/>
              <w:spacing w:after="0"/>
              <w:rPr>
                <w:sz w:val="20"/>
                <w:szCs w:val="20"/>
                <w:color w:val="auto"/>
              </w:rPr>
            </w:pPr>
            <w:r>
              <w:rPr>
                <w:rFonts w:ascii="Arial" w:cs="Arial" w:eastAsia="Arial" w:hAnsi="Arial"/>
                <w:sz w:val="18"/>
                <w:szCs w:val="18"/>
                <w:color w:val="auto"/>
                <w:w w:val="94"/>
              </w:rPr>
              <w:t>Ireland</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DomaniRx, LLC</w:t>
            </w:r>
          </w:p>
        </w:tc>
        <w:tc>
          <w:tcPr>
            <w:tcW w:w="4320" w:type="dxa"/>
            <w:vAlign w:val="bottom"/>
          </w:tcPr>
          <w:p>
            <w:pPr>
              <w:jc w:val="center"/>
              <w:ind w:left="550"/>
              <w:spacing w:after="0"/>
              <w:rPr>
                <w:sz w:val="20"/>
                <w:szCs w:val="20"/>
                <w:color w:val="auto"/>
              </w:rPr>
            </w:pPr>
            <w:r>
              <w:rPr>
                <w:rFonts w:ascii="Arial" w:cs="Arial" w:eastAsia="Arial" w:hAnsi="Arial"/>
                <w:sz w:val="18"/>
                <w:szCs w:val="18"/>
                <w:color w:val="auto"/>
                <w:w w:val="89"/>
              </w:rPr>
              <w:t>Delaware</w:t>
            </w:r>
          </w:p>
        </w:tc>
      </w:tr>
      <w:tr>
        <w:trPr>
          <w:trHeight w:val="735"/>
        </w:trPr>
        <w:tc>
          <w:tcPr>
            <w:tcW w:w="6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jc w:val="both"/>
        <w:ind w:right="20"/>
        <w:spacing w:after="0" w:line="212"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(Nos. 333-232978, 333-224390, 333-205705, 333-197943, 333-187599, 333-167796 and 333-165810) of SS&amp;C Technologies Holdings, Inc. of our report dated February 25, 2022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0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SS&amp;C Technologies Holdings, Inc.;</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42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540" w:right="220" w:hanging="514"/>
        <w:spacing w:after="0" w:line="324" w:lineRule="auto"/>
        <w:tabs>
          <w:tab w:leader="none" w:pos="15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William C. Stone</w:t>
      </w:r>
    </w:p>
    <w:p>
      <w:pPr>
        <w:ind w:left="6780"/>
        <w:spacing w:after="0" w:line="203" w:lineRule="auto"/>
        <w:rPr>
          <w:sz w:val="20"/>
          <w:szCs w:val="20"/>
          <w:color w:val="auto"/>
        </w:rPr>
      </w:pPr>
      <w:r>
        <w:rPr>
          <w:rFonts w:ascii="Arial" w:cs="Arial" w:eastAsia="Arial" w:hAnsi="Arial"/>
          <w:sz w:val="18"/>
          <w:szCs w:val="18"/>
          <w:color w:val="auto"/>
        </w:rPr>
        <w:t>Chairman of the Board and Chief Executive Officer</w:t>
      </w: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Patrick J. Pedonti, certify that:</w:t>
      </w:r>
    </w:p>
    <w:p>
      <w:pPr>
        <w:spacing w:after="0" w:line="10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SS&amp;C Technologies Holdings, Inc.;</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right="180" w:hanging="514"/>
        <w:spacing w:after="0" w:line="248"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4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540" w:right="220" w:hanging="514"/>
        <w:spacing w:after="0" w:line="324" w:lineRule="auto"/>
        <w:tabs>
          <w:tab w:leader="none" w:pos="15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J. Pedonti</w:t>
      </w:r>
    </w:p>
    <w:p>
      <w:pPr>
        <w:ind w:left="6780"/>
        <w:spacing w:after="0" w:line="203" w:lineRule="auto"/>
        <w:rPr>
          <w:sz w:val="20"/>
          <w:szCs w:val="20"/>
          <w:color w:val="auto"/>
        </w:rPr>
      </w:pPr>
      <w:r>
        <w:rPr>
          <w:rFonts w:ascii="Arial" w:cs="Arial" w:eastAsia="Arial" w:hAnsi="Arial"/>
          <w:sz w:val="18"/>
          <w:szCs w:val="18"/>
          <w:color w:val="auto"/>
        </w:rPr>
        <w:t>Senior Vice President and Chief Financial Officer</w:t>
      </w: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6"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In connection with the annual report on Form 10-K of SS&amp;C Technologies Holdings, Inc. (the “Company”) for the year ended December 31, 2021 as filed with the Securities and Exchange Commission on the date hereof (the “Report”), the undersigned officers of the Company hereby certify to their knowledge, pursuant to 18 U.S.C. Section 1350, that:</w:t>
      </w:r>
    </w:p>
    <w:p>
      <w:pPr>
        <w:spacing w:after="0" w:line="74"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William C. Stone</w:t>
      </w:r>
    </w:p>
    <w:p>
      <w:pPr>
        <w:ind w:left="7220"/>
        <w:spacing w:after="0" w:line="203" w:lineRule="auto"/>
        <w:rPr>
          <w:sz w:val="20"/>
          <w:szCs w:val="20"/>
          <w:color w:val="auto"/>
        </w:rPr>
      </w:pPr>
      <w:r>
        <w:rPr>
          <w:rFonts w:ascii="Arial" w:cs="Arial" w:eastAsia="Arial" w:hAnsi="Arial"/>
          <w:sz w:val="18"/>
          <w:szCs w:val="18"/>
          <w:color w:val="auto"/>
        </w:rPr>
        <w:t>Chairman of the Board and</w:t>
      </w:r>
    </w:p>
    <w:p>
      <w:pPr>
        <w:ind w:left="722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Executive Officer)</w:t>
      </w:r>
    </w:p>
    <w:p>
      <w:pPr>
        <w:spacing w:after="0" w:line="223"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Patrick J. Pedonti</w:t>
      </w:r>
    </w:p>
    <w:p>
      <w:pPr>
        <w:ind w:left="7220"/>
        <w:spacing w:after="0" w:line="203" w:lineRule="auto"/>
        <w:rPr>
          <w:sz w:val="20"/>
          <w:szCs w:val="20"/>
          <w:color w:val="auto"/>
        </w:rPr>
      </w:pPr>
      <w:r>
        <w:rPr>
          <w:rFonts w:ascii="Arial" w:cs="Arial" w:eastAsia="Arial" w:hAnsi="Arial"/>
          <w:sz w:val="18"/>
          <w:szCs w:val="18"/>
          <w:color w:val="auto"/>
        </w:rPr>
        <w:t>Senior Vice President and</w:t>
      </w:r>
    </w:p>
    <w:p>
      <w:pPr>
        <w:ind w:left="72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8">
    <w:nsid w:val="1E7FF521"/>
    <w:multiLevelType w:val="hybridMultilevel"/>
    <w:lvl w:ilvl="0">
      <w:lvlJc w:val="left"/>
      <w:lvlText w:val="o"/>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o"/>
      <w:numFmt w:val="bullet"/>
      <w:start w:val="1"/>
    </w:lvl>
  </w:abstractNum>
  <w:abstractNum w:abstractNumId="11">
    <w:nsid w:val="6CEAF087"/>
    <w:multiLevelType w:val="hybridMultilevel"/>
    <w:lvl w:ilvl="0">
      <w:lvlJc w:val="left"/>
      <w:lvlText w:val="•"/>
      <w:numFmt w:val="bullet"/>
      <w:start w:val="1"/>
    </w:lvl>
    <w:lvl w:ilvl="1">
      <w:lvlJc w:val="left"/>
      <w:lvlText w:val="o"/>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lvl w:ilvl="1">
      <w:lvlJc w:val="left"/>
      <w:lvlText w:val="o"/>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Roman"/>
      <w:start w:val="2"/>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lowerLetter"/>
      <w:start w:val="1"/>
    </w:lvl>
    <w:lvl w:ilvl="1">
      <w:lvlJc w:val="left"/>
      <w:lvlText w:val="(%2)"/>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Roman"/>
      <w:start w:val="3"/>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30" Type="http://schemas.openxmlformats.org/officeDocument/2006/relationships/hyperlink" Target="https://www.sec.gov/Archives/edgar/data/1402436/000156459016023009/ssnc-ex31_283.htm" TargetMode="External"/><Relationship Id="rId433" Type="http://schemas.openxmlformats.org/officeDocument/2006/relationships/hyperlink" Target="https://www.sec.gov/Archives/edgar/data/1402436/000095012310024251/b78402a3exv3w4.htm" TargetMode="External"/><Relationship Id="rId436" Type="http://schemas.openxmlformats.org/officeDocument/2006/relationships/hyperlink" Target="https://www.sec.gov/Archives/edgar/data/1402436/000156459019009842/ssnc-ex41_6.htm" TargetMode="External"/><Relationship Id="rId442" Type="http://schemas.openxmlformats.org/officeDocument/2006/relationships/hyperlink" Target="https://www.sec.gov/Archives/edgar/data/1402436/000156459020007695/ssnc-ex43_12.htm" TargetMode="External"/><Relationship Id="rId446" Type="http://schemas.openxmlformats.org/officeDocument/2006/relationships/hyperlink" Target="https://www.sec.gov/Archives/edgar/data/1402436/000095010315005520/dp57791_ex1002.htm" TargetMode="External"/><Relationship Id="rId447" Type="http://schemas.openxmlformats.org/officeDocument/2006/relationships/hyperlink" Target="https://www.sec.gov/Archives/edgar/data/1402436/000119312517070043/d358676dex101.htm" TargetMode="External"/><Relationship Id="rId448" Type="http://schemas.openxmlformats.org/officeDocument/2006/relationships/hyperlink" Target="https://www.sec.gov/Archives/edgar/data/1402436/000156459018012803/ssnc-ex101_50.htm" TargetMode="External"/><Relationship Id="rId449" Type="http://schemas.openxmlformats.org/officeDocument/2006/relationships/hyperlink" Target="https://www.sec.gov/Archives/edgar/data/1402436/000156459018024003/ssnc-ex101_10.htm" TargetMode="External"/><Relationship Id="rId450" Type="http://schemas.openxmlformats.org/officeDocument/2006/relationships/hyperlink" Target="https://www.sec.gov/Archives/edgar/data/1402436/000156459018029767/ssnc-ex102_10.htm" TargetMode="External"/><Relationship Id="rId451" Type="http://schemas.openxmlformats.org/officeDocument/2006/relationships/hyperlink" Target="https://www.sec.gov/Archives/edgar/data/1011661/000095013506003985/b60336s4exv10w5.txt" TargetMode="External"/><Relationship Id="rId452" Type="http://schemas.openxmlformats.org/officeDocument/2006/relationships/hyperlink" Target="https://www.sec.gov/Archives/edgar/data/1402436/000095013508002763/b65660b6exv10w28.htm" TargetMode="External"/><Relationship Id="rId453" Type="http://schemas.openxmlformats.org/officeDocument/2006/relationships/hyperlink" Target="https://www.sec.gov/Archives/edgar/data/1011661/000095012310020064/b79889exv10w1.htm" TargetMode="External"/><Relationship Id="rId454" Type="http://schemas.openxmlformats.org/officeDocument/2006/relationships/hyperlink" Target="https://www.sec.gov/Archives/edgar/data/1011661/000095012311024859/b82745exv10w35.htm" TargetMode="External"/><Relationship Id="rId455" Type="http://schemas.openxmlformats.org/officeDocument/2006/relationships/hyperlink" Target="https://www.sec.gov/Archives/edgar/data/1011661/000095013506003985/b60336s4exv10w6.txt" TargetMode="External"/><Relationship Id="rId456" Type="http://schemas.openxmlformats.org/officeDocument/2006/relationships/hyperlink" Target="https://www.sec.gov/Archives/edgar/data/1402436/000156459018029767/ssnc-ex101_9.htm" TargetMode="External"/><Relationship Id="rId457" Type="http://schemas.openxmlformats.org/officeDocument/2006/relationships/hyperlink" Target="https://www.sec.gov/Archives/edgar/data/1402436/000095012310024251/b78402a3exv10w27.htm" TargetMode="External"/><Relationship Id="rId458" Type="http://schemas.openxmlformats.org/officeDocument/2006/relationships/hyperlink" Target="https://www.sec.gov/Archives/edgar/data/1402436/000119312515116192/d902237dex991.htm" TargetMode="External"/><Relationship Id="rId459" Type="http://schemas.openxmlformats.org/officeDocument/2006/relationships/hyperlink" Target="https://www.sec.gov/Archives/edgar/data/1402436/000156459018012803/ssnc-ex102_49.htm" TargetMode="External"/><Relationship Id="rId462" Type="http://schemas.openxmlformats.org/officeDocument/2006/relationships/hyperlink" Target="https://www.sec.gov/Archives/edgar/data/1402436/000095012310024251/b78402a3exv10w35.htm" TargetMode="External"/><Relationship Id="rId463" Type="http://schemas.openxmlformats.org/officeDocument/2006/relationships/hyperlink" Target="https://www.sec.gov/Archives/edgar/data/1011661/000095013506005143/b61996ssexv10w1.txt" TargetMode="External"/><Relationship Id="rId464" Type="http://schemas.openxmlformats.org/officeDocument/2006/relationships/hyperlink" Target="https://www.sec.gov/Archives/edgar/data/1011661/000095013506005143/b61996ssexv10w2.txt" TargetMode="External"/><Relationship Id="rId465" Type="http://schemas.openxmlformats.org/officeDocument/2006/relationships/hyperlink" Target="https://www.sec.gov/Archives/edgar/data/1011661/000095013506005143/b61996ssexv10w4.txt" TargetMode="External"/><Relationship Id="rId466" Type="http://schemas.openxmlformats.org/officeDocument/2006/relationships/hyperlink" Target="https://www.sec.gov/Archives/edgar/data/1402436/000095013508002763/b65660b6exv10w26.htm" TargetMode="External"/><Relationship Id="rId467" Type="http://schemas.openxmlformats.org/officeDocument/2006/relationships/hyperlink" Target="https://www.sec.gov/Archives/edgar/data/1402436/000095012310024251/b78402a3exv10w26.htm" TargetMode="External"/><Relationship Id="rId468" Type="http://schemas.openxmlformats.org/officeDocument/2006/relationships/hyperlink" Target="https://www.sec.gov/Archives/edgar/data/1402436/000119312513329154/d555524dex102.htm" TargetMode="External"/><Relationship Id="rId469" Type="http://schemas.openxmlformats.org/officeDocument/2006/relationships/hyperlink" Target="https://www.sec.gov/Archives/edgar/data/1402436/000156459019028303/ssnc-ex991_21.htm" TargetMode="External"/><Relationship Id="rId470" Type="http://schemas.openxmlformats.org/officeDocument/2006/relationships/hyperlink" Target="https://www.sec.gov/Archives/edgar/data/1402436/000119312514145838/d693605ddef14a.htm" TargetMode="External"/><Relationship Id="rId471" Type="http://schemas.openxmlformats.org/officeDocument/2006/relationships/hyperlink" Target="https://www.sec.gov/Archives/edgar/data/1402436/000156459019029931/ssnc-ex102_109.htm" TargetMode="External"/><Relationship Id="rId472" Type="http://schemas.openxmlformats.org/officeDocument/2006/relationships/hyperlink" Target="https://www.sec.gov/Archives/edgar/data/1402436/000156459019029931/ssnc-ex103_110.htm" TargetMode="External"/><Relationship Id="rId473" Type="http://schemas.openxmlformats.org/officeDocument/2006/relationships/hyperlink" Target="https://www.sec.gov/Archives/edgar/data/1402436/000156459018012803/ssnc-ex104_74.htm" TargetMode="External"/><Relationship Id="rId474" Type="http://schemas.openxmlformats.org/officeDocument/2006/relationships/hyperlink" Target="https://www.sec.gov/Archives/edgar/data/1402436/000156459020022479/ssnc-ex101_1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2022-02-25T17:14:10Z</dcterms:created>
  <dcterms:modified xsi:type="dcterms:W3CDTF">2022-02-25T17:14:10Z</dcterms:modified>
</cp:coreProperties>
</file>