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snc-20260331.htm"/>
      <w:bookmarkStart w:id="1" w:name="ksssnc20260331"/>
      <w:bookmarkEnd w:id="0"/>
      <w:bookmarkEnd w:id="1"/>
      <w:r>
        <w:rPr/>
        <w:t> </w:t>
      </w:r>
    </w:p>
    <w:p>
      <w:pPr>
        <w:pStyle w:val="TextBody"/>
        <w:bidi w:val="0"/>
        <w:jc w:val="left"/>
        <w:rPr/>
      </w:pPr>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4"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001-34675</w:t>
      </w:r>
    </w:p>
    <w:p>
      <w:pPr>
        <w:pStyle w:val="TextBody"/>
        <w:pBdr>
          <w:bottom w:val="single" w:sz="4" w:space="1" w:color="000000"/>
        </w:pBdr>
        <w:bidi w:val="0"/>
        <w:jc w:val="center"/>
        <w:rPr/>
      </w:pPr>
      <w:r>
        <w:rPr/>
        <w:t> </w:t>
      </w:r>
    </w:p>
    <w:p>
      <w:pPr>
        <w:pStyle w:val="TextBody"/>
        <w:bidi w:val="0"/>
        <w:spacing w:before="120" w:after="283"/>
        <w:jc w:val="center"/>
        <w:rPr/>
      </w:pPr>
      <w:r>
        <w:rPr/>
        <w:drawing>
          <wp:inline distT="0" distB="0" distL="0" distR="0">
            <wp:extent cx="2095500" cy="1133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95500" cy="1133475"/>
                    </a:xfrm>
                    <a:prstGeom prst="rect">
                      <a:avLst/>
                    </a:prstGeom>
                  </pic:spPr>
                </pic:pic>
              </a:graphicData>
            </a:graphic>
          </wp:inline>
        </w:drawing>
      </w:r>
    </w:p>
    <w:p>
      <w:pPr>
        <w:pStyle w:val="TextBody"/>
        <w:bidi w:val="0"/>
        <w:spacing w:before="120" w:after="283"/>
        <w:jc w:val="center"/>
        <w:rPr>
          <w:rFonts w:ascii="Times New Roman" w:hAnsi="Times New Roman"/>
          <w:b/>
          <w:color w:val="000000"/>
          <w:sz w:val="47"/>
        </w:rPr>
      </w:pPr>
      <w:r>
        <w:rPr>
          <w:rFonts w:ascii="Times New Roman" w:hAnsi="Times New Roman"/>
          <w:b/>
          <w:color w:val="000000"/>
          <w:sz w:val="47"/>
        </w:rPr>
        <w:t>SS&amp;C TECHNOLOGIES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tbl>
      <w:tblPr>
        <w:tblW w:w="2961" w:type="dxa"/>
        <w:jc w:val="left"/>
        <w:tblInd w:w="0" w:type="dxa"/>
        <w:tblLayout w:type="fixed"/>
        <w:tblCellMar>
          <w:top w:w="28" w:type="dxa"/>
          <w:left w:w="28" w:type="dxa"/>
          <w:bottom w:w="28" w:type="dxa"/>
          <w:right w:w="28" w:type="dxa"/>
        </w:tblCellMar>
      </w:tblPr>
      <w:tblGrid>
        <w:gridCol w:w="1696"/>
        <w:gridCol w:w="109"/>
        <w:gridCol w:w="1156"/>
      </w:tblGrid>
      <w:tr>
        <w:trPr/>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71-0987913</w:t>
            </w:r>
          </w:p>
        </w:tc>
      </w:tr>
      <w:tr>
        <w:trPr/>
        <w:tc>
          <w:tcPr>
            <w:tcW w:w="16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(State or other jurisdiction of</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2"/>
              </w:rPr>
            </w:pPr>
            <w:r>
              <w:rPr>
                <w:rFonts w:ascii="Times New Roman" w:hAnsi="Times New Roman"/>
                <w:b/>
                <w:color w:val="000000"/>
                <w:sz w:val="12"/>
              </w:rPr>
              <w:t>(I.R.S. Employer</w:t>
            </w:r>
          </w:p>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Identification No.)</w:t>
            </w:r>
          </w:p>
        </w:tc>
      </w:tr>
    </w:tbl>
    <w:p>
      <w:pPr>
        <w:pStyle w:val="TextBody"/>
        <w:bidi w:val="0"/>
        <w:jc w:val="center"/>
        <w:rPr>
          <w:rFonts w:ascii="Times New Roman" w:hAnsi="Times New Roman"/>
          <w:b/>
          <w:color w:val="000000"/>
          <w:sz w:val="16"/>
        </w:rPr>
      </w:pPr>
      <w:r>
        <w:rPr>
          <w:rFonts w:ascii="Times New Roman" w:hAnsi="Times New Roman"/>
          <w:b/>
          <w:color w:val="000000"/>
          <w:sz w:val="16"/>
        </w:rPr>
        <w:t>80 Lamberton Road</w:t>
      </w:r>
    </w:p>
    <w:p>
      <w:pPr>
        <w:pStyle w:val="TextBody"/>
        <w:bidi w:val="0"/>
        <w:jc w:val="center"/>
        <w:rPr>
          <w:rFonts w:ascii="Times New Roman" w:hAnsi="Times New Roman"/>
          <w:sz w:val="20"/>
        </w:rPr>
      </w:pPr>
      <w:r>
        <w:rPr>
          <w:rFonts w:ascii="Times New Roman" w:hAnsi="Times New Roman"/>
          <w:b/>
          <w:color w:val="000000"/>
          <w:sz w:val="16"/>
        </w:rPr>
        <w:t>Windsor, CT</w:t>
      </w:r>
      <w:r>
        <w:rPr>
          <w:rFonts w:ascii="Times New Roman" w:hAnsi="Times New Roman"/>
          <w:color w:val="000000"/>
          <w:sz w:val="20"/>
        </w:rPr>
        <w:t xml:space="preserve"> </w:t>
      </w:r>
      <w:r>
        <w:rPr>
          <w:rFonts w:ascii="Times New Roman" w:hAnsi="Times New Roman"/>
          <w:b/>
          <w:color w:val="000000"/>
          <w:sz w:val="16"/>
        </w:rPr>
        <w:t>06095</w:t>
      </w:r>
    </w:p>
    <w:p>
      <w:pPr>
        <w:pStyle w:val="TextBody"/>
        <w:bidi w:val="0"/>
        <w:jc w:val="center"/>
        <w:rPr>
          <w:rFonts w:ascii="Times New Roman" w:hAnsi="Times New Roman"/>
          <w:b/>
          <w:color w:val="000000"/>
          <w:sz w:val="12"/>
        </w:rPr>
      </w:pPr>
      <w:r>
        <w:rPr>
          <w:rFonts w:ascii="Times New Roman" w:hAnsi="Times New Roman"/>
          <w:b/>
          <w:color w:val="000000"/>
          <w:sz w:val="12"/>
        </w:rPr>
        <w:t>(Address of principal executive offices, including zip code)</w:t>
      </w:r>
    </w:p>
    <w:p>
      <w:pPr>
        <w:pStyle w:val="TextBody"/>
        <w:bidi w:val="0"/>
        <w:spacing w:before="120" w:after="283"/>
        <w:jc w:val="center"/>
        <w:rPr>
          <w:rFonts w:ascii="Times New Roman" w:hAnsi="Times New Roman"/>
          <w:b/>
          <w:color w:val="000000"/>
          <w:sz w:val="16"/>
        </w:rPr>
      </w:pPr>
      <w:r>
        <w:rPr>
          <w:rFonts w:ascii="Times New Roman" w:hAnsi="Times New Roman"/>
          <w:b/>
          <w:color w:val="000000"/>
          <w:sz w:val="16"/>
        </w:rPr>
        <w:t>860-298-4500</w:t>
      </w:r>
    </w:p>
    <w:p>
      <w:pPr>
        <w:pStyle w:val="TextBody"/>
        <w:bidi w:val="0"/>
        <w:jc w:val="center"/>
        <w:rPr>
          <w:rFonts w:ascii="Times New Roman" w:hAnsi="Times New Roman"/>
          <w:b/>
          <w:color w:val="000000"/>
          <w:sz w:val="12"/>
        </w:rPr>
      </w:pPr>
      <w:r>
        <w:rPr>
          <w:rFonts w:ascii="Times New Roman" w:hAnsi="Times New Roman"/>
          <w:b/>
          <w:color w:val="000000"/>
          <w:sz w:val="12"/>
        </w:rPr>
        <w:t>(Registrant’s telephone number, including area code)</w:t>
      </w:r>
    </w:p>
    <w:p>
      <w:pPr>
        <w:pStyle w:val="TextBody"/>
        <w:pBdr>
          <w:bottom w:val="single" w:sz="4" w:space="1" w:color="000000"/>
        </w:pBdr>
        <w:bidi w:val="0"/>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sz w:val="20"/>
        </w:rPr>
      </w:pPr>
      <w:r>
        <w:rPr>
          <w:rFonts w:ascii="Times New Roman" w:hAnsi="Times New Roman"/>
          <w:color w:val="000000"/>
          <w:sz w:val="16"/>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1666"/>
        <w:gridCol w:w="146"/>
        <w:gridCol w:w="37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center"/>
        <w:rPr>
          <w:rFonts w:ascii="Times New Roman" w:hAnsi="Times New Roman"/>
          <w:color w:val="000000"/>
          <w:sz w:val="16"/>
        </w:rPr>
      </w:pPr>
      <w:r>
        <w:rPr>
          <w:rFonts w:ascii="Times New Roman" w:hAnsi="Times New Roman"/>
          <w:color w:val="000000"/>
          <w:sz w:val="16"/>
        </w:rPr>
        <w:t>Securities registered pursuant to Section 12(b) of the Act:</w:t>
      </w:r>
    </w:p>
    <w:tbl>
      <w:tblPr>
        <w:tblW w:w="7503" w:type="dxa"/>
        <w:jc w:val="left"/>
        <w:tblInd w:w="0" w:type="dxa"/>
        <w:tblLayout w:type="fixed"/>
        <w:tblCellMar>
          <w:top w:w="28" w:type="dxa"/>
          <w:left w:w="28" w:type="dxa"/>
          <w:bottom w:w="28" w:type="dxa"/>
          <w:right w:w="28" w:type="dxa"/>
        </w:tblCellMar>
      </w:tblPr>
      <w:tblGrid>
        <w:gridCol w:w="3031"/>
        <w:gridCol w:w="1246"/>
        <w:gridCol w:w="3226"/>
      </w:tblGrid>
      <w:tr>
        <w:trPr/>
        <w:tc>
          <w:tcPr>
            <w:tcW w:w="30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0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u w:val="single"/>
              </w:rPr>
            </w:pPr>
            <w:r>
              <w:rPr>
                <w:rFonts w:ascii="Times New Roman" w:hAnsi="Times New Roman"/>
                <w:color w:val="000000"/>
                <w:sz w:val="16"/>
                <w:u w:val="single"/>
              </w:rPr>
              <w:t>Title of each class</w:t>
            </w:r>
          </w:p>
        </w:tc>
        <w:tc>
          <w:tcPr>
            <w:tcW w:w="1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u w:val="single"/>
              </w:rPr>
            </w:pPr>
            <w:r>
              <w:rPr>
                <w:rFonts w:ascii="Times New Roman" w:hAnsi="Times New Roman"/>
                <w:color w:val="000000"/>
                <w:sz w:val="16"/>
                <w:u w:val="single"/>
              </w:rPr>
              <w:t>Trading Symbol</w:t>
            </w:r>
          </w:p>
        </w:tc>
        <w:tc>
          <w:tcPr>
            <w:tcW w:w="32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u w:val="single"/>
              </w:rPr>
            </w:pPr>
            <w:r>
              <w:rPr>
                <w:rFonts w:ascii="Times New Roman" w:hAnsi="Times New Roman"/>
                <w:color w:val="000000"/>
                <w:sz w:val="16"/>
                <w:u w:val="single"/>
              </w:rPr>
              <w:t>Name of each exchange on which registered</w:t>
            </w:r>
          </w:p>
        </w:tc>
      </w:tr>
      <w:tr>
        <w:trPr/>
        <w:tc>
          <w:tcPr>
            <w:tcW w:w="3031"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rPr>
            </w:pPr>
            <w:r>
              <w:rPr>
                <w:rFonts w:ascii="Times New Roman" w:hAnsi="Times New Roman"/>
                <w:color w:val="000000"/>
                <w:sz w:val="16"/>
              </w:rPr>
              <w:t>Common stock, par value $0.01 per share</w:t>
            </w:r>
          </w:p>
        </w:tc>
        <w:tc>
          <w:tcPr>
            <w:tcW w:w="124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rPr>
            </w:pPr>
            <w:r>
              <w:rPr>
                <w:rFonts w:ascii="Times New Roman" w:hAnsi="Times New Roman"/>
                <w:color w:val="000000"/>
                <w:sz w:val="16"/>
              </w:rPr>
              <w:t>SSNC</w:t>
            </w:r>
          </w:p>
        </w:tc>
        <w:tc>
          <w:tcPr>
            <w:tcW w:w="3226" w:type="dxa"/>
            <w:tcBorders/>
            <w:tcMar>
              <w:top w:w="0" w:type="dxa"/>
              <w:left w:w="0" w:type="dxa"/>
              <w:bottom w:w="0" w:type="dxa"/>
              <w:right w:w="0" w:type="dxa"/>
            </w:tcMar>
            <w:vAlign w:val="center"/>
          </w:tcPr>
          <w:p>
            <w:pPr>
              <w:pStyle w:val="TableContents"/>
              <w:bidi w:val="0"/>
              <w:spacing w:before="120" w:after="283"/>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spacing w:before="100" w:after="283"/>
        <w:jc w:val="left"/>
        <w:rPr>
          <w:rFonts w:ascii="Times New Roman" w:hAnsi="Times New Roman"/>
          <w:sz w:val="20"/>
        </w:rPr>
      </w:pPr>
      <w:r>
        <w:rPr>
          <w:rFonts w:ascii="Times New Roman" w:hAnsi="Times New Roman"/>
          <w:color w:val="000000"/>
          <w:sz w:val="16"/>
        </w:rPr>
        <w:t>There were 240,834,039</w:t>
      </w:r>
      <w:r>
        <w:rPr>
          <w:rFonts w:ascii="Times New Roman" w:hAnsi="Times New Roman"/>
          <w:color w:val="000000"/>
          <w:sz w:val="20"/>
        </w:rPr>
        <w:t xml:space="preserve"> </w:t>
      </w:r>
      <w:r>
        <w:rPr>
          <w:rFonts w:ascii="Times New Roman" w:hAnsi="Times New Roman"/>
          <w:color w:val="000000"/>
          <w:sz w:val="16"/>
        </w:rPr>
        <w:t>shares of the registrant’s common stock outstanding as of April 23, 2026.</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SS&amp;C TECHNOLOGIES HOLDINGS,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INDEX</w:t>
      </w:r>
    </w:p>
    <w:tbl>
      <w:tblPr>
        <w:tblW w:w="10205" w:type="dxa"/>
        <w:jc w:val="left"/>
        <w:tblInd w:w="0" w:type="dxa"/>
        <w:tblLayout w:type="fixed"/>
        <w:tblCellMar>
          <w:top w:w="28" w:type="dxa"/>
          <w:left w:w="28" w:type="dxa"/>
          <w:bottom w:w="28" w:type="dxa"/>
          <w:right w:w="28" w:type="dxa"/>
        </w:tblCellMar>
      </w:tblPr>
      <w:tblGrid>
        <w:gridCol w:w="9323"/>
        <w:gridCol w:w="146"/>
        <w:gridCol w:w="736"/>
      </w:tblGrid>
      <w:tr>
        <w:trPr/>
        <w:tc>
          <w:tcPr>
            <w:tcW w:w="9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br/>
              <w:t>Number</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balance_sheets">
              <w:r>
                <w:rPr>
                  <w:rStyle w:val="InternetLink"/>
                  <w:rFonts w:ascii="Times New Roman" w:hAnsi="Times New Roman"/>
                  <w:color w:val="0000FF"/>
                  <w:sz w:val="20"/>
                  <w:u w:val="single"/>
                </w:rPr>
                <w:t>Condensed Consolidated Balance Sheets at March 31,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statements_compre">
              <w:r>
                <w:rPr>
                  <w:rStyle w:val="InternetLink"/>
                  <w:rFonts w:ascii="Times New Roman" w:hAnsi="Times New Roman"/>
                  <w:color w:val="0000FF"/>
                  <w:sz w:val="20"/>
                  <w:u w:val="single"/>
                </w:rPr>
                <w:t>Condensed Consolidated Statements of Comprehensive Income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statements_cash_f">
              <w:r>
                <w:rPr>
                  <w:rStyle w:val="InternetLink"/>
                  <w:rFonts w:ascii="Times New Roman" w:hAnsi="Times New Roman"/>
                  <w:color w:val="0000FF"/>
                  <w:sz w:val="20"/>
                  <w:u w:val="single"/>
                </w:rPr>
                <w:t>Condensed Consolidated Statements of Cash Flows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condensed_consolidated_equity_statement">
              <w:r>
                <w:rPr>
                  <w:rStyle w:val="InternetLink"/>
                  <w:rFonts w:ascii="Times New Roman" w:hAnsi="Times New Roman"/>
                  <w:color w:val="0000FF"/>
                  <w:sz w:val="20"/>
                  <w:u w:val="single"/>
                </w:rPr>
                <w:t>Condensed Consolidated Statements of Stockholders’ Equity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519"/>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519"/>
              <w:jc w:val="left"/>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securities">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274"/>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exhibit_index">
              <w:r>
                <w:rPr>
                  <w:rStyle w:val="InternetLink"/>
                  <w:rFonts w:ascii="Times New Roman" w:hAnsi="Times New Roman"/>
                  <w:b/>
                  <w:color w:val="0000FF"/>
                  <w:sz w:val="20"/>
                  <w:u w:val="single"/>
                </w:rPr>
                <w:t>EXHIBIT INDEX</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25</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274"/>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ind w:left="0" w:right="0" w:firstLine="274"/>
              <w:jc w:val="right"/>
              <w:rPr/>
            </w:pPr>
            <w:r>
              <w:rPr/>
              <w:t> </w:t>
            </w:r>
          </w:p>
        </w:tc>
      </w:tr>
      <w:tr>
        <w:trPr/>
        <w:tc>
          <w:tcPr>
            <w:tcW w:w="9323" w:type="dxa"/>
            <w:tcBorders/>
            <w:tcMar>
              <w:top w:w="0" w:type="dxa"/>
              <w:left w:w="0" w:type="dxa"/>
              <w:bottom w:w="0" w:type="dxa"/>
              <w:right w:w="0" w:type="dxa"/>
            </w:tcMar>
            <w:vAlign w:val="center"/>
          </w:tcPr>
          <w:p>
            <w:pPr>
              <w:pStyle w:val="TableContents"/>
              <w:bidi w:val="0"/>
              <w:spacing w:before="0" w:after="283"/>
              <w:ind w:left="0" w:right="0" w:firstLine="274"/>
              <w:jc w:val="left"/>
              <w:rPr/>
            </w:pPr>
            <w:hyperlink w:anchor="signature">
              <w:r>
                <w:rPr>
                  <w:rStyle w:val="InternetLink"/>
                  <w:rFonts w:ascii="Times New Roman" w:hAnsi="Times New Roman"/>
                  <w:b/>
                  <w:color w:val="0000FF"/>
                  <w:sz w:val="20"/>
                  <w:u w:val="single"/>
                </w:rPr>
                <w:t>SIGNATURE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932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This Quarterly Report on Form 10-Q may contain forward-looking statements within the meaning of Section 27A of the Securities Act of 1933, as amended, and Section 21E of the Securities Exchange Act of 1934, as amended. For this purpose, any statements contained herein that are not statements of historical fact may be deemed to be forward-looking statements.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The important factors discussed under the caption “Risk Factors” in this Quarterly Report on Form 10-Q and in our Annual Report on Form 10-K for the year ended December 31, 2025, filed with the Securities and Exchange Commission on February 26, 2026, among others, could cause actual results to differ materially from those indicated by forward-looking statements made herein and presented elsewhere by management from time to time. We do not undertake an obligation to update our forward-looking statements to reflect future events or circumstances. </w:t>
      </w:r>
    </w:p>
    <w:p>
      <w:pPr>
        <w:pStyle w:val="TextBody"/>
        <w:bidi w:val="0"/>
        <w:spacing w:before="240" w:after="283"/>
        <w:jc w:val="both"/>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left"/>
        <w:rPr>
          <w:rFonts w:ascii="Times New Roman" w:hAnsi="Times New Roman"/>
          <w:b/>
          <w:color w:val="000000"/>
          <w:sz w:val="16"/>
        </w:rPr>
      </w:pPr>
      <w:r>
        <w:rPr>
          <w:rFonts w:ascii="Times New Roman" w:hAnsi="Times New Roman"/>
          <w:b/>
          <w:color w:val="000000"/>
          <w:sz w:val="16"/>
        </w:rPr>
        <w:t>(In millions, except per share data) (Unaudited)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59"/>
        <w:gridCol w:w="146"/>
        <w:gridCol w:w="196"/>
        <w:gridCol w:w="736"/>
        <w:gridCol w:w="166"/>
        <w:gridCol w:w="146"/>
        <w:gridCol w:w="198"/>
        <w:gridCol w:w="745"/>
        <w:gridCol w:w="413"/>
      </w:tblGrid>
      <w:tr>
        <w:trPr/>
        <w:tc>
          <w:tcPr>
            <w:tcW w:w="7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Funds receivable and funds held on behalf of clients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3,799.5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Accounts receivable, net of allowance for credit losses of $35.7</w:t>
            </w:r>
            <w:r>
              <w:rPr>
                <w:rFonts w:ascii="Times New Roman" w:hAnsi="Times New Roman"/>
                <w:color w:val="000000"/>
                <w:sz w:val="20"/>
              </w:rPr>
              <w:t> </w:t>
            </w:r>
            <w:r>
              <w:rPr>
                <w:rFonts w:ascii="Times New Roman" w:hAnsi="Times New Roman"/>
                <w:color w:val="000000"/>
                <w:sz w:val="16"/>
              </w:rPr>
              <w:t>and $34.9,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978.7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5,343.6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5,487.7</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 (Note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289.5</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233.3</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(Note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Unconsolidated affiliates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307.7</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9,991.3</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Intangible and other assets, net of accumulated amortization of $5,481.4</w:t>
            </w:r>
            <w:r>
              <w:rPr>
                <w:rFonts w:ascii="Times New Roman" w:hAnsi="Times New Roman"/>
                <w:color w:val="000000"/>
                <w:sz w:val="20"/>
              </w:rPr>
              <w:t> </w:t>
            </w:r>
            <w:r>
              <w:rPr>
                <w:rFonts w:ascii="Times New Roman" w:hAnsi="Times New Roman"/>
                <w:color w:val="000000"/>
                <w:sz w:val="16"/>
              </w:rPr>
              <w:t>and $5,330.0,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4,094.7</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20,327.7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20,711.7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Current portion of long-term debt (Note 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Client funds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3,799.5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employee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5,111.3</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net of current portion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7,408.4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213.2</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190.2</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13,430.2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13,769.9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equity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Preferred stock, $0.01</w:t>
            </w:r>
            <w:r>
              <w:rPr>
                <w:rFonts w:ascii="Times New Roman" w:hAnsi="Times New Roman"/>
                <w:color w:val="000000"/>
                <w:sz w:val="20"/>
              </w:rPr>
              <w:t> </w:t>
            </w:r>
            <w:r>
              <w:rPr>
                <w:rFonts w:ascii="Times New Roman" w:hAnsi="Times New Roman"/>
                <w:color w:val="000000"/>
                <w:sz w:val="16"/>
              </w:rPr>
              <w:t>par value per share, 5.0</w:t>
            </w:r>
            <w:r>
              <w:rPr>
                <w:rFonts w:ascii="Times New Roman" w:hAnsi="Times New Roman"/>
                <w:color w:val="000000"/>
                <w:sz w:val="20"/>
              </w:rPr>
              <w:t> </w:t>
            </w:r>
            <w:r>
              <w:rPr>
                <w:rFonts w:ascii="Times New Roman" w:hAnsi="Times New Roman"/>
                <w:color w:val="000000"/>
                <w:sz w:val="16"/>
              </w:rPr>
              <w:t>million shares authorized; no</w:t>
            </w:r>
            <w:r>
              <w:rPr>
                <w:rFonts w:ascii="Times New Roman" w:hAnsi="Times New Roman"/>
                <w:color w:val="000000"/>
                <w:sz w:val="20"/>
              </w:rPr>
              <w:t> </w:t>
            </w:r>
            <w:r>
              <w:rPr>
                <w:rFonts w:ascii="Times New Roman" w:hAnsi="Times New Roman"/>
                <w:color w:val="000000"/>
                <w:sz w:val="16"/>
              </w:rPr>
              <w:t>shares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Class A non-voting common stock, $0.01</w:t>
            </w:r>
            <w:r>
              <w:rPr>
                <w:rFonts w:ascii="Times New Roman" w:hAnsi="Times New Roman"/>
                <w:color w:val="000000"/>
                <w:sz w:val="20"/>
              </w:rPr>
              <w:t> </w:t>
            </w:r>
            <w:r>
              <w:rPr>
                <w:rFonts w:ascii="Times New Roman" w:hAnsi="Times New Roman"/>
                <w:color w:val="000000"/>
                <w:sz w:val="16"/>
              </w:rPr>
              <w:t>par value per share, 5.0</w:t>
            </w:r>
            <w:r>
              <w:rPr>
                <w:rFonts w:ascii="Times New Roman" w:hAnsi="Times New Roman"/>
                <w:color w:val="000000"/>
                <w:sz w:val="20"/>
              </w:rPr>
              <w:t> </w:t>
            </w:r>
            <w:r>
              <w:rPr>
                <w:rFonts w:ascii="Times New Roman" w:hAnsi="Times New Roman"/>
                <w:color w:val="000000"/>
                <w:sz w:val="16"/>
              </w:rPr>
              <w:t>million shares authorized;</w:t>
              <w:br/>
              <w:t>no</w:t>
            </w:r>
            <w:r>
              <w:rPr>
                <w:rFonts w:ascii="Times New Roman" w:hAnsi="Times New Roman"/>
                <w:color w:val="000000"/>
                <w:sz w:val="20"/>
              </w:rPr>
              <w:t> </w:t>
            </w:r>
            <w:r>
              <w:rPr>
                <w:rFonts w:ascii="Times New Roman" w:hAnsi="Times New Roman"/>
                <w:color w:val="000000"/>
                <w:sz w:val="16"/>
              </w:rPr>
              <w:t>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per share, 400.0</w:t>
            </w:r>
            <w:r>
              <w:rPr>
                <w:rFonts w:ascii="Times New Roman" w:hAnsi="Times New Roman"/>
                <w:color w:val="000000"/>
                <w:sz w:val="20"/>
              </w:rPr>
              <w:t> </w:t>
            </w:r>
            <w:r>
              <w:rPr>
                <w:rFonts w:ascii="Times New Roman" w:hAnsi="Times New Roman"/>
                <w:color w:val="000000"/>
                <w:sz w:val="16"/>
              </w:rPr>
              <w:t>million shares authorized; 295.3</w:t>
            </w:r>
            <w:r>
              <w:rPr>
                <w:rFonts w:ascii="Times New Roman" w:hAnsi="Times New Roman"/>
                <w:color w:val="000000"/>
                <w:sz w:val="20"/>
              </w:rPr>
              <w:t> </w:t>
            </w:r>
            <w:r>
              <w:rPr>
                <w:rFonts w:ascii="Times New Roman" w:hAnsi="Times New Roman"/>
                <w:color w:val="000000"/>
                <w:sz w:val="16"/>
              </w:rPr>
              <w:t>million shares and 293.6</w:t>
            </w:r>
            <w:r>
              <w:rPr>
                <w:rFonts w:ascii="Times New Roman" w:hAnsi="Times New Roman"/>
                <w:color w:val="000000"/>
                <w:sz w:val="20"/>
              </w:rPr>
              <w:t> </w:t>
            </w:r>
            <w:r>
              <w:rPr>
                <w:rFonts w:ascii="Times New Roman" w:hAnsi="Times New Roman"/>
                <w:color w:val="000000"/>
                <w:sz w:val="16"/>
              </w:rPr>
              <w:t>million shares issued, respectively, and 240.8</w:t>
            </w:r>
            <w:r>
              <w:rPr>
                <w:rFonts w:ascii="Times New Roman" w:hAnsi="Times New Roman"/>
                <w:color w:val="000000"/>
                <w:sz w:val="20"/>
              </w:rPr>
              <w:t> </w:t>
            </w:r>
            <w:r>
              <w:rPr>
                <w:rFonts w:ascii="Times New Roman" w:hAnsi="Times New Roman"/>
                <w:color w:val="000000"/>
                <w:sz w:val="16"/>
              </w:rPr>
              <w:t>million shares and 241.4</w:t>
            </w:r>
            <w:r>
              <w:rPr>
                <w:rFonts w:ascii="Times New Roman" w:hAnsi="Times New Roman"/>
                <w:color w:val="000000"/>
                <w:sz w:val="20"/>
              </w:rPr>
              <w:t> </w:t>
            </w:r>
            <w:r>
              <w:rPr>
                <w:rFonts w:ascii="Times New Roman" w:hAnsi="Times New Roman"/>
                <w:color w:val="000000"/>
                <w:sz w:val="16"/>
              </w:rPr>
              <w:t>million shares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6,507.4</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4,179.2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Cost of common stock in treasury, 54.5</w:t>
            </w:r>
            <w:r>
              <w:rPr>
                <w:rFonts w:ascii="Times New Roman" w:hAnsi="Times New Roman"/>
                <w:color w:val="000000"/>
                <w:sz w:val="20"/>
              </w:rPr>
              <w:t> </w:t>
            </w:r>
            <w:r>
              <w:rPr>
                <w:rFonts w:ascii="Times New Roman" w:hAnsi="Times New Roman"/>
                <w:color w:val="000000"/>
                <w:sz w:val="16"/>
              </w:rPr>
              <w:t>and 52.2</w:t>
            </w:r>
            <w:r>
              <w:rPr>
                <w:rFonts w:ascii="Times New Roman" w:hAnsi="Times New Roman"/>
                <w:color w:val="000000"/>
                <w:sz w:val="20"/>
              </w:rPr>
              <w:t> </w:t>
            </w:r>
            <w:r>
              <w:rPr>
                <w:rFonts w:ascii="Times New Roman" w:hAnsi="Times New Roman"/>
                <w:color w:val="000000"/>
                <w:sz w:val="16"/>
              </w:rPr>
              <w:t>million shares,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(3,507.7</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SS&amp;C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6,887.6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6,897.5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6,941.8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20,327.7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20,711.7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5" w:name="condensed_consolidated_statements_compre"/>
      <w:bookmarkEnd w:id="5"/>
      <w:r>
        <w:rPr>
          <w:rFonts w:ascii="Times New Roman" w:hAnsi="Times New Roman"/>
          <w:b/>
          <w:color w:val="000000"/>
          <w:sz w:val="20"/>
        </w:rPr>
        <w:t>CONDENSED CONSOLIDATED STATEMENTS OF COMPREHENSIVE INCOME</w:t>
      </w:r>
    </w:p>
    <w:p>
      <w:pPr>
        <w:pStyle w:val="TextBody"/>
        <w:bidi w:val="0"/>
        <w:jc w:val="left"/>
        <w:rPr>
          <w:rFonts w:ascii="Times New Roman" w:hAnsi="Times New Roman"/>
          <w:b/>
          <w:color w:val="000000"/>
          <w:sz w:val="16"/>
        </w:rPr>
      </w:pPr>
      <w:r>
        <w:rPr>
          <w:rFonts w:ascii="Times New Roman" w:hAnsi="Times New Roman"/>
          <w:b/>
          <w:color w:val="000000"/>
          <w:sz w:val="16"/>
        </w:rPr>
        <w:t>(In millions, except per share data) (Unaudited)</w:t>
      </w:r>
    </w:p>
    <w:p>
      <w:pPr>
        <w:pStyle w:val="TextBody"/>
        <w:bidi w:val="0"/>
        <w:jc w:val="left"/>
        <w:rPr/>
      </w:pPr>
      <w:r>
        <w:rPr/>
        <w:t> </w:t>
      </w:r>
    </w:p>
    <w:tbl>
      <w:tblPr>
        <w:tblW w:w="9601" w:type="dxa"/>
        <w:jc w:val="left"/>
        <w:tblInd w:w="0" w:type="dxa"/>
        <w:tblLayout w:type="fixed"/>
        <w:tblCellMar>
          <w:top w:w="28" w:type="dxa"/>
          <w:left w:w="28" w:type="dxa"/>
          <w:bottom w:w="28" w:type="dxa"/>
          <w:right w:w="28" w:type="dxa"/>
        </w:tblCellMar>
      </w:tblPr>
      <w:tblGrid>
        <w:gridCol w:w="6466"/>
        <w:gridCol w:w="146"/>
        <w:gridCol w:w="235"/>
        <w:gridCol w:w="777"/>
        <w:gridCol w:w="199"/>
        <w:gridCol w:w="175"/>
        <w:gridCol w:w="235"/>
        <w:gridCol w:w="777"/>
        <w:gridCol w:w="591"/>
      </w:tblGrid>
      <w:tr>
        <w:trPr/>
        <w:tc>
          <w:tcPr>
            <w:tcW w:w="6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1,269.9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1,647.1</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1,513.9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Cost of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845.3</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766.8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801.8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403.6</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398.2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226.1</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213.0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earnings per share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0.94</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earnings per share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Basic weighted-average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weighted-average number of common and common equivalent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226.3</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213.2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comprehensive (loss)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Foreign currency exchange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defined benefit pension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comprehensive (loss)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Comprehensive income attributable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Comprehensive income attributable to SS&amp;C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154.4</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305.5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6" w:name="condensed_consolidated_statements_cash_f"/>
      <w:bookmarkEnd w:id="6"/>
      <w:r>
        <w:rPr>
          <w:rFonts w:ascii="Times New Roman" w:hAnsi="Times New Roman"/>
          <w:b/>
          <w:color w:val="000000"/>
          <w:sz w:val="20"/>
        </w:rPr>
        <w:t>CONDENSED CONSOLIDATED STATEMENTS OF CASH FLOWS</w:t>
      </w:r>
    </w:p>
    <w:p>
      <w:pPr>
        <w:pStyle w:val="TextBody"/>
        <w:bidi w:val="0"/>
        <w:jc w:val="left"/>
        <w:rPr>
          <w:rFonts w:ascii="Times New Roman" w:hAnsi="Times New Roman"/>
          <w:b/>
          <w:color w:val="000000"/>
          <w:sz w:val="16"/>
        </w:rPr>
      </w:pPr>
      <w:r>
        <w:rPr>
          <w:rFonts w:ascii="Times New Roman" w:hAnsi="Times New Roman"/>
          <w:b/>
          <w:color w:val="000000"/>
          <w:sz w:val="16"/>
        </w:rPr>
        <w:t>(In millions) (Unaudited)</w:t>
      </w:r>
    </w:p>
    <w:tbl>
      <w:tblPr>
        <w:tblW w:w="10205" w:type="dxa"/>
        <w:jc w:val="left"/>
        <w:tblInd w:w="0" w:type="dxa"/>
        <w:tblLayout w:type="fixed"/>
        <w:tblCellMar>
          <w:top w:w="28" w:type="dxa"/>
          <w:left w:w="28" w:type="dxa"/>
          <w:bottom w:w="28" w:type="dxa"/>
          <w:right w:w="28" w:type="dxa"/>
        </w:tblCellMar>
      </w:tblPr>
      <w:tblGrid>
        <w:gridCol w:w="6885"/>
        <w:gridCol w:w="146"/>
        <w:gridCol w:w="231"/>
        <w:gridCol w:w="765"/>
        <w:gridCol w:w="196"/>
        <w:gridCol w:w="172"/>
        <w:gridCol w:w="231"/>
        <w:gridCol w:w="765"/>
        <w:gridCol w:w="814"/>
      </w:tblGrid>
      <w:tr>
        <w:trPr/>
        <w:tc>
          <w:tcPr>
            <w:tcW w:w="68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to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Distributions received from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Unrealized net losses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debt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 excluding effects from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taxes prepaid and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299.7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272.2</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Business acquisitions, net of cash acquired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Additions to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Additions to capitalized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Investments in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sales /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Collection of other non-current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(63.3</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received from debt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Repayments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(decrease) increase in client funds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1,200.4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201.8</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Withholding taxes paid related to equity award net share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Purchases of common stock for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Dividends paid on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Net cash (used in)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6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(741.1</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6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935.3</w:t>
            </w:r>
          </w:p>
        </w:tc>
        <w:tc>
          <w:tcPr>
            <w:tcW w:w="814"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1,148.1</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3,573.8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3,370.5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3,060.5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4,518.6</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391" w:type="dxa"/>
            <w:gridSpan w:val="8"/>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 and cash equivalents:</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8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 and cash equivalents included in funds receivable and funds held on behalf of clients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2,636.9</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4,000.1</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3,060.5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4,518.6</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b/>
          <w:color w:val="000000"/>
          <w:sz w:val="20"/>
        </w:rPr>
      </w:pPr>
      <w:bookmarkStart w:id="7" w:name="condensed_consolidated_equity_statement"/>
      <w:bookmarkEnd w:id="7"/>
      <w:r>
        <w:rPr>
          <w:rFonts w:ascii="Times New Roman" w:hAnsi="Times New Roman"/>
          <w:b/>
          <w:color w:val="000000"/>
          <w:sz w:val="20"/>
        </w:rPr>
        <w:t>CONDENSED CONSOLIDATED STATEMENTS OF CHANGES IN STOCKHOLDERS’ EQUITY</w:t>
      </w:r>
    </w:p>
    <w:p>
      <w:pPr>
        <w:pStyle w:val="TextBody"/>
        <w:bidi w:val="0"/>
        <w:jc w:val="left"/>
        <w:rPr>
          <w:rFonts w:ascii="Times New Roman" w:hAnsi="Times New Roman"/>
          <w:b/>
          <w:color w:val="000000"/>
          <w:sz w:val="16"/>
        </w:rPr>
      </w:pPr>
      <w:r>
        <w:rPr>
          <w:rFonts w:ascii="Times New Roman" w:hAnsi="Times New Roman"/>
          <w:b/>
          <w:color w:val="000000"/>
          <w:sz w:val="16"/>
        </w:rPr>
        <w:t>(In millions) (Unaudited)</w:t>
      </w:r>
    </w:p>
    <w:p>
      <w:pPr>
        <w:pStyle w:val="TextBody"/>
        <w:bidi w:val="0"/>
        <w:jc w:val="left"/>
        <w:rPr/>
      </w:pPr>
      <w:r>
        <w:rPr/>
        <w:t> </w:t>
      </w:r>
    </w:p>
    <w:tbl>
      <w:tblPr>
        <w:tblW w:w="11227" w:type="dxa"/>
        <w:jc w:val="left"/>
        <w:tblInd w:w="0" w:type="dxa"/>
        <w:tblLayout w:type="fixed"/>
        <w:tblCellMar>
          <w:top w:w="28" w:type="dxa"/>
          <w:left w:w="28" w:type="dxa"/>
          <w:bottom w:w="28" w:type="dxa"/>
          <w:right w:w="28" w:type="dxa"/>
        </w:tblCellMar>
      </w:tblPr>
      <w:tblGrid>
        <w:gridCol w:w="1196"/>
        <w:gridCol w:w="146"/>
        <w:gridCol w:w="205"/>
        <w:gridCol w:w="486"/>
        <w:gridCol w:w="146"/>
        <w:gridCol w:w="146"/>
        <w:gridCol w:w="249"/>
        <w:gridCol w:w="442"/>
        <w:gridCol w:w="146"/>
        <w:gridCol w:w="146"/>
        <w:gridCol w:w="202"/>
        <w:gridCol w:w="669"/>
        <w:gridCol w:w="166"/>
        <w:gridCol w:w="146"/>
        <w:gridCol w:w="196"/>
        <w:gridCol w:w="646"/>
        <w:gridCol w:w="166"/>
        <w:gridCol w:w="146"/>
        <w:gridCol w:w="310"/>
        <w:gridCol w:w="906"/>
        <w:gridCol w:w="166"/>
        <w:gridCol w:w="146"/>
        <w:gridCol w:w="196"/>
        <w:gridCol w:w="706"/>
        <w:gridCol w:w="166"/>
        <w:gridCol w:w="146"/>
        <w:gridCol w:w="381"/>
        <w:gridCol w:w="820"/>
        <w:gridCol w:w="146"/>
        <w:gridCol w:w="146"/>
        <w:gridCol w:w="241"/>
        <w:gridCol w:w="795"/>
        <w:gridCol w:w="311"/>
      </w:tblGrid>
      <w:tr>
        <w:trPr/>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3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4,179.2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6,941.8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exchange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Change in defined benefit plan obligation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options, net of 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Dividends declared - $0.27</w:t>
            </w:r>
            <w:r>
              <w:rPr>
                <w:rFonts w:ascii="Times New Roman" w:hAnsi="Times New Roman"/>
                <w:color w:val="000000"/>
                <w:sz w:val="20"/>
              </w:rPr>
              <w:t> </w:t>
            </w:r>
            <w:r>
              <w:rPr>
                <w:rFonts w:ascii="Times New Roman" w:hAnsi="Times New Roman"/>
                <w:color w:val="000000"/>
                <w:sz w:val="18"/>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6,544.8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4,337.3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(3,676.1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6,897.5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tbl>
      <w:tblPr>
        <w:tblW w:w="11207" w:type="dxa"/>
        <w:jc w:val="left"/>
        <w:tblInd w:w="0" w:type="dxa"/>
        <w:tblLayout w:type="fixed"/>
        <w:tblCellMar>
          <w:top w:w="28" w:type="dxa"/>
          <w:left w:w="28" w:type="dxa"/>
          <w:bottom w:w="28" w:type="dxa"/>
          <w:right w:w="28" w:type="dxa"/>
        </w:tblCellMar>
      </w:tblPr>
      <w:tblGrid>
        <w:gridCol w:w="1196"/>
        <w:gridCol w:w="146"/>
        <w:gridCol w:w="205"/>
        <w:gridCol w:w="486"/>
        <w:gridCol w:w="146"/>
        <w:gridCol w:w="146"/>
        <w:gridCol w:w="249"/>
        <w:gridCol w:w="442"/>
        <w:gridCol w:w="146"/>
        <w:gridCol w:w="146"/>
        <w:gridCol w:w="202"/>
        <w:gridCol w:w="669"/>
        <w:gridCol w:w="146"/>
        <w:gridCol w:w="146"/>
        <w:gridCol w:w="196"/>
        <w:gridCol w:w="646"/>
        <w:gridCol w:w="166"/>
        <w:gridCol w:w="146"/>
        <w:gridCol w:w="310"/>
        <w:gridCol w:w="906"/>
        <w:gridCol w:w="166"/>
        <w:gridCol w:w="146"/>
        <w:gridCol w:w="196"/>
        <w:gridCol w:w="706"/>
        <w:gridCol w:w="166"/>
        <w:gridCol w:w="146"/>
        <w:gridCol w:w="381"/>
        <w:gridCol w:w="820"/>
        <w:gridCol w:w="146"/>
        <w:gridCol w:w="146"/>
        <w:gridCol w:w="241"/>
        <w:gridCol w:w="795"/>
        <w:gridCol w:w="311"/>
      </w:tblGrid>
      <w:tr>
        <w:trPr/>
        <w:tc>
          <w:tcPr>
            <w:tcW w:w="1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5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1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SS&amp;C Stockholders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5,901.6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(2,470.2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6,609.1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Foreign exchange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Exercise of options, net of withholding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18"/>
              </w:rPr>
              <w:t>Dividends declared - $0.25</w:t>
            </w:r>
            <w:r>
              <w:rPr>
                <w:rFonts w:ascii="Times New Roman" w:hAnsi="Times New Roman"/>
                <w:color w:val="000000"/>
                <w:sz w:val="20"/>
              </w:rPr>
              <w:t> </w:t>
            </w:r>
            <w:r>
              <w:rPr>
                <w:rFonts w:ascii="Times New Roman" w:hAnsi="Times New Roman"/>
                <w:color w:val="000000"/>
                <w:sz w:val="18"/>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3,791.2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(2,677.1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6,859.8</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are an integral part of these condensed consolidated financial statements.</w:t>
      </w:r>
    </w:p>
    <w:p>
      <w:pPr>
        <w:pStyle w:val="TextBody"/>
        <w:bidi w:val="0"/>
        <w:spacing w:before="40" w:after="283"/>
        <w:jc w:val="center"/>
        <w:rPr/>
      </w:pPr>
      <w:r>
        <w:rPr/>
        <w:t> </w:t>
      </w:r>
    </w:p>
    <w:p>
      <w:pPr>
        <w:pStyle w:val="TextBody"/>
        <w:bidi w:val="0"/>
        <w:spacing w:before="12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SS&amp;C TECHNOLOGIES HOLDINGS, INC. AND SUBSIDIARIES</w:t>
      </w:r>
    </w:p>
    <w:p>
      <w:pPr>
        <w:pStyle w:val="TextBody"/>
        <w:bidi w:val="0"/>
        <w:jc w:val="left"/>
        <w:rPr>
          <w:rFonts w:ascii="Times New Roman" w:hAnsi="Times New Roman"/>
          <w:sz w:val="20"/>
        </w:rPr>
      </w:pPr>
      <w:bookmarkStart w:id="8" w:name="notes_to_financial_statements"/>
      <w:bookmarkEnd w:id="8"/>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financial statements have been prepared in accordance with accounting principles generally accepted in the United States of America (“GAAP”). These accounting principles were applied on a basis consistent with those of the audited Consolidated Financial Statements contained in our Annual Report on Form 10-K for the year ended December 31, 2025, filed with the Securities and Exchange Commission (the “SEC”) on February 26, 2026 (the “2025 Form 10-K”). In the opinion of management, the accompanying unaudited Condensed Consolidated Financial Statements contain all adjustments (consisting of only normal recurring adjustments, except as noted elsewhere in the notes to the Condensed Consolidated Financial Statements) necessary for a fair statement of our financial position as of March 31, 2026, the results of our operations for the three months ended March 31, 2026 and 2025, and our cash flows for the three months ended March 31, 2026 and 2025. These statements do not include all of the information and footnotes required by GAAP for annual financial statements. The unaudited Condensed Consolidated Financial Statements contained herein should be read in conjunction with the audited Consolidated Financial Statements and footnotes as of and for the year ended December 31, 2025, which were included in the 2025 Form 10-K. The December 31, 2025 Consolidated Balance Sheet data were derived from audited financial statements but do not include all disclosures required by GAAP for annual financial statements. The results of operations for the three months ended March 31, 2026 are not necessarily indicative of the expected results for any subsequent quarters or the full year. Within the condensed consolidated financial statements, the line items named technology-enabled services were previously named software-enabled services.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SS&amp;C Technologies Holdings, Inc. and its subsidiaries, including a variable interest entity (“VIE”) for which we are the primary beneficiary. All intercompany balances and transactions have been eliminated in consolidation.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operate in one operating segment and one reportable segment. Our Chief Operating Decision Maker (“CODM”) is our president and chief operating officer, who reviews financial information presented on a consolidated basis. Our CODM uses consolidated net income as the sole measure of segment profit or loss and to decide how to make resource allocation decisions. Significant segment expenses include cost of technology-enabled services revenues, cost of license, maintenance and related revenues, selling and marketing, research and development, and general and administrative expenses. For these significant and other segment expenses incurred during the three months ended March 31, 2026 refer to our Condensed Consolidated Statements of Comprehensive Income.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July 2025, the FASB issued ASU 2025-05, </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This standard provides all entities with a practical expedient to assume that current conditions as of the balance sheet date do not change for the remaining life of the current accounts receivable and current contract assets. We have adopted ASU 2025-05 and the adoption of this standard did not have a material impact on our financial position, results of operations or cash flows.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Recent Accounting Pronouncements Not Yet Effective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on a prospective basis with early adoption permitted. We are currently evaluating the potential impact the standard will have on our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to modernize the accounting guidance for internal-use software costs. The standard removes all references to software development project stages and instead requires capitalization when (i) management has authorized and committed to funding the software project and (ii) it is probable that the project will be completed and the software will be used to perform the function intended. ASU 2025-06 is effective for fiscal years beginning after December 15, 2027 and interim periods within those fiscal years, with early adoption permitted. We are currently evaluating the impact of adopting ASU 2025-06.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2—Property, Plant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Property, plant and equipment and the related accumulated depreciation are as follows (in millions):</w:t>
      </w:r>
    </w:p>
    <w:tbl>
      <w:tblPr>
        <w:tblW w:w="6306" w:type="dxa"/>
        <w:jc w:val="left"/>
        <w:tblInd w:w="0" w:type="dxa"/>
        <w:tblLayout w:type="fixed"/>
        <w:tblCellMar>
          <w:top w:w="28" w:type="dxa"/>
          <w:left w:w="28" w:type="dxa"/>
          <w:bottom w:w="28" w:type="dxa"/>
          <w:right w:w="28" w:type="dxa"/>
        </w:tblCellMar>
      </w:tblPr>
      <w:tblGrid>
        <w:gridCol w:w="3541"/>
        <w:gridCol w:w="146"/>
        <w:gridCol w:w="214"/>
        <w:gridCol w:w="641"/>
        <w:gridCol w:w="166"/>
        <w:gridCol w:w="146"/>
        <w:gridCol w:w="274"/>
        <w:gridCol w:w="821"/>
        <w:gridCol w:w="166"/>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for the three months ended March 31, 2026 and 2025 was $18.1 million and $17.8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Amortization expense related to capitalized software development costs for the three months ended March 31, 2026 and 2025 was $40.6 million and $34.3 million, respectively. Capitalized software is included in intangible and other assets, net, in our unaudited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and December 31, 2025, unpaid property, plant and equipment additions totaling $26.3 million and $23.7 million, respectively, are included in accounts payable and other accrued expenses, in our unaudited Condensed Consolidated Balance Sheets.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3—Investments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Investments are as follows (in millions):</w:t>
      </w:r>
    </w:p>
    <w:tbl>
      <w:tblPr>
        <w:tblW w:w="6325" w:type="dxa"/>
        <w:jc w:val="left"/>
        <w:tblInd w:w="0" w:type="dxa"/>
        <w:tblLayout w:type="fixed"/>
        <w:tblCellMar>
          <w:top w:w="28" w:type="dxa"/>
          <w:left w:w="28" w:type="dxa"/>
          <w:bottom w:w="28" w:type="dxa"/>
          <w:right w:w="28" w:type="dxa"/>
        </w:tblCellMar>
      </w:tblPr>
      <w:tblGrid>
        <w:gridCol w:w="3646"/>
        <w:gridCol w:w="146"/>
        <w:gridCol w:w="230"/>
        <w:gridCol w:w="625"/>
        <w:gridCol w:w="146"/>
        <w:gridCol w:w="146"/>
        <w:gridCol w:w="294"/>
        <w:gridCol w:w="801"/>
        <w:gridCol w:w="291"/>
      </w:tblGrid>
      <w:tr>
        <w:trPr/>
        <w:tc>
          <w:tcPr>
            <w:tcW w:w="3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Partnership interests in private equity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Realized and unrealized gains and losses for our equity securities are as follows (in millions):</w:t>
      </w:r>
    </w:p>
    <w:tbl>
      <w:tblPr>
        <w:tblW w:w="8717" w:type="dxa"/>
        <w:jc w:val="left"/>
        <w:tblInd w:w="0" w:type="dxa"/>
        <w:tblLayout w:type="fixed"/>
        <w:tblCellMar>
          <w:top w:w="28" w:type="dxa"/>
          <w:left w:w="28" w:type="dxa"/>
          <w:bottom w:w="28" w:type="dxa"/>
          <w:right w:w="28" w:type="dxa"/>
        </w:tblCellMar>
      </w:tblPr>
      <w:tblGrid>
        <w:gridCol w:w="5716"/>
        <w:gridCol w:w="146"/>
        <w:gridCol w:w="321"/>
        <w:gridCol w:w="641"/>
        <w:gridCol w:w="252"/>
        <w:gridCol w:w="222"/>
        <w:gridCol w:w="321"/>
        <w:gridCol w:w="641"/>
        <w:gridCol w:w="166"/>
        <w:gridCol w:w="29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losses on equity securities held as of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Realized gains for equity securities sold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losses recognized in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(0.6</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2026 and December 31, 2025, we held certain investment assets and certain liabilities that are required to be measured at fair value on a recurring basis. These investments include money market funds and marketable equity securities where fair value is determined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tables below. Fair value for deferred compensation liabilities that are credited with deemed gains or losses of the underlying hypothetical investments, primarily equity securities, have been classified as Level 1 in the tables below. The fair values of cash, accounts receivable, net, short-term borrowings, and accounts payable approximate the carrying amounts due to the short-term maturities of these instruments.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present assets and liabilities measured at fair value on a recurring basis (in millions):</w:t>
      </w:r>
    </w:p>
    <w:tbl>
      <w:tblPr>
        <w:tblW w:w="10205" w:type="dxa"/>
        <w:jc w:val="left"/>
        <w:tblInd w:w="0" w:type="dxa"/>
        <w:tblLayout w:type="fixed"/>
        <w:tblCellMar>
          <w:top w:w="28" w:type="dxa"/>
          <w:left w:w="28" w:type="dxa"/>
          <w:bottom w:w="28" w:type="dxa"/>
          <w:right w:w="28" w:type="dxa"/>
        </w:tblCellMar>
      </w:tblPr>
      <w:tblGrid>
        <w:gridCol w:w="1903"/>
        <w:gridCol w:w="146"/>
        <w:gridCol w:w="236"/>
        <w:gridCol w:w="810"/>
        <w:gridCol w:w="166"/>
        <w:gridCol w:w="146"/>
        <w:gridCol w:w="499"/>
        <w:gridCol w:w="1706"/>
        <w:gridCol w:w="190"/>
        <w:gridCol w:w="167"/>
        <w:gridCol w:w="682"/>
        <w:gridCol w:w="1122"/>
        <w:gridCol w:w="167"/>
        <w:gridCol w:w="167"/>
        <w:gridCol w:w="682"/>
        <w:gridCol w:w="1119"/>
        <w:gridCol w:w="297"/>
      </w:tblGrid>
      <w:tr>
        <w:trPr/>
        <w:tc>
          <w:tcPr>
            <w:tcW w:w="1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0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0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2,439.2</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89"/>
        <w:gridCol w:w="146"/>
        <w:gridCol w:w="254"/>
        <w:gridCol w:w="872"/>
        <w:gridCol w:w="166"/>
        <w:gridCol w:w="146"/>
        <w:gridCol w:w="493"/>
        <w:gridCol w:w="1684"/>
        <w:gridCol w:w="190"/>
        <w:gridCol w:w="167"/>
        <w:gridCol w:w="674"/>
        <w:gridCol w:w="1110"/>
        <w:gridCol w:w="167"/>
        <w:gridCol w:w="167"/>
        <w:gridCol w:w="676"/>
        <w:gridCol w:w="1109"/>
        <w:gridCol w:w="295"/>
      </w:tblGrid>
      <w:tr>
        <w:trPr/>
        <w:tc>
          <w:tcPr>
            <w:tcW w:w="1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 (Level 1)</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 (Level 2)</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 (Level 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Seed capital investments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equity securities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compensation liabilities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2,795.8</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sans-serif" w:hAnsi="sans-serif"/>
          <w:sz w:val="22"/>
        </w:rPr>
      </w:pPr>
      <w:r>
        <w:rPr>
          <w:rFonts w:ascii="Times New Roman" w:hAnsi="Times New Roman"/>
          <w:color w:val="000000"/>
          <w:sz w:val="20"/>
        </w:rPr>
        <w:t>As of March 31, 2026, included $58.7</w:t>
      </w:r>
      <w:r>
        <w:rPr>
          <w:rFonts w:ascii="sans-serif" w:hAnsi="sans-serif"/>
          <w:color w:val="000000"/>
          <w:sz w:val="22"/>
        </w:rPr>
        <w:t xml:space="preserve"> </w:t>
      </w:r>
      <w:r>
        <w:rPr>
          <w:rFonts w:ascii="Times New Roman" w:hAnsi="Times New Roman"/>
          <w:color w:val="000000"/>
          <w:sz w:val="20"/>
        </w:rPr>
        <w:t>million of cash and cash equivalents, $1.3</w:t>
      </w:r>
      <w:r>
        <w:rPr>
          <w:rFonts w:ascii="sans-serif" w:hAnsi="sans-serif"/>
          <w:color w:val="000000"/>
          <w:sz w:val="22"/>
        </w:rPr>
        <w:t xml:space="preserve"> </w:t>
      </w:r>
      <w:r>
        <w:rPr>
          <w:rFonts w:ascii="Times New Roman" w:hAnsi="Times New Roman"/>
          <w:color w:val="000000"/>
          <w:sz w:val="20"/>
        </w:rPr>
        <w:t>million of restricted cash and $2,343.0</w:t>
      </w:r>
      <w:r>
        <w:rPr>
          <w:rFonts w:ascii="sans-serif" w:hAnsi="sans-serif"/>
          <w:color w:val="000000"/>
          <w:sz w:val="22"/>
        </w:rPr>
        <w:t xml:space="preserve"> </w:t>
      </w:r>
      <w:r>
        <w:rPr>
          <w:rFonts w:ascii="Times New Roman" w:hAnsi="Times New Roman"/>
          <w:color w:val="000000"/>
          <w:sz w:val="20"/>
        </w:rPr>
        <w:t>million of funds receivable and funds held on behalf of clients on the unaudited Condensed Consolidated Balance Sheets. As of December 31, 2025, included $76.6</w:t>
      </w:r>
      <w:r>
        <w:rPr>
          <w:rFonts w:ascii="sans-serif" w:hAnsi="sans-serif"/>
          <w:color w:val="000000"/>
          <w:sz w:val="22"/>
        </w:rPr>
        <w:t xml:space="preserve"> </w:t>
      </w:r>
      <w:r>
        <w:rPr>
          <w:rFonts w:ascii="Times New Roman" w:hAnsi="Times New Roman"/>
          <w:color w:val="000000"/>
          <w:sz w:val="20"/>
        </w:rPr>
        <w:t>million of cash and cash equivalents, $1.3</w:t>
      </w:r>
      <w:r>
        <w:rPr>
          <w:rFonts w:ascii="sans-serif" w:hAnsi="sans-serif"/>
          <w:color w:val="000000"/>
          <w:sz w:val="22"/>
        </w:rPr>
        <w:t xml:space="preserve"> </w:t>
      </w:r>
      <w:r>
        <w:rPr>
          <w:rFonts w:ascii="Times New Roman" w:hAnsi="Times New Roman"/>
          <w:color w:val="000000"/>
          <w:sz w:val="20"/>
        </w:rPr>
        <w:t>million of restricted cash and $2,681.3</w:t>
      </w:r>
      <w:r>
        <w:rPr>
          <w:rFonts w:ascii="sans-serif" w:hAnsi="sans-serif"/>
          <w:color w:val="000000"/>
          <w:sz w:val="22"/>
        </w:rPr>
        <w:t xml:space="preserve"> </w:t>
      </w:r>
      <w:r>
        <w:rPr>
          <w:rFonts w:ascii="Times New Roman" w:hAnsi="Times New Roman"/>
          <w:color w:val="000000"/>
          <w:sz w:val="20"/>
        </w:rPr>
        <w:t xml:space="preserve">million of funds receivable and funds held on behalf of clients on the unaudited Condensed Consolidated Balance Sheets.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Included in investments on the unaudited Condensed Consolidated Balance Sheets.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Included in other long-term liabilities on the unaudited Condensed Consolidated Balance Sheets.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partnership interests in various private equity funds that are not included in the tables above. Our investments in private equity funds were $4.1 million and $4.3 million at March 31, 2026 and December 31, 2025, respectively, of which $3.0 million and $3.1 million, respectively, were measured using net asset value as a practical expedient for fair value and $1.1 million and $1.2 million, respectively, were accounted for under the equity method of accounting. The investments in private equity funds represent underlying investments in domestic and international markets across various industry sectors.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its investments in the entities.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4—Unconsolidated Affiliates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Investments in unconsolidated affiliates are as follows (in millions):</w:t>
      </w:r>
    </w:p>
    <w:tbl>
      <w:tblPr>
        <w:tblW w:w="10205" w:type="dxa"/>
        <w:jc w:val="left"/>
        <w:tblInd w:w="0" w:type="dxa"/>
        <w:tblLayout w:type="fixed"/>
        <w:tblCellMar>
          <w:top w:w="28" w:type="dxa"/>
          <w:left w:w="28" w:type="dxa"/>
          <w:bottom w:w="28" w:type="dxa"/>
          <w:right w:w="28" w:type="dxa"/>
        </w:tblCellMar>
      </w:tblPr>
      <w:tblGrid>
        <w:gridCol w:w="1857"/>
        <w:gridCol w:w="146"/>
        <w:gridCol w:w="1133"/>
        <w:gridCol w:w="146"/>
        <w:gridCol w:w="236"/>
        <w:gridCol w:w="638"/>
        <w:gridCol w:w="146"/>
        <w:gridCol w:w="146"/>
        <w:gridCol w:w="538"/>
        <w:gridCol w:w="1463"/>
        <w:gridCol w:w="146"/>
        <w:gridCol w:w="146"/>
        <w:gridCol w:w="236"/>
        <w:gridCol w:w="638"/>
        <w:gridCol w:w="146"/>
        <w:gridCol w:w="146"/>
        <w:gridCol w:w="538"/>
        <w:gridCol w:w="1463"/>
        <w:gridCol w:w="297"/>
      </w:tblGrid>
      <w:tr>
        <w:trPr/>
        <w:tc>
          <w:tcPr>
            <w:tcW w:w="1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Ownership Percentage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carrying value of investment over proportionate share of net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Excess carrying value of investment over proportionate share of net assets</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Orbit Private Investments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Broadway Square Partners, LLP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Financial Data Services 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Pershing Road Development Company, LLC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unconsolidated affiliates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5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103.0</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Ownership percentage is as of March 31, 2026 and December 31,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Investments in unconsolidated affiliates are accounted for under the equity method of accounting. We record our proportionate share of the results of the unconsolidated affiliates and amortization expense related to basis differences in equity in earnings of unconsolidated affiliates, net on the unaudited Condensed Consolidated Statements of Comprehensive Income. During the three months ended March 31, 2026, we received a distribution of $16.9 million from Orbit Private Investment L.P. which reduced our investment in the affiliate. We recorded the distribution as an operating cash inflow in our unaudited Condensed Consolidated statements of Cash Flows due to the nature of the distribution.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Equity in earnings of unconsolidated affiliates, net are as follows (in millions):</w:t>
      </w:r>
    </w:p>
    <w:tbl>
      <w:tblPr>
        <w:tblW w:w="6586" w:type="dxa"/>
        <w:jc w:val="left"/>
        <w:tblInd w:w="0" w:type="dxa"/>
        <w:tblLayout w:type="fixed"/>
        <w:tblCellMar>
          <w:top w:w="28" w:type="dxa"/>
          <w:left w:w="28" w:type="dxa"/>
          <w:bottom w:w="28" w:type="dxa"/>
          <w:right w:w="28" w:type="dxa"/>
        </w:tblCellMar>
      </w:tblPr>
      <w:tblGrid>
        <w:gridCol w:w="3751"/>
        <w:gridCol w:w="146"/>
        <w:gridCol w:w="321"/>
        <w:gridCol w:w="641"/>
        <w:gridCol w:w="252"/>
        <w:gridCol w:w="222"/>
        <w:gridCol w:w="321"/>
        <w:gridCol w:w="641"/>
        <w:gridCol w:w="29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Orbit Private Investments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Broadway Square Partners, LLP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International Financial Data Services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Pershing Road Development Company,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unconsolidated affiliates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5—Goodwill</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change in carrying value of goodwill as of and for the three months ended March 31, 2026 is as follows (in millions):</w:t>
      </w:r>
    </w:p>
    <w:tbl>
      <w:tblPr>
        <w:tblW w:w="4595" w:type="dxa"/>
        <w:jc w:val="left"/>
        <w:tblInd w:w="0" w:type="dxa"/>
        <w:tblLayout w:type="fixed"/>
        <w:tblCellMar>
          <w:top w:w="28" w:type="dxa"/>
          <w:left w:w="28" w:type="dxa"/>
          <w:bottom w:w="28" w:type="dxa"/>
          <w:right w:w="28" w:type="dxa"/>
        </w:tblCellMar>
      </w:tblPr>
      <w:tblGrid>
        <w:gridCol w:w="3206"/>
        <w:gridCol w:w="146"/>
        <w:gridCol w:w="211"/>
        <w:gridCol w:w="721"/>
        <w:gridCol w:w="311"/>
      </w:tblGrid>
      <w:tr>
        <w:trPr/>
        <w:tc>
          <w:tcPr>
            <w:tcW w:w="3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9,991.3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Adjustments to prior acquisitions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2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foreign currency translation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9,932.4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6—Debt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March 31, 2026 and December 31, 2025, debt consisted of the following (in millions):</w:t>
      </w:r>
    </w:p>
    <w:tbl>
      <w:tblPr>
        <w:tblW w:w="10205" w:type="dxa"/>
        <w:jc w:val="left"/>
        <w:tblInd w:w="0" w:type="dxa"/>
        <w:tblLayout w:type="fixed"/>
        <w:tblCellMar>
          <w:top w:w="28" w:type="dxa"/>
          <w:left w:w="28" w:type="dxa"/>
          <w:bottom w:w="28" w:type="dxa"/>
          <w:right w:w="28" w:type="dxa"/>
        </w:tblCellMar>
      </w:tblPr>
      <w:tblGrid>
        <w:gridCol w:w="7277"/>
        <w:gridCol w:w="146"/>
        <w:gridCol w:w="211"/>
        <w:gridCol w:w="721"/>
        <w:gridCol w:w="166"/>
        <w:gridCol w:w="146"/>
        <w:gridCol w:w="244"/>
        <w:gridCol w:w="835"/>
        <w:gridCol w:w="166"/>
        <w:gridCol w:w="293"/>
      </w:tblGrid>
      <w:tr>
        <w:trPr/>
        <w:tc>
          <w:tcPr>
            <w:tcW w:w="7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credit facilities, weighted-average interest rate of 5.58% and 5.63%,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5.5% senior notes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 senior notes due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credit facilities revolving portion, weighted-average interest rate of 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Unamortized original issue discount and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27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table below provides a summary of the key terms of our Senior Secured Credit Facilities and Senior Notes:</w:t>
      </w:r>
    </w:p>
    <w:tbl>
      <w:tblPr>
        <w:tblW w:w="8717" w:type="dxa"/>
        <w:jc w:val="left"/>
        <w:tblInd w:w="0" w:type="dxa"/>
        <w:tblLayout w:type="fixed"/>
        <w:tblCellMar>
          <w:top w:w="28" w:type="dxa"/>
          <w:left w:w="28" w:type="dxa"/>
          <w:bottom w:w="28" w:type="dxa"/>
          <w:right w:w="28" w:type="dxa"/>
        </w:tblCellMar>
      </w:tblPr>
      <w:tblGrid>
        <w:gridCol w:w="2806"/>
        <w:gridCol w:w="146"/>
        <w:gridCol w:w="379"/>
        <w:gridCol w:w="1301"/>
        <w:gridCol w:w="146"/>
        <w:gridCol w:w="146"/>
        <w:gridCol w:w="1996"/>
        <w:gridCol w:w="146"/>
        <w:gridCol w:w="165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Outstanding </w:t>
              <w:br/>
              <w:t>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Scheduled Quarterly</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Required</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Secured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B-8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9,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A-9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27, 2029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0.625% (3)</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28,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5.5%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6.5%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the September 2024 Incremental Joinder, scheduled quarterly payments of 0.25% are required. We have made all required scheduled payments on our Term B-8 Loans and do not have any principal payments due until maturity.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sz w:val="20"/>
        </w:rPr>
      </w:pPr>
      <w:r>
        <w:rPr>
          <w:rFonts w:ascii="Times New Roman" w:hAnsi="Times New Roman"/>
          <w:color w:val="000000"/>
          <w:sz w:val="20"/>
        </w:rPr>
        <w:t>The Term A-9 Loans will mature on the earlier to occur of (1) September 27, 2029 or (2) 91 days prior to the maturity of (x) the 5.5% Senior Notes if more than $150.0 million aggregate principal amount remains outstanding on the 91</w:t>
      </w:r>
      <w:r>
        <w:rPr>
          <w:rFonts w:ascii="Times New Roman" w:hAnsi="Times New Roman"/>
          <w:color w:val="000000"/>
          <w:sz w:val="13"/>
        </w:rPr>
        <w:t>st</w:t>
      </w:r>
      <w:r>
        <w:rPr>
          <w:rFonts w:ascii="Times New Roman" w:hAnsi="Times New Roman"/>
          <w:color w:val="000000"/>
          <w:sz w:val="20"/>
        </w:rPr>
        <w:t xml:space="preserve"> day prior to such maturity or (y) the Revolving Credit Facility if more than $150.0 million aggregate principal amount of commitments remain outstanding on the 91</w:t>
      </w:r>
      <w:r>
        <w:rPr>
          <w:rFonts w:ascii="Times New Roman" w:hAnsi="Times New Roman"/>
          <w:color w:val="000000"/>
          <w:sz w:val="13"/>
        </w:rPr>
        <w:t>st</w:t>
      </w:r>
      <w:r>
        <w:rPr>
          <w:rFonts w:ascii="Times New Roman" w:hAnsi="Times New Roman"/>
          <w:color w:val="000000"/>
          <w:sz w:val="20"/>
        </w:rPr>
        <w:t xml:space="preserve"> day prior to such maturity, whichever of (x) or (y) comes first.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Scheduled quarterly payment required for the first eight fiscal quarters commencing with the fiscal quarter ending December 31, 2024. The scheduled quarterly payment will increase to 1.250% as of December 31, 2026 and for each quarter thereafter until the maturity date of the Term A-9 Loans.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senior secured credit facility has a revolving credit facility available for borrowings by SS&amp;C with $600.0 million in available commitments (“Revolving Credit Facility”), of which $513.3 million was available as of March 31, 2026. The Revolving Credit Facility also contains a $75.0 million letter of credit sub-facility, of which $6.7 million was utilized as of March 31, 2026.</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2026, we were in compliance with all financial and non-financial covenants.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Fair Value of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amounts and fair values of debt are as follows (in millions):</w:t>
      </w:r>
    </w:p>
    <w:tbl>
      <w:tblPr>
        <w:tblW w:w="9437" w:type="dxa"/>
        <w:jc w:val="left"/>
        <w:tblInd w:w="0" w:type="dxa"/>
        <w:tblLayout w:type="fixed"/>
        <w:tblCellMar>
          <w:top w:w="28" w:type="dxa"/>
          <w:left w:w="28" w:type="dxa"/>
          <w:bottom w:w="28" w:type="dxa"/>
          <w:right w:w="28" w:type="dxa"/>
        </w:tblCellMar>
      </w:tblPr>
      <w:tblGrid>
        <w:gridCol w:w="4296"/>
        <w:gridCol w:w="146"/>
        <w:gridCol w:w="211"/>
        <w:gridCol w:w="721"/>
        <w:gridCol w:w="146"/>
        <w:gridCol w:w="146"/>
        <w:gridCol w:w="211"/>
        <w:gridCol w:w="721"/>
        <w:gridCol w:w="146"/>
        <w:gridCol w:w="146"/>
        <w:gridCol w:w="211"/>
        <w:gridCol w:w="721"/>
        <w:gridCol w:w="146"/>
        <w:gridCol w:w="146"/>
        <w:gridCol w:w="211"/>
        <w:gridCol w:w="721"/>
        <w:gridCol w:w="391"/>
      </w:tblGrid>
      <w:tr>
        <w:trPr/>
        <w:tc>
          <w:tcPr>
            <w:tcW w:w="4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Senior secured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5.5% senior notes due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6.5% senior notes due 2032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Senior secured credit facilities, revolving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above fair values, which are Level 2 liabilities, were computed based on comparable quoted market prices.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7—Stockholders’ Equity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Stock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2024, our Board of Directors authorized a stock repurchase program, which enabled us to repurchase up to $1 billion in the aggregate of our outstanding common stock on the open market or in privately negotiated transactions until the one-year anniversary of the Board’s authorization, unless earlier terminated by the Board. In May 2025, our Board of Directors authorized a stock repurchase program, which enables us to repurchase up to $1.5 billion in the aggregate of our outstanding common stock on the open market or in privately negotiated transactions until the one-year anniversary of the Board’s authorization, unless earlier terminated by the Board. During the three months ended March 31, 2026 and 2025, we repurchased 2.3 million and 2.4 million shares, respectively, of common stock for approximately $168.5 million and $206.9 million, respectively, which includes a 1% excise tax on share repurchases. We use the cost method to account for treasury stock purchases. Under the cost method, the price paid for the stock is charged to the treasury stock account.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paid quarterly cash dividends of $0.27 per share of common stock in March 2026 totaling $65.3 million. We paid quarterly cash dividends of $0.25 per share of common stock in March 2025 totaling $61.6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Accumulated</w:t>
      </w:r>
      <w:r>
        <w:rPr>
          <w:rFonts w:ascii="Times New Roman" w:hAnsi="Times New Roman"/>
          <w:color w:val="000000"/>
          <w:sz w:val="20"/>
        </w:rPr>
        <w:t xml:space="preserve"> </w:t>
      </w:r>
      <w:r>
        <w:rPr>
          <w:rFonts w:ascii="Times New Roman" w:hAnsi="Times New Roman"/>
          <w:i/>
          <w:color w:val="000000"/>
          <w:sz w:val="20"/>
        </w:rPr>
        <w:t>Other Comprehensive Loss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Accumulated other comprehensive loss balances, net of tax, consist of the following (in millions):</w:t>
      </w:r>
    </w:p>
    <w:tbl>
      <w:tblPr>
        <w:tblW w:w="10205" w:type="dxa"/>
        <w:jc w:val="left"/>
        <w:tblInd w:w="0" w:type="dxa"/>
        <w:tblLayout w:type="fixed"/>
        <w:tblCellMar>
          <w:top w:w="28" w:type="dxa"/>
          <w:left w:w="28" w:type="dxa"/>
          <w:bottom w:w="28" w:type="dxa"/>
          <w:right w:w="28" w:type="dxa"/>
        </w:tblCellMar>
      </w:tblPr>
      <w:tblGrid>
        <w:gridCol w:w="3476"/>
        <w:gridCol w:w="146"/>
        <w:gridCol w:w="439"/>
        <w:gridCol w:w="1315"/>
        <w:gridCol w:w="166"/>
        <w:gridCol w:w="146"/>
        <w:gridCol w:w="450"/>
        <w:gridCol w:w="1128"/>
        <w:gridCol w:w="166"/>
        <w:gridCol w:w="146"/>
        <w:gridCol w:w="578"/>
        <w:gridCol w:w="1735"/>
        <w:gridCol w:w="314"/>
      </w:tblGrid>
      <w:tr>
        <w:trPr/>
        <w:tc>
          <w:tcPr>
            <w:tcW w:w="3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Currency Translation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Defined Benefit Obligation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 Loss</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(294.2</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4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current period other comprehensive (loss) income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(365.9</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20"/>
        <w:jc w:val="left"/>
        <w:rPr>
          <w:rFonts w:ascii="Times New Roman" w:hAnsi="Times New Roman"/>
          <w:color w:val="000000"/>
          <w:sz w:val="20"/>
        </w:rPr>
      </w:pPr>
      <w:r>
        <w:rPr>
          <w:rFonts w:ascii="Times New Roman" w:hAnsi="Times New Roman"/>
          <w:color w:val="000000"/>
          <w:sz w:val="20"/>
        </w:rPr>
        <w:t>(1) Amounts are reported net of tax. Tax effects were immaterial.</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8—Variable Interest Entity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July 2021, we entered into an agreement whereby we obtained an 80.2% interest in DomaniRx, LLC (“DomaniRx”), a variable interest entity under GAAP. 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carrying value of the assets and liabilities associated with DomaniRx included in our unaudited condensed consolidated balance sheet at March 31, 2026 and December 31, 2025, which are limited for use in its operations and do not have recourse against our general credit or our senior secured credit facilities, are as follows: </w:t>
      </w:r>
    </w:p>
    <w:tbl>
      <w:tblPr>
        <w:tblW w:w="6084" w:type="dxa"/>
        <w:jc w:val="left"/>
        <w:tblInd w:w="0" w:type="dxa"/>
        <w:tblLayout w:type="fixed"/>
        <w:tblCellMar>
          <w:top w:w="28" w:type="dxa"/>
          <w:left w:w="28" w:type="dxa"/>
          <w:bottom w:w="28" w:type="dxa"/>
          <w:right w:w="28" w:type="dxa"/>
        </w:tblCellMar>
      </w:tblPr>
      <w:tblGrid>
        <w:gridCol w:w="3551"/>
        <w:gridCol w:w="146"/>
        <w:gridCol w:w="230"/>
        <w:gridCol w:w="625"/>
        <w:gridCol w:w="146"/>
        <w:gridCol w:w="294"/>
        <w:gridCol w:w="801"/>
        <w:gridCol w:w="291"/>
      </w:tblGrid>
      <w:tr>
        <w:trPr/>
        <w:tc>
          <w:tcPr>
            <w:tcW w:w="3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revenues primarily through our technology-enabled services. Our technology-enabled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term or perpetual licenses and by selling maintenance services. We classify license revenues related to sales-based royalty arrangements as term license revenue. Maintenance services are generally provided under annually renewable contracts. Our pricing typically scales as a function of our clients’ assets under management, the complexity of asset classes managed, the volume of transactions and the scope of service the client requires. Revenues from professional services consist mostly of services provided on a time and materials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Deferred revenues primarily represent unrecognized fees billed or collected for maintenance and professional services. Deferred revenues are recognized as (or when) we perform under the contract. Long-term deferred revenue of $41.6 million and $42.1 million, was included in other long-term liabilities as of March 31, 2026 and December 31, 2025, respectively, in our unaudited Condensed Consolidated Balance Sheets. Deferred revenues are recorded on a net basis with contract assets at the contract level. Accordingly, as of March 31, 2026 and December 31, 2025, approximately $67.2 million and $71.7 million, respectively, of deferred revenue is presented net within contract assets arising from the same contracts. The amount of revenues recognized in the period that was included in the opening deferred revenues balance was $233.4 million for the three months ended March 31,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March 31, 2026, revenue of approximately $969.7 million is expected to be recognized from remaining performance obligations for license, maintenance and related revenues, of which $465.2 million is expected to be recognized over the next twelve months and the remainder is expected to be recognized over a weighted average period of approximately two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 revenue net of any taxes assessed by governmental authorities.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 Disaggregation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disaggregates our revenues by geography (in millions):</w:t>
      </w:r>
    </w:p>
    <w:tbl>
      <w:tblPr>
        <w:tblW w:w="5504" w:type="dxa"/>
        <w:jc w:val="left"/>
        <w:tblInd w:w="0" w:type="dxa"/>
        <w:tblLayout w:type="fixed"/>
        <w:tblCellMar>
          <w:top w:w="28" w:type="dxa"/>
          <w:left w:w="28" w:type="dxa"/>
          <w:bottom w:w="28" w:type="dxa"/>
          <w:right w:w="28" w:type="dxa"/>
        </w:tblCellMar>
      </w:tblPr>
      <w:tblGrid>
        <w:gridCol w:w="2671"/>
        <w:gridCol w:w="146"/>
        <w:gridCol w:w="234"/>
        <w:gridCol w:w="802"/>
        <w:gridCol w:w="162"/>
        <w:gridCol w:w="162"/>
        <w:gridCol w:w="234"/>
        <w:gridCol w:w="802"/>
        <w:gridCol w:w="2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1,179.6</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Middle East and Africa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Asia-Pacific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1,647.1</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1,513.9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Revenue recognized from customers in the United States was $1,066.0 million and $1,036.5 million for the three months ended March 31, 2026 and 2025, respectively.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disaggregates our revenues by source (in millions):</w:t>
      </w:r>
    </w:p>
    <w:tbl>
      <w:tblPr>
        <w:tblW w:w="5459" w:type="dxa"/>
        <w:jc w:val="left"/>
        <w:tblInd w:w="0" w:type="dxa"/>
        <w:tblLayout w:type="fixed"/>
        <w:tblCellMar>
          <w:top w:w="28" w:type="dxa"/>
          <w:left w:w="28" w:type="dxa"/>
          <w:bottom w:w="28" w:type="dxa"/>
          <w:right w:w="28" w:type="dxa"/>
        </w:tblCellMar>
      </w:tblPr>
      <w:tblGrid>
        <w:gridCol w:w="2626"/>
        <w:gridCol w:w="146"/>
        <w:gridCol w:w="234"/>
        <w:gridCol w:w="802"/>
        <w:gridCol w:w="162"/>
        <w:gridCol w:w="162"/>
        <w:gridCol w:w="234"/>
        <w:gridCol w:w="802"/>
        <w:gridCol w:w="2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 and term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Perpetual licenses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1,647.1</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10—Stock-based Compensation</w:t>
      </w:r>
    </w:p>
    <w:p>
      <w:pPr>
        <w:pStyle w:val="TextBody"/>
        <w:bidi w:val="0"/>
        <w:spacing w:before="120" w:after="283"/>
        <w:jc w:val="left"/>
        <w:rPr>
          <w:rFonts w:ascii="Times New Roman" w:hAnsi="Times New Roman"/>
          <w:sz w:val="20"/>
        </w:rPr>
      </w:pPr>
      <w:r>
        <w:rPr>
          <w:rFonts w:ascii="Times New Roman" w:hAnsi="Times New Roman"/>
          <w:color w:val="000000"/>
          <w:sz w:val="20"/>
        </w:rPr>
        <w:t>S</w:t>
      </w:r>
      <w:r>
        <w:rPr>
          <w:rFonts w:ascii="Times New Roman" w:hAnsi="Times New Roman"/>
          <w:i/>
          <w:color w:val="000000"/>
          <w:sz w:val="20"/>
        </w:rPr>
        <w:t>tock options, PSUs and RSUs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amount of stock-based compensation expense recognized in our unaudited Condensed Consolidated Statements of Comprehensive Income for the three months ended March 31, 2026 and 2025 was as follows (in millions):</w:t>
      </w:r>
    </w:p>
    <w:tbl>
      <w:tblPr>
        <w:tblW w:w="8706" w:type="dxa"/>
        <w:jc w:val="left"/>
        <w:tblInd w:w="0" w:type="dxa"/>
        <w:tblLayout w:type="fixed"/>
        <w:tblCellMar>
          <w:top w:w="28" w:type="dxa"/>
          <w:left w:w="28" w:type="dxa"/>
          <w:bottom w:w="28" w:type="dxa"/>
          <w:right w:w="28" w:type="dxa"/>
        </w:tblCellMar>
      </w:tblPr>
      <w:tblGrid>
        <w:gridCol w:w="5671"/>
        <w:gridCol w:w="146"/>
        <w:gridCol w:w="308"/>
        <w:gridCol w:w="662"/>
        <w:gridCol w:w="229"/>
        <w:gridCol w:w="229"/>
        <w:gridCol w:w="308"/>
        <w:gridCol w:w="662"/>
        <w:gridCol w:w="49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Condensed Consolidated Statements of Comprehensive Income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license, maintenance and other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22.4</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39.3</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33.1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61.7</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12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following table summarizes stock options, performance stock units (“PSUs”) and restricted stock units (“RSUs”) activity, for the three months ended March 31, 2026 (shares in millions):</w:t>
      </w:r>
    </w:p>
    <w:tbl>
      <w:tblPr>
        <w:tblW w:w="6301" w:type="dxa"/>
        <w:jc w:val="left"/>
        <w:tblInd w:w="0" w:type="dxa"/>
        <w:tblLayout w:type="fixed"/>
        <w:tblCellMar>
          <w:top w:w="28" w:type="dxa"/>
          <w:left w:w="28" w:type="dxa"/>
          <w:bottom w:w="28" w:type="dxa"/>
          <w:right w:w="28" w:type="dxa"/>
        </w:tblCellMar>
      </w:tblPr>
      <w:tblGrid>
        <w:gridCol w:w="3031"/>
        <w:gridCol w:w="146"/>
        <w:gridCol w:w="268"/>
        <w:gridCol w:w="857"/>
        <w:gridCol w:w="166"/>
        <w:gridCol w:w="146"/>
        <w:gridCol w:w="316"/>
        <w:gridCol w:w="914"/>
        <w:gridCol w:w="166"/>
        <w:gridCol w:w="29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 and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Outstanding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11—Income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was 25.3% and 18.4% for the three months ended March 31, 2026 and 2025, respectively. The change in the effective tax rate for the three months ended March 31, 2026 compared to the prior year was primarily due to a decrease in recognition of windfall tax benefits from stock awards in the current year and a proportionate change in the composition of income before income taxes from foreign and domestic tax jurisdictions.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4, 2025, the One Big Beautiful Bill Act was enacted in the United States. Certain provisions of the legislation became effective in 2025 while others became effective in 2026. The legislation did not have a material impact on our provision for income taxes in the year ended December 31, 2025 or the three months ended March 31, 2026.</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In 2021, the OECD (“Organisation for Economic Co-operation and Development”)/G20 Inclusive Framework on Base Erosion and Profit Shifting released Model Global Anti-Base Erosion rules under Pillar Two. Further guidance continues to be released each year. Many non-U.S. tax jurisdictions in which we operate have either recently enacted legislation or are in the process of enacting legislation to adopt certain components of the Pillar Two Model Rules. The enactments effective in 2025 and 2026 were not material to our provision for income taxes.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12—Earnings per Share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basic and diluted EPS (in millions, except per share amounts):</w:t>
      </w:r>
    </w:p>
    <w:tbl>
      <w:tblPr>
        <w:tblW w:w="10205" w:type="dxa"/>
        <w:jc w:val="left"/>
        <w:tblInd w:w="0" w:type="dxa"/>
        <w:tblLayout w:type="fixed"/>
        <w:tblCellMar>
          <w:top w:w="28" w:type="dxa"/>
          <w:left w:w="28" w:type="dxa"/>
          <w:bottom w:w="28" w:type="dxa"/>
          <w:right w:w="28" w:type="dxa"/>
        </w:tblCellMar>
      </w:tblPr>
      <w:tblGrid>
        <w:gridCol w:w="7585"/>
        <w:gridCol w:w="146"/>
        <w:gridCol w:w="259"/>
        <w:gridCol w:w="702"/>
        <w:gridCol w:w="179"/>
        <w:gridCol w:w="179"/>
        <w:gridCol w:w="259"/>
        <w:gridCol w:w="702"/>
        <w:gridCol w:w="194"/>
      </w:tblGrid>
      <w:tr>
        <w:trPr/>
        <w:tc>
          <w:tcPr>
            <w:tcW w:w="7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5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attributable to SS&amp;C: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used in calculation of basic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stock equivalents – stock options and restricted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Weighted-average common and common equivalent shares outstanding – used in calculation of diluted EPS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247.6</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254.9</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5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SS&amp;C common stockholders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per share attributable to SS&amp;C common stockholders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120"/>
        <w:jc w:val="left"/>
        <w:rPr>
          <w:rFonts w:ascii="Times New Roman" w:hAnsi="Times New Roman"/>
          <w:color w:val="000000"/>
          <w:sz w:val="20"/>
        </w:rPr>
      </w:pPr>
      <w:r>
        <w:rPr>
          <w:rFonts w:ascii="Times New Roman" w:hAnsi="Times New Roman"/>
          <w:color w:val="000000"/>
          <w:sz w:val="20"/>
        </w:rPr>
        <w:t xml:space="preserve">Weighted-average stock options, RSUs and PSUs representing 7.9 million and 5.4 million shares were outstanding for the three months ended March 31, 2026 and 2025, respectively, but were not included in the computation of diluted EPS because the effect of including them would be anti-dilutive. </w:t>
      </w:r>
    </w:p>
    <w:p>
      <w:pPr>
        <w:pStyle w:val="TextBody"/>
        <w:bidi w:val="0"/>
        <w:jc w:val="left"/>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Note 13—Commitments and Contingencies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From time to time, we are subject to legal proceedings and claims. In our opinion, we are not involved in any litigation or proceedings that would have a material adverse effect on us or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Management’s Discussion and Analysis of Financial Condition and Results of Operations, or MD&amp;A, is intended to provide readers of our Condensed Consolidated Financial Statements with the perspectives of management. It presents, in narrative form, information regarding our financial condition, results of operations, liquidity and certain other factors that may affect our future results. It should be read in conjunction with our Annual Report on Form 10-K for the year ended December 31, 2025, filed with the Securities and Exchange Commission (the “SEC”) on February 26, 2026 (the “2025 Form 10-K”) and the Condensed Consolidated Financial Statements included in this Form 10-Q. Within the condensed consolidated financial statements, the line items named technology-enabled services were previously named software-enabled services.</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the term organic to refer to the businesses and operations that are included in the comparable prior year period on a constant currency basis. Organic includes the change in an acquired business, but excludes the impact of any business which we acquired for the time period which would impact the comparable prior year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Ongoing macroeconomic conditions, such as changes in interest rates and inflation, volatility in capital markets, global trade issues, geopolitical tensions, foreign currency exchange rate fluctuations, and other similar factors, could have impacts on our results that are uncertain and, in many respects, outside our control. The situations remain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number of our accounting policies require the application of significant judgment by our management, and such judgments are reflected in the amounts reported in our Condensed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Actual results may differ significantly from the estimates contained in our Condensed Consolidated Financial Statements. There have been no material changes to our critical accounting estimates and assumptions or the judgments affecting the application of those estimates and assumptions since the filing of our 2025 Form 10-K. Our critical accounting policies are described in the 2025 Form 10-K and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Acquisition Accounting, Intangible Assets and Goodwill</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Software Capitalization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Revenue Recognition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Stock-based Compensation</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Income Taxes</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results of operations below include the results of our recent acquisitions from the date of acquisition. FPS Trust Company was acquired in February 2025, Calastone Limited in October 2025 and Curo Fund Services in November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derive our revenues from two sources: technology-enabled services revenues and license, maintenance and related revenues. As a general matter, fluctuations in our technology-enabled services revenues are attributable to our customer retention, the number of new technology-enabled services clients as well as total assets under management in our clients’ portfolios and the number of outsourced transactions managed for our existing clients. Technology-enabled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 provides the percentage of total revenue derived by the two sources of revenue:</w:t>
      </w:r>
    </w:p>
    <w:tbl>
      <w:tblPr>
        <w:tblW w:w="5881" w:type="dxa"/>
        <w:jc w:val="left"/>
        <w:tblInd w:w="0" w:type="dxa"/>
        <w:tblLayout w:type="fixed"/>
        <w:tblCellMar>
          <w:top w:w="28" w:type="dxa"/>
          <w:left w:w="28" w:type="dxa"/>
          <w:bottom w:w="28" w:type="dxa"/>
          <w:right w:w="28" w:type="dxa"/>
        </w:tblCellMar>
      </w:tblPr>
      <w:tblGrid>
        <w:gridCol w:w="2821"/>
        <w:gridCol w:w="146"/>
        <w:gridCol w:w="189"/>
        <w:gridCol w:w="740"/>
        <w:gridCol w:w="351"/>
        <w:gridCol w:w="189"/>
        <w:gridCol w:w="189"/>
        <w:gridCol w:w="740"/>
        <w:gridCol w:w="51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83.9</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following table sets forth revenues (dollars in millions) and percent change in revenues for the periods indicated:</w:t>
      </w:r>
    </w:p>
    <w:tbl>
      <w:tblPr>
        <w:tblW w:w="7296" w:type="dxa"/>
        <w:jc w:val="left"/>
        <w:tblInd w:w="0" w:type="dxa"/>
        <w:tblLayout w:type="fixed"/>
        <w:tblCellMar>
          <w:top w:w="28" w:type="dxa"/>
          <w:left w:w="28" w:type="dxa"/>
          <w:bottom w:w="28" w:type="dxa"/>
          <w:right w:w="28" w:type="dxa"/>
        </w:tblCellMar>
      </w:tblPr>
      <w:tblGrid>
        <w:gridCol w:w="2821"/>
        <w:gridCol w:w="146"/>
        <w:gridCol w:w="234"/>
        <w:gridCol w:w="802"/>
        <w:gridCol w:w="162"/>
        <w:gridCol w:w="162"/>
        <w:gridCol w:w="234"/>
        <w:gridCol w:w="802"/>
        <w:gridCol w:w="146"/>
        <w:gridCol w:w="146"/>
        <w:gridCol w:w="253"/>
        <w:gridCol w:w="812"/>
        <w:gridCol w:w="576"/>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1,407.3</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1,647.1</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sz w:val="20"/>
        </w:rPr>
      </w:pPr>
      <w:r>
        <w:rPr>
          <w:rFonts w:ascii="Times New Roman" w:hAnsi="Times New Roman"/>
          <w:i/>
          <w:color w:val="000000"/>
          <w:sz w:val="20"/>
        </w:rPr>
        <w:t>Three Months Ended March 31, 2026 and 2025</w:t>
      </w:r>
      <w:r>
        <w:rPr>
          <w:rFonts w:ascii="Times New Roman" w:hAnsi="Times New Roman"/>
          <w:color w:val="000000"/>
          <w:sz w:val="20"/>
        </w:rPr>
        <w:t xml:space="preserve">. Our revenues increased $133.2 million, or 8.8%, primarily due to an increase of $75.9 million in organic revenue growth driven by strength in the SS&amp;C GlobeOp fund administration and Global Investor and Distribution Solutions businesses. Our revenues also increased due to acquisitions, which contributed $34.9 million, and the favorable impact from foreign currency translation of $22.4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Technology-enabled services revenues increased $137.4 million, or 10.8%, primarily due to an increase in organic revenues of $86.2 million as well as acquisitions, which added $34.9 million in revenues, and the favorable impact from foreign currency translation of $16.3 million. License, maintenance and related revenues decreased $4.2 million, or 1.7%, due to a decrease in organic revenues of $10.3 million, partially offset by the favorable impact from foreign currency translation of $6.1 million. </w:t>
      </w:r>
    </w:p>
    <w:p>
      <w:pPr>
        <w:pStyle w:val="TextBody"/>
        <w:bidi w:val="0"/>
        <w:spacing w:before="40" w:after="283"/>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Cost of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technology-enabled services revenues consists primarily of costs related to personnel who deliver our technology-enabled services and amortization of certain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tables set forth each of the following cost of revenues as a percentage of their respective revenue source for the periods indicated:</w:t>
      </w:r>
    </w:p>
    <w:tbl>
      <w:tblPr>
        <w:tblW w:w="6450" w:type="dxa"/>
        <w:jc w:val="left"/>
        <w:tblInd w:w="0" w:type="dxa"/>
        <w:tblLayout w:type="fixed"/>
        <w:tblCellMar>
          <w:top w:w="28" w:type="dxa"/>
          <w:left w:w="28" w:type="dxa"/>
          <w:bottom w:w="28" w:type="dxa"/>
          <w:right w:w="28" w:type="dxa"/>
        </w:tblCellMar>
      </w:tblPr>
      <w:tblGrid>
        <w:gridCol w:w="3391"/>
        <w:gridCol w:w="146"/>
        <w:gridCol w:w="213"/>
        <w:gridCol w:w="681"/>
        <w:gridCol w:w="396"/>
        <w:gridCol w:w="213"/>
        <w:gridCol w:w="213"/>
        <w:gridCol w:w="681"/>
        <w:gridCol w:w="51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120"/>
        <w:jc w:val="left"/>
        <w:rPr>
          <w:rFonts w:ascii="Times New Roman" w:hAnsi="Times New Roman"/>
          <w:color w:val="000000"/>
          <w:sz w:val="20"/>
        </w:rPr>
      </w:pPr>
      <w:r>
        <w:rPr>
          <w:rFonts w:ascii="Times New Roman" w:hAnsi="Times New Roman"/>
          <w:color w:val="000000"/>
          <w:sz w:val="20"/>
        </w:rPr>
        <w:t>The following table sets forth cost of revenues (dollars in millions) and percent change in cost of revenues for the periods indicated:</w:t>
      </w:r>
    </w:p>
    <w:tbl>
      <w:tblPr>
        <w:tblW w:w="7806" w:type="dxa"/>
        <w:jc w:val="left"/>
        <w:tblInd w:w="0" w:type="dxa"/>
        <w:tblLayout w:type="fixed"/>
        <w:tblCellMar>
          <w:top w:w="28" w:type="dxa"/>
          <w:left w:w="28" w:type="dxa"/>
          <w:bottom w:w="28" w:type="dxa"/>
          <w:right w:w="28" w:type="dxa"/>
        </w:tblCellMar>
      </w:tblPr>
      <w:tblGrid>
        <w:gridCol w:w="3391"/>
        <w:gridCol w:w="146"/>
        <w:gridCol w:w="272"/>
        <w:gridCol w:w="738"/>
        <w:gridCol w:w="188"/>
        <w:gridCol w:w="188"/>
        <w:gridCol w:w="272"/>
        <w:gridCol w:w="738"/>
        <w:gridCol w:w="146"/>
        <w:gridCol w:w="146"/>
        <w:gridCol w:w="253"/>
        <w:gridCol w:w="812"/>
        <w:gridCol w:w="51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technology-enabled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740.5</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license, maintenance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845.3</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i/>
          <w:color w:val="000000"/>
          <w:sz w:val="20"/>
        </w:rPr>
        <w:t>Three Months Ended March 31, 2026 and 2025</w:t>
      </w:r>
      <w:r>
        <w:rPr>
          <w:rFonts w:ascii="Times New Roman" w:hAnsi="Times New Roman"/>
          <w:color w:val="000000"/>
          <w:sz w:val="20"/>
        </w:rPr>
        <w:t xml:space="preserve">. Our total cost of revenues increased by $78.5 million, or 10.2%, primarily due to an increase of $42.8 million in organic costs as well as acquisitions, which added $19.8 million in costs, and the unfavorable impact from foreign currency translation, which increased costs by $15.9 million. Our organic cost increase reflects continued investment in delivering client service.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technology-enabled services revenues increased $73.2 million, or 11.0%, due to an increase of $40.1 million in organic costs, acquisitions, which added $19.8 million in costs, and the unfavorable impact from foreign currency translation of $13.3 million. Cost of license, maintenance and related revenues increased $5.3 million, or 5.3%, due to an increase of $2.7 million in organic costs and the unfavorable impact from foreign currency translation of $2.6 million.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and marketing expenses consist primarily of the personnel costs associated with the selling and marketing of our products, including, but not limited to, salaries, commissions and travel and entertainment. Selling and marketing expenses also include amortization of certain intangible assets,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information management, human resources and administration and associated overhead costs, as well as fees for professional services. </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The following table sets forth the percentage of our total revenues represented by each of the following operating expenses for the periods indicated:</w:t>
      </w:r>
    </w:p>
    <w:tbl>
      <w:tblPr>
        <w:tblW w:w="5420" w:type="dxa"/>
        <w:jc w:val="left"/>
        <w:tblInd w:w="0" w:type="dxa"/>
        <w:tblLayout w:type="fixed"/>
        <w:tblCellMar>
          <w:top w:w="28" w:type="dxa"/>
          <w:left w:w="28" w:type="dxa"/>
          <w:bottom w:w="28" w:type="dxa"/>
          <w:right w:w="28" w:type="dxa"/>
        </w:tblCellMar>
      </w:tblPr>
      <w:tblGrid>
        <w:gridCol w:w="2361"/>
        <w:gridCol w:w="146"/>
        <w:gridCol w:w="213"/>
        <w:gridCol w:w="681"/>
        <w:gridCol w:w="396"/>
        <w:gridCol w:w="213"/>
        <w:gridCol w:w="213"/>
        <w:gridCol w:w="681"/>
        <w:gridCol w:w="516"/>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222222"/>
          <w:sz w:val="20"/>
        </w:rPr>
      </w:pPr>
      <w:r>
        <w:rPr>
          <w:rFonts w:ascii="Times New Roman" w:hAnsi="Times New Roman"/>
          <w:color w:val="222222"/>
          <w:sz w:val="20"/>
        </w:rPr>
        <w:t>The following table sets forth operating expenses (dollars in millions) and percent change in operating expenses for the periods indicated:</w:t>
      </w:r>
    </w:p>
    <w:tbl>
      <w:tblPr>
        <w:tblW w:w="6776" w:type="dxa"/>
        <w:jc w:val="left"/>
        <w:tblInd w:w="0" w:type="dxa"/>
        <w:tblLayout w:type="fixed"/>
        <w:tblCellMar>
          <w:top w:w="28" w:type="dxa"/>
          <w:left w:w="28" w:type="dxa"/>
          <w:bottom w:w="28" w:type="dxa"/>
          <w:right w:w="28" w:type="dxa"/>
        </w:tblCellMar>
      </w:tblPr>
      <w:tblGrid>
        <w:gridCol w:w="2361"/>
        <w:gridCol w:w="146"/>
        <w:gridCol w:w="272"/>
        <w:gridCol w:w="738"/>
        <w:gridCol w:w="188"/>
        <w:gridCol w:w="188"/>
        <w:gridCol w:w="272"/>
        <w:gridCol w:w="738"/>
        <w:gridCol w:w="146"/>
        <w:gridCol w:w="146"/>
        <w:gridCol w:w="274"/>
        <w:gridCol w:w="791"/>
        <w:gridCol w:w="516"/>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br/>
              <w:t>Change from</w:t>
              <w:br/>
              <w:t>Prior</w:t>
              <w:br/>
              <w:t>Period</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403.6</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Three Months Ended March 31, 2026 and 2025</w:t>
      </w:r>
      <w:r>
        <w:rPr>
          <w:rFonts w:ascii="Times New Roman" w:hAnsi="Times New Roman"/>
          <w:color w:val="000000"/>
          <w:sz w:val="20"/>
        </w:rPr>
        <w:t>. Operating expenses increased $14.4 million, or 3.7%, due to acquisitions, which added $15.6 million in expenses and the unfavorable impact from foreign currency translation of $9.1 million. These increases were partially offset by a decrease of $10.3 million in organic operating expenses. Total operating expenses, excluding the impact of acquisitions and foreign currency translation, primarily decreased due to lower personnel costs.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Comparison of the Three Months Ended March 31, 2026 and 2025 for Interest, Taxes and Other</w:t>
      </w:r>
    </w:p>
    <w:p>
      <w:pPr>
        <w:pStyle w:val="TextBody"/>
        <w:bidi w:val="0"/>
        <w:spacing w:before="200" w:after="283"/>
        <w:jc w:val="left"/>
        <w:rPr>
          <w:rFonts w:ascii="Times New Roman" w:hAnsi="Times New Roman"/>
          <w:sz w:val="20"/>
        </w:rPr>
      </w:pPr>
      <w:r>
        <w:rPr>
          <w:rFonts w:ascii="Times New Roman" w:hAnsi="Times New Roman"/>
          <w:i/>
          <w:color w:val="000000"/>
          <w:sz w:val="20"/>
        </w:rPr>
        <w:t>Interest expense, net</w:t>
      </w:r>
      <w:r>
        <w:rPr>
          <w:rFonts w:ascii="Times New Roman" w:hAnsi="Times New Roman"/>
          <w:color w:val="000000"/>
          <w:sz w:val="20"/>
        </w:rPr>
        <w:t xml:space="preserve">. Net interest expense totaled $105.4 million and $105.2 million for the three months ended March 31, 2026 and 2025, respectively. We had an average interest rate of 5.69% and 6.09% for the three months ended March 31, 2026 and 2025, respectively. </w:t>
      </w:r>
    </w:p>
    <w:p>
      <w:pPr>
        <w:pStyle w:val="TextBody"/>
        <w:bidi w:val="0"/>
        <w:spacing w:before="20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Other income, net was $6.8 million and $7.2 million for the three months ended March 31, 2026 and 2025, respectively. For the three months ended March 31, 2026, other income, net consisted primarily of dividend income of $9.4 million, partially offset by foreign currency translation losses of $1.4 million. For the three months ended March 31, 2025, other income, net consisted primarily of dividend income of $11.2 million, partially offset by foreign currency translation losses of $2.2 million and investment losses due to mark-to-market adjustments of $1.8 million. </w:t>
      </w:r>
    </w:p>
    <w:p>
      <w:pPr>
        <w:pStyle w:val="TextBody"/>
        <w:bidi w:val="0"/>
        <w:spacing w:before="200" w:after="283"/>
        <w:jc w:val="left"/>
        <w:rPr>
          <w:rFonts w:ascii="Times New Roman" w:hAnsi="Times New Roman"/>
          <w:sz w:val="20"/>
        </w:rPr>
      </w:pPr>
      <w:r>
        <w:rPr>
          <w:rFonts w:ascii="Times New Roman" w:hAnsi="Times New Roman"/>
          <w:i/>
          <w:color w:val="000000"/>
          <w:sz w:val="20"/>
        </w:rPr>
        <w:t>Equity in earnings of unconsolidated affiliates, net.</w:t>
      </w:r>
      <w:r>
        <w:rPr>
          <w:rFonts w:ascii="Times New Roman" w:hAnsi="Times New Roman"/>
          <w:color w:val="000000"/>
          <w:sz w:val="20"/>
        </w:rPr>
        <w:t xml:space="preserve"> Equity in earnings of unconsolidated affiliates, net totaled $3.9 million and $2.3 million for the three months ended March 31, 2026 and 2025, respectively.</w:t>
      </w:r>
    </w:p>
    <w:p>
      <w:pPr>
        <w:pStyle w:val="TextBody"/>
        <w:bidi w:val="0"/>
        <w:spacing w:before="200" w:after="283"/>
        <w:jc w:val="left"/>
        <w:rPr>
          <w:rFonts w:ascii="Times New Roman" w:hAnsi="Times New Roman"/>
          <w:sz w:val="20"/>
        </w:rPr>
      </w:pPr>
      <w:r>
        <w:rPr>
          <w:rFonts w:ascii="Times New Roman" w:hAnsi="Times New Roman"/>
          <w:i/>
          <w:color w:val="000000"/>
          <w:sz w:val="20"/>
        </w:rPr>
        <w:t>Provision for income taxes</w:t>
      </w:r>
      <w:r>
        <w:rPr>
          <w:rFonts w:ascii="Times New Roman" w:hAnsi="Times New Roman"/>
          <w:color w:val="000000"/>
          <w:sz w:val="20"/>
        </w:rPr>
        <w:t>. The following table sets forth the provision for income taxes (dollars in millions) and effective tax rates for the periods indicated:</w:t>
      </w:r>
    </w:p>
    <w:tbl>
      <w:tblPr>
        <w:tblW w:w="5141" w:type="dxa"/>
        <w:jc w:val="left"/>
        <w:tblInd w:w="0" w:type="dxa"/>
        <w:tblLayout w:type="fixed"/>
        <w:tblCellMar>
          <w:top w:w="28" w:type="dxa"/>
          <w:left w:w="28" w:type="dxa"/>
          <w:bottom w:w="28" w:type="dxa"/>
          <w:right w:w="28" w:type="dxa"/>
        </w:tblCellMar>
      </w:tblPr>
      <w:tblGrid>
        <w:gridCol w:w="2281"/>
        <w:gridCol w:w="146"/>
        <w:gridCol w:w="286"/>
        <w:gridCol w:w="631"/>
        <w:gridCol w:w="367"/>
        <w:gridCol w:w="197"/>
        <w:gridCol w:w="286"/>
        <w:gridCol w:w="631"/>
        <w:gridCol w:w="316"/>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effective tax rate for the three months ended March 31, 2026 differs from the statutory rate of 21.0% primarily due to the composition of income before income taxes from foreign and domestic tax jurisdictions, foreign income that is being taxed in the U.S. offset by foreign tax credits that are being limited and the recognition of windfall tax benefits from stock awards. The change in the effective tax rate for the three months ended March 31, 2026 compared to the prior year was primarily related to a decrease in recognition of windfall tax benefits from stock awards in the current year and a proportionate change in the composition of income before income taxes from foreign and domestic tax jurisdictions. While we have income from multiple foreign sources, the majority of our non-U.S. operations are in the United Kingdom and India. We anticipate the statutory tax rates in 2026 to be 25.0% in the United Kingdom and approximately 25.5% in India. A future change in the composition of income before income taxes from foreign and domestic tax jurisdictions could impact our periodic effective tax rate.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July 4, 2025, the One Big Beautiful Bill Act was enacted in the United States. Certain provisions of the legislation became effective in 2025 while others became effective in 2026. The legislation did not have a material impact on our provision for income taxes in the year ended December 31, 2025 or the three months ended March 31,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2021, the OECD (“Organisation for Economic Co-operation and Development”)/G20 Inclusive Framework on Base Erosion and Profit Shifting released Model Global Anti-Base Erosion rules under Pillar Two. Further guidance continues to be released each year. Many non-U.S. tax jurisdictions in which we operate have either recently enacted legislation or are in the process of enacting legislation to adopt certain components of the Pillar Two Model Rules. The enactments effective in 2025 and 2026 were not material to our provision for income taxes.</w:t>
      </w:r>
    </w:p>
    <w:p>
      <w:pPr>
        <w:pStyle w:val="TextBody"/>
        <w:bidi w:val="0"/>
        <w:spacing w:before="200" w:after="283"/>
        <w:jc w:val="left"/>
        <w:rPr/>
      </w:pPr>
      <w:r>
        <w:rPr/>
        <w:t> </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cash requirements are for delivering value to our clients, investing in research and development, pursuing new sales opportunities, making payments with respect to our indebtedness, acquiring complementary businesses or assets, repurchasing shares of our common stock and paying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paid quarterly cash dividends of $0.27 per share of common stock in March 2026 totaling $65.3 million. We paid quarterly cash dividends of $0.25 per share of common stock in March 2025 totaling $61.6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Client funds obligations include our transfer agency client balances invested overnight, claims administration funds due to our customers, as well as our contractual obligations to remit funds to satisfy client pharmacy claim obligations and are recorded on the unaudited Condensed Consolidated Balance Sheets when incurred, generally after a claim has been processed by us. Our contractual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obligations to remit funds to satisfy client obligations are primarily sourced by funds held on behalf of clients. We had $3,617.5 million of client funds obligations at March 31,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Cash flows from operating, investing and financing activities, as reflected in our Condensed Consolidated Statements of Cash Flows, are summarized in the following table (in millions):</w:t>
      </w:r>
    </w:p>
    <w:tbl>
      <w:tblPr>
        <w:tblW w:w="10205" w:type="dxa"/>
        <w:jc w:val="left"/>
        <w:tblInd w:w="0" w:type="dxa"/>
        <w:tblLayout w:type="fixed"/>
        <w:tblCellMar>
          <w:top w:w="28" w:type="dxa"/>
          <w:left w:w="28" w:type="dxa"/>
          <w:bottom w:w="28" w:type="dxa"/>
          <w:right w:w="28" w:type="dxa"/>
        </w:tblCellMar>
      </w:tblPr>
      <w:tblGrid>
        <w:gridCol w:w="5255"/>
        <w:gridCol w:w="146"/>
        <w:gridCol w:w="229"/>
        <w:gridCol w:w="669"/>
        <w:gridCol w:w="194"/>
        <w:gridCol w:w="170"/>
        <w:gridCol w:w="229"/>
        <w:gridCol w:w="757"/>
        <w:gridCol w:w="166"/>
        <w:gridCol w:w="146"/>
        <w:gridCol w:w="353"/>
        <w:gridCol w:w="1275"/>
        <w:gridCol w:w="616"/>
      </w:tblGrid>
      <w:tr>
        <w:trPr/>
        <w:tc>
          <w:tcPr>
            <w:tcW w:w="5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5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cash equivalents and restricted cash and cash equivalents provided by (used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From Prior Year</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52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25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5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(1,676.4</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5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cash equivalents and restricted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(513.3</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(1,661.4</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$299.7 million for the three months ended March 31, 2026. Cash provided by operating activities primarily resulted from net income of $226.3 million adjusted for non-cash items of $257.7 million, partially offset by changes in our working capital accounts totaling $184.3 million. The changes in our working capital accounts were mainly driven by a decrease in accrued expenses and increases in accounts receivable and prepaid expenses as well as changes in income taxes prepaid and payable due to the timing of tax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Investing activities used net cash of $65.5 million for the three months ended March 31, 2026, primarily related to $62.0 million in capitalized software development costs, $7.6 million investment in securities, and $6.0 million in capital expenditures, partially offset by proceeds from the sales / maturities of investments of $7.6 million and the collection of other non-current receivables of $2.7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Financing activities used net cash of $741.1 million for the three months ended March 31, 2026, primarily related to a net decrease in client funds obligations of $470.2 million, $168.0 million of purchases of common stock for treasury, $65.3 million in quarterly dividends paid, and $54.9 million in withholding taxes paid related to equity award net share settlements, partially offset by proceeds of $22.3 million from stock option exercises.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have made a permanent reinvestment determination in certain non-U.S. operations that have historically generated positive operating cash flows. At March 31, 2026, we held approximately $231.0 million in cash and cash equivalents at non-U.S. subsidiaries where we had made such a determination and in turn no provision for income taxes had been made.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Senior Secured Credit Facilities and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provides a summary of the key terms of our Senior Secured Credit Facilities and Senior Notes:</w:t>
      </w:r>
    </w:p>
    <w:tbl>
      <w:tblPr>
        <w:tblW w:w="8717" w:type="dxa"/>
        <w:jc w:val="left"/>
        <w:tblInd w:w="0" w:type="dxa"/>
        <w:tblLayout w:type="fixed"/>
        <w:tblCellMar>
          <w:top w:w="28" w:type="dxa"/>
          <w:left w:w="28" w:type="dxa"/>
          <w:bottom w:w="28" w:type="dxa"/>
          <w:right w:w="28" w:type="dxa"/>
        </w:tblCellMar>
      </w:tblPr>
      <w:tblGrid>
        <w:gridCol w:w="2806"/>
        <w:gridCol w:w="146"/>
        <w:gridCol w:w="379"/>
        <w:gridCol w:w="1301"/>
        <w:gridCol w:w="146"/>
        <w:gridCol w:w="146"/>
        <w:gridCol w:w="1996"/>
        <w:gridCol w:w="146"/>
        <w:gridCol w:w="165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Outstanding </w:t>
              <w:br/>
              <w:t>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Scheduled Quarterly</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Payments Required</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Senior Secured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B-8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9,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(1)</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A-9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27, 2029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0.625% (3)</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 28,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5.5%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 30,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6.5% 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 2032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 the September 2024 Incremental Joinder, scheduled quarterly payments of 0.25% are required. We have made all required scheduled payments on our Term B-8 Loans and do not have any principal payments due until maturity.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The Term A-9 Loans will mature on the earlier to occur of (1) September 27, 2029 or (2) 91 days prior to the maturity of (x) the 5.5% Senior Notes if more than $150.0 million aggregate principal amount remains outstanding on the 91</w:t>
      </w:r>
      <w:r>
        <w:rPr>
          <w:rFonts w:ascii="Times New Roman" w:hAnsi="Times New Roman"/>
          <w:color w:val="000000"/>
          <w:sz w:val="13"/>
        </w:rPr>
        <w:t>st</w:t>
      </w:r>
      <w:r>
        <w:rPr>
          <w:color w:val="000000"/>
        </w:rPr>
        <w:t xml:space="preserve"> </w:t>
      </w:r>
      <w:r>
        <w:rPr>
          <w:rFonts w:ascii="Times New Roman" w:hAnsi="Times New Roman"/>
          <w:color w:val="000000"/>
          <w:sz w:val="20"/>
        </w:rPr>
        <w:t xml:space="preserve">day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prior to such maturity or (y) the Revolving Credit Facility if more than $150.0 million aggregate principal amount of commitments remain outstanding on the 91</w:t>
      </w:r>
      <w:r>
        <w:rPr>
          <w:rFonts w:ascii="Times New Roman" w:hAnsi="Times New Roman"/>
          <w:color w:val="000000"/>
          <w:sz w:val="13"/>
        </w:rPr>
        <w:t>st</w:t>
      </w:r>
      <w:r>
        <w:rPr>
          <w:color w:val="000000"/>
        </w:rPr>
        <w:t xml:space="preserve"> </w:t>
      </w:r>
      <w:r>
        <w:rPr>
          <w:rFonts w:ascii="Times New Roman" w:hAnsi="Times New Roman"/>
          <w:color w:val="000000"/>
          <w:sz w:val="20"/>
        </w:rPr>
        <w:t>day prior to such maturity, whichever of (x) or (y) comes first.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Scheduled quarterly payment required for the first eight fiscal quarters commencing with the fiscal quarter ending December 31, 2024. The scheduled quarterly payment will increase to 1.250% as of December 31, 2026 for each quarter thereafter until the maturity date of the Term A-9 Loans.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The senior secured credit facility has a revolving credit facility available for borrowings by SS&amp;C with $600.0 million in available commitments (“Revolving Credit Facility”), of which $513.3 million was available as of March 31, 2026. The Revolving Credit Facility also contains a $75.0 million letter of credit sub-facility, of which $6.7 million was utilized as of March 31, 2026.</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Debt Terms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Our obligations under the Term B-8 Loans and Term A-9 Loans are guaranteed by our existing and future wholly-owned domestic restricted subsidiaries (subject to customary exceptions and limitations). The obligations of the loan parties under the amended senior secured credit facility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amended senior secured credit facility includes negative covenants that, among other things and subject to certain thresholds and exceptions, limit our ability and the ability of our restricted subsidiaries to incur debt or liens, make investments (including in the form of loans and acquisitions), merge, liquidate or dissolve, sell property and assets, including capital stock of our subsidiaries, pay dividends on our capital stock or redeem, repurchase or retire our capital stock, alter the business we conduct, amend, prepay, redeem or purchase subordinated debt, or engage in transactions with our affiliates. The amended senior secured credit facility also contains customary representations and warranties, affirmative covenants and events of default, subject to customary thresholds and exceptions. In addition, the amended senior secured credit facility contains a financial covenant for the benefit of the Revolving Credit Facility requiring us to maintain a maximum consolidated net secured leverage ratio. The amended senior secured credit facility also contains a financial maintenance covenant for the benefit of the Term A-9 Loans that will require us to maintain a separate maximum consolidated net secured leverage ratio. In addition, under the amended senior secured credit facility, certain defaults under agreements governing other material indebtedness could result in an event of default under the amended senior secured credit facility, in which case the lenders could elect to accelerate payments under the amended senior secured credit facility and terminate any commitments they have to provide future borrowings. As of March 31, 2026, we were in compliance with all financial and non-financial covenants.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5.5% Senior Notes are guaranteed, jointly and severally, by SS&amp;C Holdings and all of its existing and future domestic restricted subsidiaries that guarantee our existing senior secured credit facilities or certain other indebtedness. The 5.5% Senior Notes are unsecured senior obligations that are equal in right of payment to all of our existing and future senior unsecured indebtedness. Interest on the 5.5% Senior Notes is payable on March 30 and September 30 of each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any time after March 30, 2025, we may, at our option, redeem some or all of the 5.5% Senior Notes, in whole or in part, at 100% of the principal amount, plus accrued and unpaid interest to the redemption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any time prior to June 1, 2027, we may, at our option, redeem some or all of the 6.5% Senior Notes, in whole or in part, at a price equal to 100% of the principal amount of the 6.5% Senior Notes, plus a “make-whole” premium, plus accrued and unpaid interest, if any, to, the date of redemption. On and after June 1, 2027, we may, at our option, redeem some or all of the 6.5% Senior Notes, in whole or in part, at the redemption prices set forth in the following table, expressed as a percentage of the principal amount, plus accrued and unpaid interest to the redemption date:</w:t>
      </w:r>
    </w:p>
    <w:tbl>
      <w:tblPr>
        <w:tblW w:w="3900" w:type="dxa"/>
        <w:jc w:val="left"/>
        <w:tblInd w:w="0" w:type="dxa"/>
        <w:tblLayout w:type="fixed"/>
        <w:tblCellMar>
          <w:top w:w="28" w:type="dxa"/>
          <w:left w:w="28" w:type="dxa"/>
          <w:bottom w:w="28" w:type="dxa"/>
          <w:right w:w="28" w:type="dxa"/>
        </w:tblCellMar>
      </w:tblPr>
      <w:tblGrid>
        <w:gridCol w:w="2411"/>
        <w:gridCol w:w="146"/>
        <w:gridCol w:w="146"/>
        <w:gridCol w:w="781"/>
        <w:gridCol w:w="416"/>
      </w:tblGrid>
      <w:tr>
        <w:trPr/>
        <w:tc>
          <w:tcPr>
            <w:tcW w:w="2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 or after June 1,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103.250</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 or after June 1,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101.625</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June 1, 2029 and 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may also, from time to time in our sole discretion, purchase, redeem, or retire any outstanding 5.5% Senior Notes and 6.5% Senior Notes, through tender offers, in privately negotiated or open market transactions, or otherwise.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indentures governing the 5.5% Senior Notes and 6.5% Senior Notes contain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amended senior secured credit facility that leads to an acceleration of those amounts due also results in a default under the indenture governing each of the Senior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Covenant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Revolving Credit Facility portion of the amended senior secured credit facility,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In addition, the Term A-9 Loans will be subject to a 5.25x consolidated net secured leverage ratio commencing at the fiscal quarter ending December 31, 2024, which will, at our option, increase to 5.75x for four consecutive fiscal quarters following a material permitted acquisition. Our ability to meet either financial ratio can be affected by events beyond our control, and we cannot assure you that we will meet either ratio. Any breach of either financial covenant could result in an event of default under the amended senior secured credit facility. Upon the occurrence of any event of default under the amended senior secured credit facility, the lenders could elect to declare all amounts outstanding under the amended senior secured credit facility to be immediately due and payable and terminate all commitments to extend further credit. Any default and subsequent acceleration of payments under the amended senior secured credit facility would have a material adverse effect on our results of operations, financial position and cash flows. Additionally, under the amended senior secured credit facility, our ability to engage in activities such as incurring additional indebtedness, making investments and paying dividends is also tied to baskets and ratios based on Consolidated EBITDA.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Consolidated EBITDA is a non-GAAP financial measure used in key financial covenants contained in the amended senior secured credit facility,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amended senior secured credit facility.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amended senior secured credit facility.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uses Consolidated EBITDA, among other financial metrics, to help gauge the costs of our capital structure. Management further believes that providing this information allows our investors greater transparency and a better understanding of our ability to meet our debt service obligations and make capital expenditures.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Consolidated EBITDA does not represent net income or cash flow from operations as those terms are defined by generally accepted accounting principles, or GAAP, and does not necessarily indicate whether cash flows will be sufficient to fund cash needs. Further, the amended senior secured credit facility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Consolidated EBITDA is not a recognized measurement under GAAP and investors should not consider Consolidated EBITDA as a substitute for measures of our financial performance and liquidity as determined in accordance with GAAP, such as net income, operating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significant interest expense we incur as a result of our debt leverage;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does not reflect the provision of income tax expense in the jurisdictions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does not reflect any attribution of costs to our operations related to our investments and capital expenditures through depreciation and amortization charges;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cost of compensation we provide to our employees in the form of stock-based awards;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Consolidated EBITDA does not reflect the equity in earnings of unconsolidated affiliates;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Consolidated EBITDA excludes expenses and income that are permitted to be excluded per the terms of our amended senior secured credit facility, but which others may believe are normal expenses for the operation of a business.</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reconciliation of net income to Consolidated EBITDA attributable to SS&amp;C common stockholders as defined in our amended senior secured credit facility.</w:t>
      </w:r>
    </w:p>
    <w:tbl>
      <w:tblPr>
        <w:tblW w:w="10205" w:type="dxa"/>
        <w:jc w:val="left"/>
        <w:tblInd w:w="0" w:type="dxa"/>
        <w:tblLayout w:type="fixed"/>
        <w:tblCellMar>
          <w:top w:w="28" w:type="dxa"/>
          <w:left w:w="28" w:type="dxa"/>
          <w:bottom w:w="28" w:type="dxa"/>
          <w:right w:w="28" w:type="dxa"/>
        </w:tblCellMar>
      </w:tblPr>
      <w:tblGrid>
        <w:gridCol w:w="4828"/>
        <w:gridCol w:w="146"/>
        <w:gridCol w:w="259"/>
        <w:gridCol w:w="677"/>
        <w:gridCol w:w="219"/>
        <w:gridCol w:w="193"/>
        <w:gridCol w:w="259"/>
        <w:gridCol w:w="677"/>
        <w:gridCol w:w="166"/>
        <w:gridCol w:w="146"/>
        <w:gridCol w:w="516"/>
        <w:gridCol w:w="1703"/>
        <w:gridCol w:w="416"/>
      </w:tblGrid>
      <w:tr>
        <w:trPr/>
        <w:tc>
          <w:tcPr>
            <w:tcW w:w="4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March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226.3</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811.8</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426.4</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204.9</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714.0</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589.5</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2,157.1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266.6</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EBITDA and cost savings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in earnings of unconsolidated affiliates,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 accounting adjustments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ASC 606 adoption impact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 gains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Facilities and workforce restructuring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Acquisition related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Consolidated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652.2</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2,556.3</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Consolidated EBITDA attributable to noncontrolling interest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8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Consolidated EBITDA attributable to SS&amp;C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651.0</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2,552.8</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________________________</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Acquired EBITDA reflects the EBITDA impact of significant businesses that were acquired during the last twelve months as if the acquisition occurred at the beginning of the trailing twelve-month period, as well as cost savings enacted in connection with acquisitions.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 personnel costs were not adjusted to fair value at the date of the acquisitions and (c) an adjustment to increase or decrease rent expense by the amount that would have been recognized if lease obligations were not adjusted to fair value at the date of acquisitions.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Investment gains includes unrealized fair value adjustments of investments and dividend income received on investments.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Acquisition related includes costs related to both current acquisitions and the resolution of pre-acquisition matters.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Other includes additional expenses and income that are permitted to be excluded per the terms of our amended senior secured credit facility from Consolidated EBITDA, a financial measure used in calculating our covenant compliance, and includes a loss on the sale of fixed assets of $33.3 million during the twelve months ended March 31, 2026.</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 xml:space="preserve">Consolidated EBITDA attributable to noncontrolling interest represents Consolidated EBITDA based on the ownership interest retained by the noncontrolling parties of DomaniRx, our consolidated variable interest entity. </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covenant requirement for consolidated net secured leverage ratio for the benefit of the Revolving Credit Facility and the actual ratio as of March 31, 2026 are as follows:</w:t>
      </w:r>
    </w:p>
    <w:tbl>
      <w:tblPr>
        <w:tblW w:w="6092" w:type="dxa"/>
        <w:jc w:val="left"/>
        <w:tblInd w:w="0" w:type="dxa"/>
        <w:tblLayout w:type="fixed"/>
        <w:tblCellMar>
          <w:top w:w="28" w:type="dxa"/>
          <w:left w:w="28" w:type="dxa"/>
          <w:bottom w:w="28" w:type="dxa"/>
          <w:right w:w="28" w:type="dxa"/>
        </w:tblCellMar>
      </w:tblPr>
      <w:tblGrid>
        <w:gridCol w:w="3961"/>
        <w:gridCol w:w="146"/>
        <w:gridCol w:w="1036"/>
        <w:gridCol w:w="146"/>
        <w:gridCol w:w="146"/>
        <w:gridCol w:w="466"/>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Covenant</w:t>
              <w:br/>
              <w:t>Requirement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Actual</w:t>
              <w:br/>
              <w:t>Ratio</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Maximum consolidated net secured leverage to</w:t>
              <w:br/>
              <w:t>   Consolidated EBITDA ratio</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6.25x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10"/>
        </w:rPr>
      </w:pPr>
      <w:r>
        <w:rPr>
          <w:rFonts w:ascii="Times New Roman" w:hAnsi="Times New Roman"/>
          <w:color w:val="000000"/>
          <w:sz w:val="10"/>
        </w:rPr>
        <w:t>_____________________________________________________</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Calculated as the ratio of consolidated net secured funded indebtedness, net of cash and cash equivalents, as defined by the amended senior secured credit facility,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use derivative financial instruments for trading or speculative purposes. We have generally invested our available cash in short-term, highly liquid financial instruments, having initial maturities of three months or less. When necessary, we have borrowed to fund acquisitions.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derive revenues from investment earnings related to cash balances maintained in bank accounts on which we are the agent for clients. The balances maintained in the bank accounts will fluctuate. The effect of changes in interest rates attributable to earnings derived from cash balances we hold for clients is offset by changes in interest rates on our variable debt. For the three months ended March 31, 2026, our average daily cash balances of approximately $2.6 billion were maintained in such accounts. We estimate that a 100 basis point increase in the interest rate would equal approximately $12.8 million of net income, net of income taxes, on an annual basis.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March 31, 2026, total variable interest rate debt was approximately $4,711.9 million. As of March 31, 2026, a 100 basis point increase in interest rates would result in an increase in interest expense of approximately $47.1 million per year.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Rate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approximately 35% of our revenues were from clients located outside the United States and approximately 24% of our revenues were from currencies other than the United States dollar. The British pound represents the majority of revenues denominated in a currency other than the United States dollar. While revenues and expenses of our foreign operations are primarily denominated in their respective local currencies, some subsidiaries do enter into certain transactions in currencies that are different from the local currency. These transactions consist primarily of cross-currency intercompany balances and certain trade receivables and payables. As a result of these transactions, we have exposure to changes in foreign currency exchange rates that result in foreign currency transaction gains and losses, which we report in other income, net. The amount of these balances can fluctuate in the future as we bill customers and buy products or services in currencies other than our functional currency (i.e., the United States dollar), which could increase our exposure to foreign currency exchange rates. Our exposures to foreign currency exchange rates can also fluctuate as a result of acquisitions. Accordingly, we continuously assess and monitor our exposure to foreign currency exchange rates. We do not enter into any market risk sensitive instruments for trading or hedging purposes.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pStyle w:val="TextBody"/>
        <w:bidi w:val="0"/>
        <w:jc w:val="left"/>
        <w:rPr/>
      </w:pPr>
      <w:r>
        <w:rPr/>
        <w:t> </w:t>
      </w:r>
    </w:p>
    <w:p>
      <w:pPr>
        <w:pStyle w:val="TextBody"/>
        <w:bidi w:val="0"/>
        <w:jc w:val="left"/>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(our principal executive officer and principal financial officer, respectively), evaluated the effectiveness of our disclosure controls and procedures as of March 31, 2026.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and chief financial officer concluded that, as of such date, our disclosure controls and procedures were effective at the reasonable assurance level.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not been any changes in our internal control over financial reporting (as defined in Rules 13a-15(f) and 15d-15(f) under the Exchange Act) that occurred during the fiscal quarter ended March 31, 2026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120"/>
        <w:jc w:val="center"/>
        <w:rPr>
          <w:rFonts w:ascii="Times New Roman" w:hAnsi="Times New Roman"/>
          <w:b/>
          <w:color w:val="000000"/>
          <w:sz w:val="20"/>
        </w:rPr>
      </w:pPr>
      <w:bookmarkStart w:id="12" w:name="part_ii_or_information"/>
      <w:bookmarkEnd w:id="12"/>
      <w:r>
        <w:rPr>
          <w:rFonts w:ascii="Times New Roman" w:hAnsi="Times New Roman"/>
          <w:b/>
          <w:color w:val="000000"/>
          <w:sz w:val="20"/>
        </w:rPr>
        <w:t>PART II – OTHER INFORMATION</w:t>
      </w:r>
    </w:p>
    <w:p>
      <w:pPr>
        <w:pStyle w:val="TextBody"/>
        <w:bidi w:val="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regarding certain legal proceedings in which we are involved as set forth in Note 13 – Commitments and Contingencies of the Notes to the Condensed Consolidated Financial Statements (Part I, Item 1 of this Quarterly Report on Form 10-Q) is incorporated by reference into this Item 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we are involved in various other legal proceedings arising in the normal course of our businesses. At this time, we do not believe any material losses under these claims to be probable. While the ultimate outcome of such legal proceedings cannot be predicted with certainty, it is in the opinion of management, after consultation with legal counsel, that the final outcome in such proceedings, in the aggregate, would not have a material adverse effect on our consolidated financial condition, results of operations or cash flows.</w:t>
      </w:r>
    </w:p>
    <w:p>
      <w:pPr>
        <w:pStyle w:val="TextBody"/>
        <w:bidi w:val="0"/>
        <w:jc w:val="left"/>
        <w:rPr/>
      </w:pPr>
      <w:r>
        <w:rPr/>
        <w:t> </w:t>
      </w:r>
    </w:p>
    <w:p>
      <w:pPr>
        <w:pStyle w:val="TextBody"/>
        <w:bidi w:val="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this report, there have been no material changes to the risk factors we previously disclosed in our Annual Report on Form 10-K for the year ended December 31, 2025.</w:t>
      </w:r>
    </w:p>
    <w:p>
      <w:pPr>
        <w:pStyle w:val="TextBody"/>
        <w:bidi w:val="0"/>
        <w:jc w:val="left"/>
        <w:rPr/>
      </w:pPr>
      <w:r>
        <w:rPr/>
        <w:t> </w:t>
      </w:r>
    </w:p>
    <w:p>
      <w:pPr>
        <w:pStyle w:val="TextBody"/>
        <w:bidi w:val="0"/>
        <w:jc w:val="left"/>
        <w:rPr>
          <w:rFonts w:ascii="Times New Roman" w:hAnsi="Times New Roman"/>
          <w:b/>
          <w:color w:val="000000"/>
          <w:sz w:val="20"/>
        </w:rPr>
      </w:pPr>
      <w:bookmarkStart w:id="15" w:name="item_2_unregistered_sales_of_securities"/>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the repurchases of our common stock in the three months ended March 31, 2026 (in millions, except average price per share):</w:t>
      </w:r>
    </w:p>
    <w:tbl>
      <w:tblPr>
        <w:tblW w:w="10205" w:type="dxa"/>
        <w:jc w:val="left"/>
        <w:tblInd w:w="0" w:type="dxa"/>
        <w:tblLayout w:type="fixed"/>
        <w:tblCellMar>
          <w:top w:w="28" w:type="dxa"/>
          <w:left w:w="28" w:type="dxa"/>
          <w:bottom w:w="28" w:type="dxa"/>
          <w:right w:w="28" w:type="dxa"/>
        </w:tblCellMar>
      </w:tblPr>
      <w:tblGrid>
        <w:gridCol w:w="1461"/>
        <w:gridCol w:w="146"/>
        <w:gridCol w:w="387"/>
        <w:gridCol w:w="960"/>
        <w:gridCol w:w="146"/>
        <w:gridCol w:w="246"/>
        <w:gridCol w:w="311"/>
        <w:gridCol w:w="843"/>
        <w:gridCol w:w="146"/>
        <w:gridCol w:w="146"/>
        <w:gridCol w:w="610"/>
        <w:gridCol w:w="1515"/>
        <w:gridCol w:w="146"/>
        <w:gridCol w:w="246"/>
        <w:gridCol w:w="727"/>
        <w:gridCol w:w="1974"/>
        <w:gridCol w:w="195"/>
      </w:tblGrid>
      <w:tr>
        <w:trPr/>
        <w:tc>
          <w:tcPr>
            <w:tcW w:w="1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 Total Number of Shares Purchased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 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w:t>
              <w:br/>
              <w:t>Total Number of Shares Purchased as Part of Publicly Announced Plans or Programs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 </w:t>
              <w:br/>
              <w:t>Maximum Number (or Approximate Dollar Value) of Shares that May Yet be Purchased Under Plans or Programs (3)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 2026 –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1, 2026 – February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 2026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15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70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(1) Information is based on trade dates of repurchase transactions. </w:t>
      </w:r>
    </w:p>
    <w:p>
      <w:pPr>
        <w:pStyle w:val="TextBody"/>
        <w:bidi w:val="0"/>
        <w:jc w:val="left"/>
        <w:rPr>
          <w:rFonts w:ascii="Times New Roman" w:hAnsi="Times New Roman"/>
          <w:color w:val="000000"/>
          <w:sz w:val="20"/>
        </w:rPr>
      </w:pPr>
      <w:r>
        <w:rPr>
          <w:rFonts w:ascii="Times New Roman" w:hAnsi="Times New Roman"/>
          <w:color w:val="000000"/>
          <w:sz w:val="20"/>
        </w:rPr>
        <w:t>(2) Represents shares repurchased in open market transactions pursuant to our common stock repurchase program.</w:t>
      </w:r>
    </w:p>
    <w:p>
      <w:pPr>
        <w:pStyle w:val="TextBody"/>
        <w:bidi w:val="0"/>
        <w:jc w:val="left"/>
        <w:rPr>
          <w:rFonts w:ascii="Times New Roman" w:hAnsi="Times New Roman"/>
          <w:color w:val="000000"/>
          <w:sz w:val="20"/>
        </w:rPr>
      </w:pPr>
      <w:r>
        <w:rPr>
          <w:rFonts w:ascii="Times New Roman" w:hAnsi="Times New Roman"/>
          <w:color w:val="000000"/>
          <w:sz w:val="20"/>
        </w:rPr>
        <w:t>(3) Stock repurchases were made pursuant to the common stock repurchase program authorized by our Board of Directors in May 2025. The program allows for the purchase of up to $1.5 billion of outstanding common stock in one or more transactions on the open market or in privately negotiated purchases.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6" w:name="item_6_exhibits"/>
      <w:bookmarkEnd w:id="16"/>
      <w:r>
        <w:rPr>
          <w:rFonts w:ascii="Times New Roman" w:hAnsi="Times New Roman"/>
          <w:b/>
          <w:color w:val="000000"/>
          <w:sz w:val="20"/>
        </w:rPr>
        <w:t>Item 6.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listed in the Exhibit Index immediately preceding such exhibits are filed as part of this Report.</w:t>
      </w:r>
    </w:p>
    <w:p>
      <w:pPr>
        <w:pStyle w:val="TextBody"/>
        <w:bidi w:val="0"/>
        <w:jc w:val="left"/>
        <w:rPr/>
      </w:pPr>
      <w:r>
        <w:rPr/>
        <w:t> </w:t>
      </w:r>
    </w:p>
    <w:p>
      <w:pPr>
        <w:pStyle w:val="TextBody"/>
        <w:bidi w:val="0"/>
        <w:jc w:val="center"/>
        <w:rPr>
          <w:rFonts w:ascii="Times New Roman" w:hAnsi="Times New Roman"/>
          <w:b/>
          <w:color w:val="000000"/>
          <w:sz w:val="20"/>
        </w:rPr>
      </w:pPr>
      <w:bookmarkStart w:id="17" w:name="exhibit_index"/>
      <w:bookmarkEnd w:id="17"/>
      <w:r>
        <w:rPr>
          <w:rFonts w:ascii="Times New Roman" w:hAnsi="Times New Roman"/>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756"/>
        <w:gridCol w:w="146"/>
        <w:gridCol w:w="9303"/>
      </w:tblGrid>
      <w:tr>
        <w:trPr/>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3" w:type="dxa"/>
            <w:tcBorders/>
            <w:vAlign w:val="center"/>
          </w:tcPr>
          <w:p>
            <w:pPr>
              <w:pStyle w:val="TableContents"/>
              <w:bidi w:val="0"/>
              <w:spacing w:before="0" w:after="283"/>
              <w:jc w:val="left"/>
              <w:rPr>
                <w:sz w:val="4"/>
                <w:szCs w:val="4"/>
              </w:rPr>
            </w:pPr>
            <w:r>
              <w:rPr>
                <w:sz w:val="4"/>
                <w:szCs w:val="4"/>
              </w:rPr>
            </w:r>
          </w:p>
        </w:tc>
      </w:tr>
      <w:tr>
        <w:trPr/>
        <w:tc>
          <w:tcPr>
            <w:tcW w:w="7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b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3"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Exhibit</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3" w:type="dxa"/>
            <w:tcBorders/>
            <w:tcMar>
              <w:top w:w="0" w:type="dxa"/>
              <w:left w:w="0" w:type="dxa"/>
              <w:bottom w:w="0" w:type="dxa"/>
              <w:right w:w="0" w:type="dxa"/>
            </w:tcMar>
            <w:vAlign w:val="center"/>
          </w:tcPr>
          <w:p>
            <w:pPr>
              <w:pStyle w:val="TableContents"/>
              <w:bidi w:val="0"/>
              <w:spacing w:before="0" w:after="283"/>
              <w:jc w:val="left"/>
              <w:rPr/>
            </w:pPr>
            <w:hyperlink w:anchor="ssnc-ex31_1.htm">
              <w:r>
                <w:rPr>
                  <w:rStyle w:val="InternetLink"/>
                  <w:rFonts w:ascii="Times New Roman" w:hAnsi="Times New Roman"/>
                  <w:color w:val="0000FF"/>
                  <w:sz w:val="20"/>
                  <w:u w:val="single"/>
                </w:rPr>
                <w:t>Certification of the Registrant’s Chief Executive Officer pursuant to Section 302 of the Sarbanes-Oxley Act of 2002*</w:t>
              </w:r>
            </w:hyperlink>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3" w:type="dxa"/>
            <w:tcBorders/>
            <w:tcMar>
              <w:top w:w="0" w:type="dxa"/>
              <w:left w:w="0" w:type="dxa"/>
              <w:bottom w:w="0" w:type="dxa"/>
              <w:right w:w="0" w:type="dxa"/>
            </w:tcMar>
            <w:vAlign w:val="center"/>
          </w:tcPr>
          <w:p>
            <w:pPr>
              <w:pStyle w:val="TableContents"/>
              <w:bidi w:val="0"/>
              <w:spacing w:before="0" w:after="283"/>
              <w:jc w:val="left"/>
              <w:rPr/>
            </w:pPr>
            <w:hyperlink w:anchor="ssnc-ex31_2.htm">
              <w:r>
                <w:rPr>
                  <w:rStyle w:val="InternetLink"/>
                  <w:rFonts w:ascii="Times New Roman" w:hAnsi="Times New Roman"/>
                  <w:color w:val="0000FF"/>
                  <w:sz w:val="20"/>
                  <w:u w:val="single"/>
                </w:rPr>
                <w:t>Certification of the Registrant’s Chief Financial Officer pursuant to Section 302 of the Sarbanes-Oxley Act of 2002*</w:t>
              </w:r>
            </w:hyperlink>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3" w:type="dxa"/>
            <w:tcBorders/>
            <w:tcMar>
              <w:top w:w="0" w:type="dxa"/>
              <w:left w:w="0" w:type="dxa"/>
              <w:bottom w:w="0" w:type="dxa"/>
              <w:right w:w="0" w:type="dxa"/>
            </w:tcMar>
            <w:vAlign w:val="center"/>
          </w:tcPr>
          <w:p>
            <w:pPr>
              <w:pStyle w:val="TableContents"/>
              <w:bidi w:val="0"/>
              <w:spacing w:before="0" w:after="283"/>
              <w:jc w:val="left"/>
              <w:rPr/>
            </w:pPr>
            <w:hyperlink w:anchor="ssnc-ex32.htm">
              <w:r>
                <w:rPr>
                  <w:rStyle w:val="InternetLink"/>
                  <w:rFonts w:ascii="Times New Roman" w:hAnsi="Times New Roman"/>
                  <w:color w:val="0000FF"/>
                  <w:sz w:val="20"/>
                  <w:u w:val="single"/>
                </w:rPr>
                <w:t>Certification of the Registrant’s Chief Executive Officer and Chief Financial Officer pursuant to 18 U.S.C. Section 1350, as adopted pursuant to Section 906 of the Sarbanes-Oxley Act of 2002 (furnished and not filed for purposes of sections 11 or 12 of the Securities Act and section 18 of the Exchange Act)*</w:t>
              </w:r>
            </w:hyperlink>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9449"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8" w:name="signature"/>
      <w:bookmarkEnd w:id="18"/>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351" w:type="dxa"/>
        <w:jc w:val="left"/>
        <w:tblInd w:w="0" w:type="dxa"/>
        <w:tblLayout w:type="fixed"/>
        <w:tblCellMar>
          <w:top w:w="28" w:type="dxa"/>
          <w:left w:w="28" w:type="dxa"/>
          <w:bottom w:w="28" w:type="dxa"/>
          <w:right w:w="28" w:type="dxa"/>
        </w:tblCellMar>
      </w:tblPr>
      <w:tblGrid>
        <w:gridCol w:w="421"/>
        <w:gridCol w:w="109"/>
        <w:gridCol w:w="5821"/>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spacing w:before="0" w:after="283"/>
              <w:jc w:val="left"/>
              <w:rPr>
                <w:sz w:val="4"/>
                <w:szCs w:val="4"/>
              </w:rPr>
            </w:pPr>
            <w:r>
              <w:rPr>
                <w:sz w:val="4"/>
                <w:szCs w:val="4"/>
              </w:rPr>
            </w:r>
          </w:p>
        </w:tc>
      </w:tr>
      <w:tr>
        <w:trPr/>
        <w:tc>
          <w:tcPr>
            <w:tcW w:w="6351"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SS&amp;C TECHNOLOGIES HOLDINGS,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593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N. Schell</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Brian N. Schell</w:t>
            </w:r>
          </w:p>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(Duly Authorized Officer, 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April 30,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bookmarkStart w:id="19" w:name="ssnc-ex31_1.htm"/>
      <w:bookmarkStart w:id="20" w:name="ksssncex31_1"/>
      <w:bookmarkEnd w:id="19"/>
      <w:bookmarkEnd w:id="2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William C. Stone,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SS&amp;C Technologies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283" w:type="dxa"/>
        <w:jc w:val="left"/>
        <w:tblInd w:w="0" w:type="dxa"/>
        <w:tblLayout w:type="fixed"/>
        <w:tblCellMar>
          <w:top w:w="28" w:type="dxa"/>
          <w:left w:w="28" w:type="dxa"/>
          <w:bottom w:w="28" w:type="dxa"/>
          <w:right w:w="28" w:type="dxa"/>
        </w:tblCellMar>
      </w:tblPr>
      <w:tblGrid>
        <w:gridCol w:w="1786"/>
        <w:gridCol w:w="146"/>
        <w:gridCol w:w="435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C. Stone</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Stone</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Chairman of the Board and Chief Executive Officer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ssnc-ex31_2.htm"/>
      <w:bookmarkStart w:id="22" w:name="ksssncex31_2"/>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Brian N. Schell,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SS&amp;C Technologies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373" w:type="dxa"/>
        <w:jc w:val="left"/>
        <w:tblInd w:w="0" w:type="dxa"/>
        <w:tblLayout w:type="fixed"/>
        <w:tblCellMar>
          <w:top w:w="28" w:type="dxa"/>
          <w:left w:w="28" w:type="dxa"/>
          <w:bottom w:w="28" w:type="dxa"/>
          <w:right w:w="28" w:type="dxa"/>
        </w:tblCellMar>
      </w:tblPr>
      <w:tblGrid>
        <w:gridCol w:w="1786"/>
        <w:gridCol w:w="146"/>
        <w:gridCol w:w="444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April 30, 2026</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Brian N. Schell</w:t>
            </w:r>
          </w:p>
        </w:tc>
      </w:tr>
      <w:tr>
        <w:trPr/>
        <w:tc>
          <w:tcPr>
            <w:tcW w:w="17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Brian N. Schell</w:t>
            </w:r>
          </w:p>
        </w:tc>
      </w:tr>
      <w:tr>
        <w:trPr/>
        <w:tc>
          <w:tcPr>
            <w:tcW w:w="178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ssnc-ex32.htm"/>
      <w:bookmarkStart w:id="24" w:name="ksssncex3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SS&amp;C Technologies Holdings, Inc. (the “Company”) for the period ended March 31, 2026 as filed with the Securities and Exchange Commission on the date hereof (the “Report”), the undersigned officers of the Company hereby certify to their knowledge, pursuant to 18 U.S.C. Section 1350,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6790" w:type="dxa"/>
        <w:jc w:val="left"/>
        <w:tblInd w:w="0" w:type="dxa"/>
        <w:tblLayout w:type="fixed"/>
        <w:tblCellMar>
          <w:top w:w="28" w:type="dxa"/>
          <w:left w:w="28" w:type="dxa"/>
          <w:bottom w:w="28" w:type="dxa"/>
          <w:right w:w="28" w:type="dxa"/>
        </w:tblCellMar>
      </w:tblPr>
      <w:tblGrid>
        <w:gridCol w:w="1786"/>
        <w:gridCol w:w="146"/>
        <w:gridCol w:w="406"/>
        <w:gridCol w:w="146"/>
        <w:gridCol w:w="430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William C. Stone</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C. Stone</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Chairman of the Board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tbl>
      <w:tblPr>
        <w:tblW w:w="6925" w:type="dxa"/>
        <w:jc w:val="left"/>
        <w:tblInd w:w="0" w:type="dxa"/>
        <w:tblLayout w:type="fixed"/>
        <w:tblCellMar>
          <w:top w:w="28" w:type="dxa"/>
          <w:left w:w="28" w:type="dxa"/>
          <w:bottom w:w="28" w:type="dxa"/>
          <w:right w:w="28" w:type="dxa"/>
        </w:tblCellMar>
      </w:tblPr>
      <w:tblGrid>
        <w:gridCol w:w="1786"/>
        <w:gridCol w:w="146"/>
        <w:gridCol w:w="406"/>
        <w:gridCol w:w="146"/>
        <w:gridCol w:w="444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Brian N. Schell</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Brian N. Schell</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Executive Vice President and 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13881</Words>
  <Characters>77176</Characters>
  <CharactersWithSpaces>92130</CharactersWithSpaces>
  <Paragraphs>4899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